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формы 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Изменение 2017-2018.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Мы провели анализ активов представленного баланса, и он позволяет сделать следующие выводы. На 31.12.2018 в активах организации доля внеоборотных средств составляет 1/3 (32.7 %), а оборотных активов – 2/3 (67.3 %). Активы организации в течение анализируемого периода увеличились незначительно (в 1.13 раза), внеоборотные активы возросли в 1.31 раз, оборотные активы – в 1.07 раз.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Отсюда удельный вес внеоборотных активов в общем имуществе увеличился на 4.34 %, в то время как удельный вес оборотных (мобильных) активов уменьшился на те же 4.34 %.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Рост внеоборотных активов обеспечивается сильным увеличением удельного веса финансовых вложений на 11.76% при одновременном снижении у.в. основных средств на 11.42% и отложенных налоговых активов на 0.34%.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Спад оборотных активов обеспечивается сильным уменьшением удельного веса запасов на 4.33% при одновременном повышении у.в. дебиторской задолженности на 0.38%, финансовых вложений на 3.43%, денежных средств и денежных эквивалентов на 0.52%.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Показатель доли запасов говорит о том, что затоваривание склада сильно уменьшилось в течение анализируемого периода.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Уменьшение доли денежных средств и финансовых вложений свидетельствует о разумных способах управления компанией: деньги не замораживаются на расчетных счетах, а сразу идут в дело.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видим, что у нас удельный вес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дебиторской задолженности (0.38%) больше удельного веса кредиторской задолженности(-7.25%), следовательно, предприятию легче будет расплачиваться по своим краткосрочным и кредиторским долгам. Но при этом деньги предприятия «замораживаются» в дебиторских долгах. В итоге снижаются показатели ликвидности и оборачиваемости средств. К тому же это свидетельствует о том, что часть оборотных активов фактически отвлекается на кредитование дебиторов (покупателей своей продукции).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Выводы по пассиву баланса следующие.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Мы исследуем ООО, у него нет акционерного капитала.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Проверим наиболее выгодно соотношение для прочно стоящих на ногах предприятий в плане кредитной политики: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К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З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уд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=97.73, КЗ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уд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=0.94, ДЗ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уд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=99.95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ДЗ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уд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&gt;К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З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уд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+КЗ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уд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99.95&gt;97.73+0.94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99.95&gt;98.67-истина.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Последнее соотношение особенно важно исходя из стратегии и политики долгосрочного финансирования оборотных и внеоборотных активов компании. В этой ситуации благодаря устойчивому развитию компания готова вовремя погашать даже долгосрочные кредиты.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Изменение 2018-2019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31.12.2019 в активах организации доля внеоборотных средств составляет примерно 1/5 (22.15 %), а оборотных активов – 4/5 (77.85%). Активы организации в течение анализируемого периода уменьшились в 0.95 раз, внеоборотные активы уменьшились в 0.65 раз, а оборотные активы увеличились в 1.10 раз. 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Отсюда удельный вес внеоборотных активов в общем имуществе уменьшился на 10.55%, в то время как удельный вес оборотных (мобильных) активов увеличился на те же 10.55%. 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Спад внеоборотных активов обеспечивается сильным уменьшением удельного веса основных средств на 17.82% при одновременном увеличении удельного веса финансовых вложений на 17.39% и отложенных налоговых активов на 0.43%.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Рост оборотных активов обеспечивается увеличением удельного веса дебиторской задолженности на 3.17%, финансовых вложений на 8.25% при одновременном понижении у.в. запасов на 11.37% и денежных средств и денежных эквивалентов на 0.39%.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Показатель доли запасов говорит о том, что затоваривание склада еще сильнее уменьшилось в течение анализируемого периода.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Мы видим, что у нас удельный вес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дебиторской задолженности (3.17%) больше удельного веса кредиторской задолженности (-7.60%), следовательно, предприятию легче будет расплачиваться по своим краткосрочным и кредиторским долгам. Но при этом деньги предприятия «замораживаются» в дебиторских долгах. В итоге снижаются показатели ликвидности и оборачиваемости средств. К тому же это свидетельствует о том, что часть оборотных активов фактически отвлекается на кредитование дебиторов (покупателей своей продукции).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Выводы по пассиву баланса следующие.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Проверим наиболее выгодно соотношение для прочно стоящих на ногах предприятий в плане кредитной политики: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К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З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уд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=90.49, КЗ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уд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=8.83, ДЗ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уд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=99.99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ДЗ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уд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&gt;К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З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уд</m:t>
            </m:r>
          </m:sub>
        </m:sSub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+КЗ</m:t>
        </m:r>
        <m:sSub>
          <m:sSubPr>
            <m:ctrlP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К</m:t>
            </m:r>
          </m:e>
          <m:sub>
            <m:r>
              <w:rPr>
                <w:rFonts w:ascii="Cambria Math" w:cs="Cambria Math" w:eastAsia="Cambria Math" w:hAnsi="Cambria Math"/>
                <w:color w:val="000000"/>
                <w:sz w:val="28"/>
                <w:szCs w:val="28"/>
              </w:rPr>
              <m:t xml:space="preserve">уд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99.99&gt;90.49+8.83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ambria Math" w:cs="Cambria Math" w:eastAsia="Cambria Math" w:hAnsi="Cambria Math"/>
          <w:color w:val="000000"/>
          <w:sz w:val="28"/>
          <w:szCs w:val="28"/>
        </w:rPr>
      </w:pPr>
      <m:oMath>
        <m:r>
          <w:rPr>
            <w:rFonts w:ascii="Cambria Math" w:cs="Cambria Math" w:eastAsia="Cambria Math" w:hAnsi="Cambria Math"/>
            <w:color w:val="000000"/>
            <w:sz w:val="28"/>
            <w:szCs w:val="28"/>
          </w:rPr>
          <m:t xml:space="preserve">99.99&gt;98.32-истина.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highlight w:val="white"/>
          <w:rtl w:val="0"/>
        </w:rPr>
        <w:t xml:space="preserve">Последнее соотношение особенно важно исходя из стратегии и политики долгосрочного финансирования оборотных и внеоборотных активов компании. В этой ситуации благодаря устойчивому развитию компания готова вовремя погашать даже долгосрочные кредиты.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Анализ формы 2</w:t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2017-2018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Выручка упала на 18,14%. Но вместе с ней упала на 19,13%, что показывает, что компания стала лучше использовать ресурсы либо нашла более дешевую замену материалов производства. Но в общем, это показывает уменьшение валовой прибыли.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Повышение прочих доходов и процентов к получению помогают покрыть также увеличивающиеся управленческие расходы и убытки от продаж.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можно заметить, что присутствует довольно сильное увеличение процентов к уплате (61,87%) и прочих расходов (72,07%).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Коммерческие расходы при этом упали на 40,27%.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Изменения показывают увеличение различных доходов и расходов, что в общем приводит к почти 10% увеличению чистой прибыли.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Изменение 2018-2019</w:t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Увеличение выручки на 8,95%, не может покрыть увеличение себестоимости продаж на 18,76%, что в итоге приводит к потере валовой прибыли на -56,48%. Помимо этого увеличиваются коммерческие расходы (59,28%), проценты к уплате (120,59%) и колоссально растут прочие расходы (почти в 51 раз).</w:t>
      </w:r>
    </w:p>
    <w:p w:rsidR="00000000" w:rsidDel="00000000" w:rsidP="00000000" w:rsidRDefault="00000000" w:rsidRPr="00000000" w14:paraId="0000002A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Что касается доходов, то прочие доходы увеличиваются на 168,04%, но при этом проценты к получению уменьшаются на -12,95%.</w:t>
      </w:r>
    </w:p>
    <w:p w:rsidR="00000000" w:rsidDel="00000000" w:rsidP="00000000" w:rsidRDefault="00000000" w:rsidRPr="00000000" w14:paraId="0000002B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Также можно заметить, что прибыль до налогообложения уменьшается на -357,58%. </w:t>
      </w:r>
    </w:p>
    <w:p w:rsidR="00000000" w:rsidDel="00000000" w:rsidP="00000000" w:rsidRDefault="00000000" w:rsidRPr="00000000" w14:paraId="0000002C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прибыль уменьшается на 461,03%, что в итоге приводит к отрицательному значению прибыли и потере средств.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2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Положение данной компании, опираясь на форму 2, немного улучшилось 2018 года по сравнению с 2017. Но в 2019 году, она начинает уходить в минус, в первую очередь из-за сильно возросших прочих расходов и отрицательной прибыли до налогообложения. Дальнейшее рациональное использование ресурсов должно помочь уменьшить расходы и улучшить ситуацию.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