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Requisitos de afiliación</w:t>
      </w:r>
    </w:p>
    <w:p>
      <w:r>
        <w:t>Se necesita la cédula del trabajador.</w:t>
      </w:r>
    </w:p>
    <w:p>
      <w:pPr>
        <w:pStyle w:val="Heading2"/>
      </w:pPr>
      <w:r>
        <w:t>Tiempos</w:t>
      </w:r>
    </w:p>
    <w:p>
      <w:r>
        <w:t>El trámite tarda tres días hábiles.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