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70d5aff9c44969af3ea4606c63306487c2bee1"/>
    <w:p>
      <w:pPr>
        <w:pStyle w:val="Heading1"/>
      </w:pPr>
      <w:r>
        <w:t xml:space="preserve">Propuesta de Servicio: Gestión Integral de Infraestructura</w:t>
      </w:r>
    </w:p>
    <w:p>
      <w:pPr>
        <w:pStyle w:val="FirstParagraph"/>
      </w:pPr>
      <w:r>
        <w:rPr>
          <w:bCs/>
          <w:b/>
        </w:rPr>
        <w:t xml:space="preserve">Proveedor:</w:t>
      </w:r>
      <w:r>
        <w:t xml:space="preserve"> </w:t>
      </w:r>
      <w:r>
        <w:t xml:space="preserve">DepaFix / Depafix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 de junio 2026</w:t>
      </w:r>
      <w:r>
        <w:br/>
      </w:r>
      <w:r>
        <w:rPr>
          <w:bCs/>
          <w:b/>
        </w:rPr>
        <w:t xml:space="preserve">Cliente:</w:t>
      </w:r>
      <w:r>
        <w:t xml:space="preserve"> </w:t>
      </w:r>
      <w:r>
        <w:t xml:space="preserve">Juan Perez</w:t>
      </w:r>
      <w:r>
        <w:br/>
      </w:r>
      <w:r>
        <w:rPr>
          <w:bCs/>
          <w:b/>
        </w:rPr>
        <w:t xml:space="preserve">Destinatario:</w:t>
      </w:r>
      <w:r>
        <w:t xml:space="preserve"> </w:t>
      </w:r>
      <w:r>
        <w:t xml:space="preserve">Jefe de obra</w:t>
      </w:r>
    </w:p>
    <w:p>
      <w:r>
        <w:pict>
          <v:rect style="width:0;height:1.5pt" o:hralign="center" o:hrstd="t" o:hr="t"/>
        </w:pict>
      </w:r>
    </w:p>
    <w:bookmarkStart w:id="20" w:name="contexto-y-diagnóstico"/>
    <w:p>
      <w:pPr>
        <w:pStyle w:val="Heading2"/>
      </w:pPr>
      <w:r>
        <w:t xml:space="preserve">1. Contexto y diagnóstico</w:t>
      </w:r>
    </w:p>
    <w:p>
      <w:pPr>
        <w:pStyle w:val="FirstParagraph"/>
      </w:pPr>
      <w:r>
        <w:t xml:space="preserve">Las empresas medianas del sector construcción e inmobiliario administran entre 8 y 15 proveedores distintos para mantención de infraestructura física y tecnológica. Esta fragmentación genera costos ocultos de coordinación, intervenciones reactivas que paralizan operaciones y falta de trazabilidad para la rendición de gastos.</w:t>
      </w:r>
    </w:p>
    <w:p>
      <w:pPr>
        <w:pStyle w:val="BodyText"/>
      </w:pPr>
      <w:r>
        <w:t xml:space="preserve">Nuestra auditoría inicial —sin costo— nos permite identificar exactamente cuánto está perdiendo su operación por no tener un plan de mantención consolidado.</w:t>
      </w:r>
    </w:p>
    <w:p>
      <w:r>
        <w:pict>
          <v:rect style="width:0;height:1.5pt" o:hralign="center" o:hrstd="t" o:hr="t"/>
        </w:pict>
      </w:r>
    </w:p>
    <w:bookmarkEnd w:id="20"/>
    <w:bookmarkStart w:id="23" w:name="alcance-del-servicio"/>
    <w:p>
      <w:pPr>
        <w:pStyle w:val="Heading2"/>
      </w:pPr>
      <w:r>
        <w:t xml:space="preserve">2. Alcance del servicio</w:t>
      </w:r>
    </w:p>
    <w:bookmarkStart w:id="21" w:name="X018f07e3597308ea319a390df70d33f46e3a1af"/>
    <w:p>
      <w:pPr>
        <w:pStyle w:val="Heading3"/>
      </w:pPr>
      <w:r>
        <w:t xml:space="preserve">Módulo TI – Mantención Computacional Semestral</w:t>
      </w:r>
    </w:p>
    <w:p>
      <w:pPr>
        <w:numPr>
          <w:ilvl w:val="0"/>
          <w:numId w:val="1001"/>
        </w:numPr>
        <w:pStyle w:val="Compact"/>
      </w:pPr>
      <w:r>
        <w:t xml:space="preserve">Limpieza interna de equipos y periféricos.</w:t>
      </w:r>
    </w:p>
    <w:p>
      <w:pPr>
        <w:numPr>
          <w:ilvl w:val="0"/>
          <w:numId w:val="1001"/>
        </w:numPr>
        <w:pStyle w:val="Compact"/>
      </w:pPr>
      <w:r>
        <w:t xml:space="preserve">Actualización de software y parches de seguridad.</w:t>
      </w:r>
    </w:p>
    <w:p>
      <w:pPr>
        <w:numPr>
          <w:ilvl w:val="0"/>
          <w:numId w:val="1001"/>
        </w:numPr>
        <w:pStyle w:val="Compact"/>
      </w:pPr>
      <w:r>
        <w:t xml:space="preserve">Diagnóstico de hardware con vida útil estimada por equipo.</w:t>
      </w:r>
    </w:p>
    <w:p>
      <w:pPr>
        <w:numPr>
          <w:ilvl w:val="0"/>
          <w:numId w:val="1001"/>
        </w:numPr>
        <w:pStyle w:val="Compact"/>
      </w:pPr>
      <w:r>
        <w:t xml:space="preserve">Respaldo de configuraciones críticas.</w:t>
      </w:r>
    </w:p>
    <w:p>
      <w:pPr>
        <w:numPr>
          <w:ilvl w:val="0"/>
          <w:numId w:val="1001"/>
        </w:numPr>
        <w:pStyle w:val="Compact"/>
      </w:pPr>
      <w:r>
        <w:t xml:space="preserve">Informe de estado y recomendaciones de reemplazo priorizadas.</w:t>
      </w:r>
    </w:p>
    <w:bookmarkEnd w:id="21"/>
    <w:bookmarkStart w:id="22" w:name="Xae3d570b124c3126abcfa86edf271546c65366e"/>
    <w:p>
      <w:pPr>
        <w:pStyle w:val="Heading3"/>
      </w:pPr>
      <w:r>
        <w:t xml:space="preserve">Módulo Infraestructura – Pintura y Mantención de Superficies</w:t>
      </w:r>
    </w:p>
    <w:p>
      <w:pPr>
        <w:numPr>
          <w:ilvl w:val="0"/>
          <w:numId w:val="1002"/>
        </w:numPr>
        <w:pStyle w:val="Compact"/>
      </w:pPr>
      <w:r>
        <w:t xml:space="preserve">Inspección técnica de muros, cielos, estructuras metálicas.</w:t>
      </w:r>
    </w:p>
    <w:p>
      <w:pPr>
        <w:numPr>
          <w:ilvl w:val="0"/>
          <w:numId w:val="1002"/>
        </w:numPr>
        <w:pStyle w:val="Compact"/>
      </w:pPr>
      <w:r>
        <w:t xml:space="preserve">Identificación de focos de humedad y deterioro prematuro.</w:t>
      </w:r>
    </w:p>
    <w:p>
      <w:pPr>
        <w:numPr>
          <w:ilvl w:val="0"/>
          <w:numId w:val="1002"/>
        </w:numPr>
        <w:pStyle w:val="Compact"/>
      </w:pPr>
      <w:r>
        <w:t xml:space="preserve">Preparación de superficies y aplicación de pintura correctiva.</w:t>
      </w:r>
    </w:p>
    <w:p>
      <w:pPr>
        <w:numPr>
          <w:ilvl w:val="0"/>
          <w:numId w:val="1002"/>
        </w:numPr>
        <w:pStyle w:val="Compact"/>
      </w:pPr>
      <w:r>
        <w:t xml:space="preserve">Retoque programado con reporte fotográfico antes/después.</w:t>
      </w:r>
    </w:p>
    <w:p>
      <w:pPr>
        <w:numPr>
          <w:ilvl w:val="0"/>
          <w:numId w:val="1002"/>
        </w:numPr>
        <w:pStyle w:val="Compact"/>
      </w:pPr>
      <w:r>
        <w:t xml:space="preserve">Recomendaciones para el siguiente ciclo de mantención.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alidades-de-contrato"/>
    <w:p>
      <w:pPr>
        <w:pStyle w:val="Heading2"/>
      </w:pPr>
      <w:r>
        <w:t xml:space="preserve">3. Modalidades de contrato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referencial (UF/semestre)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visita/semestre por 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15 equipos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200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15–25 UF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visitas/semestre por 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40 equipos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500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detallado + fotos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35–55 UF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Visita trimestral + soporte remoto 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límite pactado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límite pactado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de estado + priorización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Cotización a medida</w:t>
            </w:r>
          </w:p>
        </w:tc>
      </w:tr>
    </w:tbl>
    <w:p>
      <w:pPr>
        <w:pStyle w:val="BodyText"/>
      </w:pPr>
      <w:r>
        <w:rPr>
          <w:iCs/>
          <w:i/>
        </w:rPr>
        <w:t xml:space="preserve">Valores referenciales en UF. La cotización definitiva se entrega después de la auditoría inicial gratuita.</w:t>
      </w:r>
    </w:p>
    <w:p>
      <w:r>
        <w:pict>
          <v:rect style="width:0;height:1.5pt" o:hralign="center" o:hrstd="t" o:hr="t"/>
        </w:pict>
      </w:r>
    </w:p>
    <w:bookmarkEnd w:id="24"/>
    <w:bookmarkStart w:id="25" w:name="beneficios-cuantificables"/>
    <w:p>
      <w:pPr>
        <w:pStyle w:val="Heading2"/>
      </w:pPr>
      <w:r>
        <w:t xml:space="preserve">4. Beneficios cuantificables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Reducción de incidentes reactivos:</w:t>
      </w:r>
      <w:r>
        <w:t xml:space="preserve"> </w:t>
      </w:r>
      <w:r>
        <w:t xml:space="preserve">hasta un 60% menos de downtime comparado con el modelo de respuesta por emergencia.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Ahorro económico:</w:t>
      </w:r>
      <w:r>
        <w:t xml:space="preserve"> </w:t>
      </w:r>
      <w:r>
        <w:t xml:space="preserve">un contrato semestral consolidado puede costar entre un 20% y 35% menos que contratar ambos servicios por separado (basado en gastos reales de obras similares).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Valor documental:</w:t>
      </w:r>
      <w:r>
        <w:t xml:space="preserve"> </w:t>
      </w:r>
      <w:r>
        <w:t xml:space="preserve">cada informe sirve como respaldo para la rendición de gastos ante directorios o mandantes, eliminando reparos administrativos.</w:t>
      </w:r>
    </w:p>
    <w:p>
      <w:r>
        <w:pict>
          <v:rect style="width:0;height:1.5pt" o:hralign="center" o:hrstd="t" o:hr="t"/>
        </w:pict>
      </w:r>
    </w:p>
    <w:bookmarkEnd w:id="25"/>
    <w:bookmarkStart w:id="26" w:name="metodología-y-calendario"/>
    <w:p>
      <w:pPr>
        <w:pStyle w:val="Heading2"/>
      </w:pPr>
      <w:r>
        <w:t xml:space="preserve">5. Metodología y calendario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Auditoría inicial gratuita</w:t>
      </w:r>
      <w:r>
        <w:t xml:space="preserve"> </w:t>
      </w:r>
      <w:r>
        <w:t xml:space="preserve">(2–4 horas en terreno).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Entrega de informe diagnóstico y propuesta económica</w:t>
      </w:r>
      <w:r>
        <w:t xml:space="preserve"> </w:t>
      </w:r>
      <w:r>
        <w:t xml:space="preserve">(48 h después).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Ciclo 1 de mantención</w:t>
      </w:r>
      <w:r>
        <w:t xml:space="preserve"> </w:t>
      </w:r>
      <w:r>
        <w:t xml:space="preserve">(según plan elegido).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Informe intermedio</w:t>
      </w:r>
      <w:r>
        <w:t xml:space="preserve"> </w:t>
      </w:r>
      <w:r>
        <w:t xml:space="preserve">con evidencias y estado actualizado.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Ciclo 2 de mantención</w:t>
      </w:r>
      <w:r>
        <w:t xml:space="preserve"> </w:t>
      </w:r>
      <w:r>
        <w:t xml:space="preserve">(según frecuencia pactada).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Informe final semestral</w:t>
      </w:r>
      <w:r>
        <w:t xml:space="preserve"> </w:t>
      </w:r>
      <w:r>
        <w:t xml:space="preserve">y recomendaciones para el siguiente período.</w:t>
      </w:r>
    </w:p>
    <w:p>
      <w:pPr>
        <w:pStyle w:val="FirstParagraph"/>
      </w:pPr>
      <w:r>
        <w:rPr>
          <w:iCs/>
          <w:i/>
        </w:rPr>
        <w:t xml:space="preserve">Fechas tentativas se alinearán al semestre operativo del cliente.</w:t>
      </w:r>
    </w:p>
    <w:p>
      <w:r>
        <w:pict>
          <v:rect style="width:0;height:1.5pt" o:hralign="center" o:hrstd="t" o:hr="t"/>
        </w:pict>
      </w:r>
    </w:p>
    <w:bookmarkEnd w:id="26"/>
    <w:bookmarkStart w:id="27" w:name="sobre-nosotros"/>
    <w:p>
      <w:pPr>
        <w:pStyle w:val="Heading2"/>
      </w:pPr>
      <w:r>
        <w:t xml:space="preserve">6. Sobre nosotros</w:t>
      </w:r>
    </w:p>
    <w:p>
      <w:pPr>
        <w:pStyle w:val="FirstParagraph"/>
      </w:pPr>
      <w:r>
        <w:t xml:space="preserve">Contamos con más de 10 años de experiencia en mantención de infraestructura física y soporte TI para constructoras, inmobiliarias y oficinas corporativas en Chile. Conocemos la normativa DS27 y OGUC, y trabajamos con protocolos de trazabilidad total. No somos un proveedor más: somos un aliado estratégico que entrega información útil para tomar decisiones, no solo una boleta.</w:t>
      </w:r>
    </w:p>
    <w:p>
      <w:r>
        <w:pict>
          <v:rect style="width:0;height:1.5pt" o:hralign="center" o:hrstd="t" o:hr="t"/>
        </w:pict>
      </w:r>
    </w:p>
    <w:bookmarkEnd w:id="27"/>
    <w:bookmarkStart w:id="28" w:name="condiciones-comerciales"/>
    <w:p>
      <w:pPr>
        <w:pStyle w:val="Heading2"/>
      </w:pPr>
      <w:r>
        <w:t xml:space="preserve">7. Condiciones comerciales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Forma de pago:</w:t>
      </w:r>
      <w:r>
        <w:t xml:space="preserve"> </w:t>
      </w:r>
      <w:r>
        <w:t xml:space="preserve">50% al inicio de cada ciclo, 50% al informe correspondiente, o mensualización previa evaluación.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Vigencia de la cotización:</w:t>
      </w:r>
      <w:r>
        <w:t xml:space="preserve"> </w:t>
      </w:r>
      <w:r>
        <w:t xml:space="preserve">30 días corridos desde la fecha de esta propuesta.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Exclusiones explícitas:</w:t>
      </w:r>
      <w:r>
        <w:t xml:space="preserve"> </w:t>
      </w:r>
      <w:r>
        <w:t xml:space="preserve">materiales no especificados en el alcance, reposición de equipos completos, daños estructurales mayores detectados durante la intervención (se cotizarán por separado).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Cláusula de salida:</w:t>
      </w:r>
      <w:r>
        <w:t xml:space="preserve"> </w:t>
      </w:r>
      <w:r>
        <w:t xml:space="preserve">posibilidad de rescindir el contrato sin penalización durante los primeros 60 días, si los resultados no son satisfactorios.</w:t>
      </w:r>
    </w:p>
    <w:p>
      <w:r>
        <w:pict>
          <v:rect style="width:0;height:1.5pt" o:hralign="center" o:hrstd="t" o:hr="t"/>
        </w:pict>
      </w:r>
    </w:p>
    <w:bookmarkEnd w:id="28"/>
    <w:bookmarkStart w:id="29" w:name="siguiente-paso"/>
    <w:p>
      <w:pPr>
        <w:pStyle w:val="Heading2"/>
      </w:pPr>
      <w:r>
        <w:t xml:space="preserve">8. Siguiente paso</w:t>
      </w:r>
    </w:p>
    <w:p>
      <w:pPr>
        <w:pStyle w:val="FirstParagraph"/>
      </w:pPr>
      <w:r>
        <w:rPr>
          <w:bCs/>
          <w:b/>
        </w:rPr>
        <w:t xml:space="preserve">Agende su auditoría inicial gratuita.</w:t>
      </w:r>
      <w:r>
        <w:br/>
      </w:r>
      <w:r>
        <w:t xml:space="preserve">📞 982117689</w:t>
      </w:r>
      <w:r>
        <w:br/>
      </w:r>
      <w:r>
        <w:t xml:space="preserve">✉️ elchillanejo@gmail.com</w:t>
      </w:r>
    </w:p>
    <w:p>
      <w:pPr>
        <w:pStyle w:val="BodyText"/>
      </w:pPr>
      <w:r>
        <w:t xml:space="preserve">Solo una acción, sin compromiso. En menos de 4 horas tendrá un diagnóstico real de su infraestructura y el costo exacto de ponerla bajo control.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Propuesta generada con DepaFix – Sistema de Gestión de Presupuestos y Mantención.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2026-06-25T22:38:18Z</dcterms:created>
  <dcterms:modified xsi:type="dcterms:W3CDTF">2026-06-25T22:38:18Z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