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aleway" w:cs="Raleway" w:eastAsia="Raleway" w:hAnsi="Raleway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070c0"/>
          <w:sz w:val="22"/>
          <w:szCs w:val="22"/>
          <w:rtl w:val="0"/>
        </w:rPr>
        <w:t xml:space="preserve">MODELO CANVAS</w:t>
      </w:r>
    </w:p>
    <w:p w:rsidR="00000000" w:rsidDel="00000000" w:rsidP="00000000" w:rsidRDefault="00000000" w:rsidRPr="00000000" w14:paraId="00000002">
      <w:pPr>
        <w:rPr>
          <w:rFonts w:ascii="Raleway" w:cs="Raleway" w:eastAsia="Raleway" w:hAnsi="Raleway"/>
          <w:b w:val="1"/>
          <w:bCs w:val="1"/>
          <w:color w:val="0070c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0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9"/>
        <w:gridCol w:w="2843"/>
        <w:gridCol w:w="1256"/>
        <w:gridCol w:w="1423"/>
        <w:gridCol w:w="2844"/>
        <w:gridCol w:w="3113"/>
        <w:tblGridChange w:id="0">
          <w:tblGrid>
            <w:gridCol w:w="3029"/>
            <w:gridCol w:w="2843"/>
            <w:gridCol w:w="1256"/>
            <w:gridCol w:w="1423"/>
            <w:gridCol w:w="2844"/>
            <w:gridCol w:w="3113"/>
          </w:tblGrid>
        </w:tblGridChange>
      </w:tblGrid>
      <w:tr>
        <w:trPr>
          <w:cantSplit w:val="0"/>
          <w:trHeight w:val="1852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2952"/>
              </w:tabs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Asociaciones clave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2952"/>
              </w:tabs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6" w:before="26" w:lineRule="auto"/>
              <w:ind w:lef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Los socios clave son inversores y patrocinadores. Los proveedores principales son AWS para infraestructura, GitHub para integración y Google para autenticación. De los clientes se adquiere el contenido generado por la comunidad, como la creación de paquetes de viaje, fotos y calificaciones.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Actividades clave</w:t>
            </w:r>
          </w:p>
          <w:p w:rsidR="00000000" w:rsidDel="00000000" w:rsidP="00000000" w:rsidRDefault="00000000" w:rsidRPr="00000000" w14:paraId="00000007">
            <w:pPr>
              <w:spacing w:after="26" w:before="26" w:lineRule="auto"/>
              <w:ind w:left="16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6" w:before="26" w:lineRule="auto"/>
              <w:ind w:left="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La actividad principal es el desarrollo del MVP de la aplicación móvil y su despliegue en la nube. La distribución se realiza publicando en las tiendas de aplicaciones. Se requiere gestionar el sistema de reputación, moderar la comunidad y construir una masa crítica de usuarios para habilitar la monetización futura.</w:t>
            </w:r>
          </w:p>
        </w:tc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Propuesta de valor</w:t>
            </w:r>
          </w:p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6" w:before="26" w:lineRule="auto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Se conecta a viajeros con compañía confiable mediante una plataforma segura, resolviendo la falta de acompañantes y la inseguridad de los grupos informales. La diferenciación radica en eliminar intermediarios comerciales, centralizando la planificación y validación de perfiles mediante un sistema de reputación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Relación con el cliente</w:t>
            </w:r>
          </w:p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6" w:before="26" w:lineRule="auto"/>
              <w:ind w:lef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La relación se basa en la confianza comunitaria y se sostiene de forma automatizada a través del sistema de calificaciones. La atención al cliente se enfoca estrictamente en la moderación para garantizar la seguridad e intervenir ante conductas inapropiadas.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Segmentos de clientes</w:t>
            </w:r>
          </w:p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6" w:before="26" w:lineRule="auto"/>
              <w:ind w:lef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Dirigido a viajeros independientes y mochileros colombianos que prefieren no viajar solos y desean unirse a planes compartidos. El nicho principal es el turismo durante la temporada vacacional colombiana.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Recursos clave</w:t>
            </w:r>
          </w:p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6" w:before="26" w:lineRule="auto"/>
              <w:ind w:lef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 nivel humano se cuenta con el equipo central de desarrollo y moderación. La financiación consiste en el presupuesto asignado para talento, servicios cloud y margen de riesgo. A nivel tecnológico, se dispone del código base, bases de datos y la infraestructura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Canales</w:t>
            </w:r>
          </w:p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6" w:before="26" w:lineRule="auto"/>
              <w:ind w:lef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 canal de distribución e interacción es exclusivamente online a través de la aplicación móvil Vibe Tribe.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D">
            <w:pPr>
              <w:tabs>
                <w:tab w:val="left" w:leader="none" w:pos="740"/>
                <w:tab w:val="center" w:leader="none" w:pos="6800"/>
              </w:tabs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Estructura de costes</w:t>
            </w:r>
          </w:p>
          <w:p w:rsidR="00000000" w:rsidDel="00000000" w:rsidP="00000000" w:rsidRDefault="00000000" w:rsidRPr="00000000" w14:paraId="0000001E">
            <w:pPr>
              <w:spacing w:after="26" w:before="26" w:lineRule="auto"/>
              <w:ind w:left="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6" w:before="26" w:lineRule="auto"/>
              <w:ind w:left="0" w:firstLine="0"/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 costo más importante es el talento humano, que representa el 70% del presupuesto. El mantenimiento de la infraestructura en AWS ocupa el 15%, y el 15% restante es una reserva para mitigar riesgos operativos.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2">
            <w:pPr>
              <w:tabs>
                <w:tab w:val="left" w:leader="none" w:pos="740"/>
                <w:tab w:val="center" w:leader="none" w:pos="6800"/>
              </w:tabs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70c0"/>
                <w:sz w:val="21"/>
                <w:szCs w:val="21"/>
                <w:rtl w:val="0"/>
              </w:rPr>
              <w:t xml:space="preserve">Estructura de ingresos</w:t>
            </w:r>
          </w:p>
          <w:p w:rsidR="00000000" w:rsidDel="00000000" w:rsidP="00000000" w:rsidRDefault="00000000" w:rsidRPr="00000000" w14:paraId="00000023">
            <w:pPr>
              <w:spacing w:after="26" w:before="26" w:lineRule="auto"/>
              <w:ind w:left="16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6" w:before="26" w:lineRule="auto"/>
              <w:ind w:left="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 precio actual para el cliente es cero, ya que la estrategia busca crecimiento gratuito para alcanzar la masa crítica. La financiación inicial proviene exclusivamente del capital aportado por inversores y patrocinadores del proyecto.</w:t>
            </w:r>
          </w:p>
        </w:tc>
      </w:tr>
    </w:tbl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18" w:left="1247" w:right="2552" w:header="709" w:footer="55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22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rsid w:val="0080014D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0014D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263FA2"/>
    <w:pPr>
      <w:suppressAutoHyphens w:val="1"/>
      <w:spacing w:after="280" w:before="280"/>
    </w:pPr>
    <w:rPr>
      <w:rFonts w:ascii="Arial" w:cs="Arial" w:eastAsia="Arial Unicode MS" w:hAnsi="Arial"/>
      <w:color w:val="333333"/>
      <w:sz w:val="20"/>
      <w:szCs w:val="20"/>
      <w:lang w:eastAsia="ar-SA"/>
    </w:rPr>
  </w:style>
  <w:style w:type="table" w:styleId="TableGrid">
    <w:name w:val="Table Grid"/>
    <w:basedOn w:val="TableNormal"/>
    <w:rsid w:val="00263FA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rsid w:val="00263FA2"/>
    <w:rPr>
      <w:color w:val="0000ff"/>
      <w:u w:val="single"/>
    </w:rPr>
  </w:style>
  <w:style w:type="paragraph" w:styleId="Default" w:customStyle="1">
    <w:name w:val="Default"/>
    <w:rsid w:val="00263FA2"/>
    <w:pPr>
      <w:suppressAutoHyphens w:val="1"/>
      <w:autoSpaceDE w:val="0"/>
    </w:pPr>
    <w:rPr>
      <w:rFonts w:ascii="Arial" w:cs="Arial" w:eastAsia="Arial" w:hAnsi="Arial"/>
      <w:color w:val="000000"/>
      <w:sz w:val="24"/>
      <w:szCs w:val="24"/>
      <w:lang w:eastAsia="ar-SA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sAMZU+DzH2226KRhyy8xEDsTQ==">CgMxLjA4AHIhMXFQV0hGMzJOU1NkWUd0Tkp1LWdjWkxLVDdOdkdjVXNj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2022-02-14T17:02:00Z</dcterms:created>
  <dc:creator>Jose Sanchez Sansano</dc:creator>
</cp:coreProperties>
</file>