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BD8" w:rsidRDefault="00542DA0" w:rsidP="00542DA0">
      <w:pPr>
        <w:jc w:val="right"/>
      </w:pPr>
      <w:r>
        <w:t>Eleanor Cotton</w:t>
      </w:r>
    </w:p>
    <w:p w:rsidR="00542DA0" w:rsidRDefault="00542DA0" w:rsidP="00542DA0">
      <w:pPr>
        <w:jc w:val="right"/>
      </w:pPr>
      <w:r>
        <w:t>BIOS 6623-Project 3</w:t>
      </w:r>
    </w:p>
    <w:p w:rsidR="00542DA0" w:rsidRDefault="00542DA0" w:rsidP="000C42D9">
      <w:pPr>
        <w:spacing w:line="480" w:lineRule="auto"/>
        <w:jc w:val="right"/>
      </w:pPr>
    </w:p>
    <w:p w:rsidR="00542DA0" w:rsidRDefault="00542DA0" w:rsidP="000C42D9">
      <w:pPr>
        <w:spacing w:line="480" w:lineRule="auto"/>
        <w:jc w:val="right"/>
      </w:pPr>
    </w:p>
    <w:p w:rsidR="00542DA0" w:rsidRDefault="00542DA0" w:rsidP="000C42D9">
      <w:pPr>
        <w:spacing w:line="480" w:lineRule="auto"/>
        <w:jc w:val="center"/>
        <w:rPr>
          <w:b/>
        </w:rPr>
      </w:pPr>
      <w:r w:rsidRPr="00542DA0">
        <w:rPr>
          <w:b/>
        </w:rPr>
        <w:t>Introduction</w:t>
      </w:r>
    </w:p>
    <w:p w:rsidR="00542DA0" w:rsidRDefault="00542DA0" w:rsidP="000C42D9">
      <w:pPr>
        <w:spacing w:line="480" w:lineRule="auto"/>
      </w:pPr>
      <w:r>
        <w:tab/>
        <w:t>The primary aim of this project is to measure trajectories of memory and cognitive loss in individuals at risk for developing mild cognitive impairment (MCI) or dementia. Specifically, we want to see the</w:t>
      </w:r>
      <w:r w:rsidR="007C00E8">
        <w:t xml:space="preserve"> how the trajectories differ </w:t>
      </w:r>
      <w:r>
        <w:t>for</w:t>
      </w:r>
      <w:r w:rsidR="007C00E8">
        <w:t xml:space="preserve"> non-dementia</w:t>
      </w:r>
      <w:r>
        <w:t xml:space="preserve"> indiv</w:t>
      </w:r>
      <w:r w:rsidR="007C00E8">
        <w:t>iduals compared to</w:t>
      </w:r>
      <w:r>
        <w:t xml:space="preserve"> individuals diagnosed with dementia or MCI. We also want to see if there is a period before diagnosis that the memory </w:t>
      </w:r>
      <w:r w:rsidR="007C00E8">
        <w:t xml:space="preserve">and cognitive </w:t>
      </w:r>
      <w:r>
        <w:t xml:space="preserve">loss trajectory changes in the dementia individuals. </w:t>
      </w:r>
    </w:p>
    <w:p w:rsidR="00542DA0" w:rsidRDefault="00542DA0" w:rsidP="000C42D9">
      <w:pPr>
        <w:spacing w:line="480" w:lineRule="auto"/>
      </w:pPr>
      <w:r>
        <w:tab/>
        <w:t xml:space="preserve">For this study, 216 healthy, community dwelling, cognitively intact elders were enrolled and examined annually for an average of 15.7 years. </w:t>
      </w:r>
      <w:r w:rsidR="00AB6EE6">
        <w:t xml:space="preserve">Age, gender, and SES were recorded on each individual. The </w:t>
      </w:r>
      <w:r w:rsidR="007C00E8">
        <w:t>category fluency for animals</w:t>
      </w:r>
      <w:r w:rsidR="00AB6EE6">
        <w:t xml:space="preserve"> </w:t>
      </w:r>
      <w:r w:rsidR="007C00E8">
        <w:t>test (Animal Score)</w:t>
      </w:r>
      <w:r w:rsidR="00AB6EE6">
        <w:t xml:space="preserve"> w</w:t>
      </w:r>
      <w:r w:rsidR="007C00E8">
        <w:t xml:space="preserve">as </w:t>
      </w:r>
      <w:r w:rsidR="00AB6EE6">
        <w:t>perf</w:t>
      </w:r>
      <w:r w:rsidR="007C00E8">
        <w:t>ormed during each examination to measure memory and cognitive abilities</w:t>
      </w:r>
      <w:r w:rsidR="00AB6EE6">
        <w:t xml:space="preserve">. Individuals who had at least two consecutive clinical Dementia Ratings of 0.5 were categorized as having developed MCI. </w:t>
      </w:r>
    </w:p>
    <w:p w:rsidR="00542DA0" w:rsidRPr="00542DA0" w:rsidRDefault="00542DA0" w:rsidP="000C42D9">
      <w:pPr>
        <w:spacing w:line="480" w:lineRule="auto"/>
      </w:pPr>
    </w:p>
    <w:p w:rsidR="00542DA0" w:rsidRDefault="00542DA0" w:rsidP="000C42D9">
      <w:pPr>
        <w:spacing w:line="480" w:lineRule="auto"/>
        <w:jc w:val="center"/>
        <w:rPr>
          <w:b/>
        </w:rPr>
      </w:pPr>
      <w:r w:rsidRPr="00AB6EE6">
        <w:rPr>
          <w:b/>
        </w:rPr>
        <w:t>Methods</w:t>
      </w:r>
    </w:p>
    <w:p w:rsidR="00BF50A4" w:rsidRPr="00BF50A4" w:rsidRDefault="00BF50A4" w:rsidP="000C42D9">
      <w:pPr>
        <w:spacing w:line="480" w:lineRule="auto"/>
        <w:ind w:firstLine="720"/>
      </w:pPr>
      <w:proofErr w:type="spellStart"/>
      <w:r w:rsidRPr="00E74B52">
        <w:t>RStudio</w:t>
      </w:r>
      <w:proofErr w:type="spellEnd"/>
      <w:r w:rsidRPr="00E74B52">
        <w:t xml:space="preserve"> version 3.4.2 was used for all statistical analysis</w:t>
      </w:r>
      <w:r w:rsidR="00F70E15">
        <w:t>.</w:t>
      </w:r>
    </w:p>
    <w:p w:rsidR="00AB6EE6" w:rsidRDefault="00AB6EE6" w:rsidP="000C42D9">
      <w:pPr>
        <w:spacing w:line="480" w:lineRule="auto"/>
      </w:pPr>
      <w:r>
        <w:tab/>
        <w:t xml:space="preserve">Initially, 216 </w:t>
      </w:r>
      <w:r w:rsidR="007C00E8">
        <w:t xml:space="preserve">individuals </w:t>
      </w:r>
      <w:r>
        <w:t xml:space="preserve">were enrolled in the study. A priori, it was decided that only individuals that had 3 or more time points recorded would be involved in analysis. </w:t>
      </w:r>
      <w:r w:rsidR="007C00E8">
        <w:t xml:space="preserve">Therefore, only </w:t>
      </w:r>
      <w:r w:rsidR="00B00B87">
        <w:t xml:space="preserve">187 individuals were included in the </w:t>
      </w:r>
      <w:r w:rsidR="007C00E8">
        <w:t>analysis.</w:t>
      </w:r>
      <w:r w:rsidR="00B00B87">
        <w:t xml:space="preserve"> </w:t>
      </w:r>
    </w:p>
    <w:p w:rsidR="00BF50A4" w:rsidRDefault="00BF50A4" w:rsidP="000C42D9">
      <w:pPr>
        <w:spacing w:line="480" w:lineRule="auto"/>
        <w:ind w:firstLine="720"/>
      </w:pPr>
      <w:r w:rsidRPr="00E74B52">
        <w:t xml:space="preserve">Categorical data was presented using percents and group sizes. Numerical variables were presented using means and standard deviations.  </w:t>
      </w:r>
    </w:p>
    <w:p w:rsidR="0089710B" w:rsidRDefault="0089710B" w:rsidP="000C42D9">
      <w:pPr>
        <w:spacing w:line="480" w:lineRule="auto"/>
        <w:ind w:firstLine="720"/>
      </w:pPr>
      <w:r>
        <w:t>Based on likelihood maximization over 0.1 day intervals across the period prior to dementia diagnosis, a</w:t>
      </w:r>
      <w:r w:rsidR="003A0839">
        <w:t xml:space="preserve"> change point</w:t>
      </w:r>
      <w:r w:rsidR="007C00E8">
        <w:t xml:space="preserve"> </w:t>
      </w:r>
      <w:r>
        <w:t>of -3.9 was identified. This value</w:t>
      </w:r>
      <w:r w:rsidR="003A0839">
        <w:t xml:space="preserve"> represents a change in trajectory of</w:t>
      </w:r>
      <w:r w:rsidR="008A6601">
        <w:t xml:space="preserve"> </w:t>
      </w:r>
      <w:r>
        <w:t xml:space="preserve">the animal score </w:t>
      </w:r>
      <w:r w:rsidR="007C00E8">
        <w:t>over time</w:t>
      </w:r>
      <w:r w:rsidR="008A6601">
        <w:t>.</w:t>
      </w:r>
      <w:r>
        <w:t xml:space="preserve"> On average, at 3.9 years prior to</w:t>
      </w:r>
      <w:r w:rsidR="00A9119B">
        <w:t xml:space="preserve"> dementia</w:t>
      </w:r>
      <w:r>
        <w:t xml:space="preserve"> diagnosis, the relationship between animal score and time changed.</w:t>
      </w:r>
      <w:r w:rsidR="007C00E8">
        <w:t xml:space="preserve"> </w:t>
      </w:r>
      <w:r w:rsidR="002469B6">
        <w:t xml:space="preserve">In order to find a confidence interval around the change point, bootstrapping </w:t>
      </w:r>
      <w:r w:rsidR="002469B6">
        <w:lastRenderedPageBreak/>
        <w:t>randomly sampled the data 1000 times with replacement and found a change point associated with each sampling. Then, the 2.5 and 97.5 quantiles were calculated to get the 95% confidence interval around the change point estimate.</w:t>
      </w:r>
    </w:p>
    <w:p w:rsidR="00A9119B" w:rsidRDefault="00A9119B" w:rsidP="000C42D9">
      <w:pPr>
        <w:spacing w:line="480" w:lineRule="auto"/>
        <w:ind w:firstLine="720"/>
      </w:pPr>
      <w:r>
        <w:t xml:space="preserve">Age difference was calculated by subtracting age of onset from the age for each individual at each time point. If an individual didn’t develop dementia, the age difference variable was zero. </w:t>
      </w:r>
      <w:r>
        <w:t xml:space="preserve">The </w:t>
      </w:r>
      <w:r>
        <w:t xml:space="preserve">variable involving the change point </w:t>
      </w:r>
      <w:r>
        <w:t>was added to the model by comparing</w:t>
      </w:r>
      <w:r w:rsidR="00F70E15">
        <w:t xml:space="preserve"> the estimated change point</w:t>
      </w:r>
      <w:r>
        <w:t xml:space="preserve"> to </w:t>
      </w:r>
      <w:r>
        <w:t xml:space="preserve">the age difference. If the age difference was greater than the change point value, than the value for the change point was age difference minus the change point. If the change point was greater than the age difference, than the value for the change point variable was zero. </w:t>
      </w:r>
    </w:p>
    <w:p w:rsidR="00A9119B" w:rsidRDefault="00BF50A4" w:rsidP="000C42D9">
      <w:pPr>
        <w:spacing w:line="480" w:lineRule="auto"/>
      </w:pPr>
      <w:r>
        <w:tab/>
      </w:r>
      <w:r w:rsidR="008A6601">
        <w:t xml:space="preserve">A mixed model </w:t>
      </w:r>
      <w:r w:rsidR="0089710B">
        <w:t xml:space="preserve">with a random intercept for each individual and an </w:t>
      </w:r>
      <w:proofErr w:type="gramStart"/>
      <w:r w:rsidR="0089710B">
        <w:t>AR(</w:t>
      </w:r>
      <w:proofErr w:type="gramEnd"/>
      <w:r w:rsidR="0089710B">
        <w:t>1) covariance structure on time points was run with animal score as the outcome</w:t>
      </w:r>
      <w:r>
        <w:t xml:space="preserve">. </w:t>
      </w:r>
      <w:r w:rsidR="002469B6">
        <w:t>Adjusted age</w:t>
      </w:r>
      <w:r w:rsidR="00EB6491">
        <w:t xml:space="preserve">, dementia status, the interaction between </w:t>
      </w:r>
      <w:r w:rsidR="002469B6">
        <w:t xml:space="preserve">adjusted </w:t>
      </w:r>
      <w:r w:rsidR="00EB6491">
        <w:t xml:space="preserve">age and dementia status, SES, gender, and the </w:t>
      </w:r>
      <w:r w:rsidR="00F70E15">
        <w:t>change point variable</w:t>
      </w:r>
      <w:r w:rsidR="00EB6491">
        <w:t>.</w:t>
      </w:r>
      <w:r w:rsidR="00DC2978">
        <w:t xml:space="preserve"> The age variable was adjusted by taking the original </w:t>
      </w:r>
      <w:r w:rsidR="00A9119B">
        <w:t xml:space="preserve">age </w:t>
      </w:r>
      <w:r w:rsidR="00DC2978">
        <w:t xml:space="preserve">and subtracting the minimum age of the study (59 years). </w:t>
      </w:r>
      <w:r w:rsidR="002469B6">
        <w:t xml:space="preserve">This allowed for the intercept to have a more interpretable value. </w:t>
      </w:r>
      <w:r w:rsidR="00DC2978">
        <w:t xml:space="preserve">Gender and Dementia status were treated as categorical variables, with non-dementia men being the reference group. </w:t>
      </w:r>
    </w:p>
    <w:p w:rsidR="00CE6B6B" w:rsidRPr="00E74B52" w:rsidRDefault="00A9119B" w:rsidP="000C42D9">
      <w:pPr>
        <w:spacing w:line="480" w:lineRule="auto"/>
      </w:pPr>
      <w:r>
        <w:tab/>
      </w:r>
      <w:r w:rsidR="0089710B">
        <w:t>Proper standard error estimates for each coefficient were generated from the same bootstrapping</w:t>
      </w:r>
      <w:r w:rsidR="002469B6">
        <w:t xml:space="preserve"> as</w:t>
      </w:r>
      <w:r w:rsidR="0089710B">
        <w:t xml:space="preserve"> mentioned above. </w:t>
      </w:r>
      <w:r w:rsidR="002469B6">
        <w:t xml:space="preserve">The above mixed model was ran in the bootstrap, to get estimates for each coefficient. </w:t>
      </w:r>
      <w:r w:rsidR="00A8662B">
        <w:t xml:space="preserve">The standard deviations were then calculated across the 1000 estimates for each coefficient and used as their corresponding standard errors. </w:t>
      </w:r>
      <w:r w:rsidR="0089710B">
        <w:t xml:space="preserve">These standard errors and the coefficient estimates from the </w:t>
      </w:r>
      <w:r w:rsidR="00A8662B">
        <w:t xml:space="preserve">original </w:t>
      </w:r>
      <w:r w:rsidR="0089710B">
        <w:t>model wer</w:t>
      </w:r>
      <w:r w:rsidR="00DC2978">
        <w:t xml:space="preserve">e used to test </w:t>
      </w:r>
      <w:r w:rsidR="00F70E15">
        <w:t xml:space="preserve">the statistically significance of </w:t>
      </w:r>
      <w:r w:rsidR="00DC2978">
        <w:t>each coefficient</w:t>
      </w:r>
      <w:r w:rsidR="0089332E">
        <w:t xml:space="preserve">. </w:t>
      </w:r>
    </w:p>
    <w:p w:rsidR="00BF50A4" w:rsidRPr="00AB6EE6" w:rsidRDefault="00BF50A4" w:rsidP="000C42D9">
      <w:pPr>
        <w:spacing w:line="480" w:lineRule="auto"/>
      </w:pPr>
    </w:p>
    <w:p w:rsidR="00542DA0" w:rsidRPr="00EB6491" w:rsidRDefault="00542DA0" w:rsidP="000C42D9">
      <w:pPr>
        <w:spacing w:line="480" w:lineRule="auto"/>
        <w:jc w:val="center"/>
        <w:rPr>
          <w:b/>
        </w:rPr>
      </w:pPr>
      <w:r w:rsidRPr="00EB6491">
        <w:rPr>
          <w:b/>
        </w:rPr>
        <w:t>Results</w:t>
      </w:r>
    </w:p>
    <w:p w:rsidR="00135815" w:rsidRDefault="00135815" w:rsidP="000C42D9">
      <w:pPr>
        <w:spacing w:line="480" w:lineRule="auto"/>
      </w:pPr>
      <w:r>
        <w:tab/>
        <w:t xml:space="preserve">Table One shows the demographics for the entire cohort (column 1), those diagnosed with dementia (column 2), and those not diagnosed with dementia (column 3). </w:t>
      </w:r>
      <w:r w:rsidR="00DC2978">
        <w:t xml:space="preserve">There were on average about 16 years of observations for each individual. </w:t>
      </w:r>
      <w:r>
        <w:t xml:space="preserve">There were slightly more females involved in the study than males. Nearly two-thirds of individuals diagnosed with dementia were female. The average SES was </w:t>
      </w:r>
      <w:r>
        <w:lastRenderedPageBreak/>
        <w:t xml:space="preserve">about 49 for demented and non-demented individuals. The average age for demented individuals was higher than that of non-demented individuals (84.8 vs. 77.72 year old respectively). The age of onset of dementia was 90.7. </w:t>
      </w:r>
    </w:p>
    <w:p w:rsidR="00EB6491" w:rsidRDefault="00EB6491" w:rsidP="000C42D9">
      <w:pPr>
        <w:spacing w:line="480" w:lineRule="auto"/>
      </w:pPr>
      <w:r>
        <w:tab/>
        <w:t xml:space="preserve">The change point </w:t>
      </w:r>
      <w:r w:rsidR="000C42D9">
        <w:t xml:space="preserve">identified </w:t>
      </w:r>
      <w:r w:rsidR="00786D28">
        <w:t xml:space="preserve">was </w:t>
      </w:r>
      <w:r>
        <w:t>3.9</w:t>
      </w:r>
      <w:r w:rsidR="00786D28">
        <w:t xml:space="preserve"> years prior to diagnosis</w:t>
      </w:r>
      <w:r>
        <w:t>, with a 95% conf</w:t>
      </w:r>
      <w:r w:rsidR="005E5F68">
        <w:t>idence interval of -5.30 to -2.6</w:t>
      </w:r>
      <w:r>
        <w:t>0</w:t>
      </w:r>
      <w:r w:rsidR="00786D28">
        <w:t xml:space="preserve"> years</w:t>
      </w:r>
      <w:r>
        <w:t xml:space="preserve">. </w:t>
      </w:r>
    </w:p>
    <w:p w:rsidR="00974516" w:rsidRDefault="007A40FC" w:rsidP="000C42D9">
      <w:pPr>
        <w:spacing w:line="480" w:lineRule="auto"/>
      </w:pPr>
      <w:r>
        <w:tab/>
        <w:t xml:space="preserve">Table Two shows the results of the mixed modelling. </w:t>
      </w:r>
      <w:r w:rsidR="00893C8C">
        <w:t xml:space="preserve">The intercept represents the predicted animal score for a male without dementia at age 59. </w:t>
      </w:r>
      <w:r w:rsidR="008F1E17">
        <w:t xml:space="preserve">There was not a significant difference in trajectories between men and women (p = 0.0916), when controlling for the other variables. There was also not a significant difference </w:t>
      </w:r>
      <w:r w:rsidR="000C42D9">
        <w:t xml:space="preserve">in average animal score </w:t>
      </w:r>
      <w:r w:rsidR="008F1E17">
        <w:t>for those with dementia and those without (p = 0.0916). Finally, there was not a significant difference in the relationship between age and animal score</w:t>
      </w:r>
      <w:r w:rsidR="00893C8C">
        <w:t xml:space="preserve"> for those with dementia and those without (p = 0.9486)</w:t>
      </w:r>
      <w:r w:rsidR="00786D28">
        <w:t xml:space="preserve"> prior to the change point</w:t>
      </w:r>
      <w:r w:rsidR="00893C8C">
        <w:t>. SES had a statistically significant impact on animal score (p = 0.0314). For everyone 1 unit increase in SES, there was a 0.039 point increase in animal score on average (95% CI: 0.003 to 0.074). There was also a significant relationship between age and animal score (p &lt; 0.0001). For everyone 1 year increase in age, there is on average a 0.183 point decrease in animal score (95% CI:  -0.232 to -0.134). This</w:t>
      </w:r>
      <w:r w:rsidR="00786D28">
        <w:t xml:space="preserve"> is </w:t>
      </w:r>
      <w:r w:rsidR="00893C8C">
        <w:t xml:space="preserve">the estimated slope </w:t>
      </w:r>
      <w:r w:rsidR="008C67AA">
        <w:t>for all non-dementia patients and dementia patients</w:t>
      </w:r>
      <w:r w:rsidR="00A8662B">
        <w:t xml:space="preserve"> approximately</w:t>
      </w:r>
      <w:r w:rsidR="008C67AA">
        <w:t xml:space="preserve"> </w:t>
      </w:r>
      <w:r w:rsidR="000C42D9">
        <w:t xml:space="preserve">4+ </w:t>
      </w:r>
      <w:r w:rsidR="008C67AA">
        <w:t xml:space="preserve">years prior to their diagnosis. </w:t>
      </w:r>
      <w:r w:rsidR="00893C8C">
        <w:t>Finally, the change point was also significant (p &lt; 0.0001). This value shows how the relationship between age and animal score changes for those diagn</w:t>
      </w:r>
      <w:r w:rsidR="00A8662B">
        <w:t>osed with dementia less than</w:t>
      </w:r>
      <w:r w:rsidR="00893C8C">
        <w:t xml:space="preserve"> 4 years prior to their diagnoses</w:t>
      </w:r>
      <w:r w:rsidR="000C42D9">
        <w:t xml:space="preserve"> and onward</w:t>
      </w:r>
      <w:r w:rsidR="00786D28">
        <w:t xml:space="preserve"> (after the change point)</w:t>
      </w:r>
      <w:r w:rsidR="00893C8C">
        <w:t xml:space="preserve">. For individuals diagnosed with dementia after four years prior to their diagnosis, a 1 year increase in age is now associated with a 1.112 point decrease on average in animal score. </w:t>
      </w:r>
    </w:p>
    <w:p w:rsidR="00974516" w:rsidRDefault="00974516" w:rsidP="000C42D9">
      <w:pPr>
        <w:spacing w:line="480" w:lineRule="auto"/>
      </w:pPr>
      <w:r>
        <w:tab/>
        <w:t>Graph one visually shows the relationsh</w:t>
      </w:r>
      <w:r w:rsidR="008F1E17">
        <w:t>ip between animal score and age</w:t>
      </w:r>
      <w:r>
        <w:t xml:space="preserve"> for non-dementia individuals (blue lines) and those diagnosed with dementia (yellow lines). Each line represents a single individual’</w:t>
      </w:r>
      <w:r w:rsidR="008F1E17">
        <w:t>s animal score as an individual ages</w:t>
      </w:r>
      <w:r>
        <w:t>.</w:t>
      </w:r>
    </w:p>
    <w:p w:rsidR="00F70E15" w:rsidRDefault="00974516" w:rsidP="000C42D9">
      <w:pPr>
        <w:spacing w:line="480" w:lineRule="auto"/>
      </w:pPr>
      <w:r>
        <w:lastRenderedPageBreak/>
        <w:tab/>
        <w:t xml:space="preserve">Graph two visually shows the relationship between animal score and time before </w:t>
      </w:r>
      <w:r w:rsidR="008F1E17">
        <w:t>diagnosis for individuals diagnosed with dementia. The red line denotes when the dementia diagnoses was made. The blue dashed line denotes the change point estimate.</w:t>
      </w:r>
    </w:p>
    <w:p w:rsidR="00F70E15" w:rsidRDefault="00F70E15" w:rsidP="000C42D9">
      <w:pPr>
        <w:spacing w:line="480" w:lineRule="auto"/>
      </w:pPr>
    </w:p>
    <w:p w:rsidR="00542DA0" w:rsidRDefault="00542DA0" w:rsidP="000C42D9">
      <w:pPr>
        <w:spacing w:line="480" w:lineRule="auto"/>
        <w:jc w:val="center"/>
        <w:rPr>
          <w:b/>
        </w:rPr>
      </w:pPr>
      <w:r w:rsidRPr="008D498C">
        <w:rPr>
          <w:b/>
        </w:rPr>
        <w:t>Conclusions</w:t>
      </w:r>
    </w:p>
    <w:p w:rsidR="008D498C" w:rsidRDefault="008C67AA" w:rsidP="000C42D9">
      <w:pPr>
        <w:spacing w:line="480" w:lineRule="auto"/>
      </w:pPr>
      <w:r>
        <w:rPr>
          <w:b/>
        </w:rPr>
        <w:tab/>
      </w:r>
      <w:r>
        <w:t>The cognitive loss trajectory was the same for dementia and non-dementia individuals up to four years prior to dementia diagnoses. At this point, dementia individuals developed a more negative relationship between age and animal score. A one year increase in age was associated with a great drop in animal score than those who have not been diagnosed with dementia (-1.112 vs. -0.183 respectively). It appears that four years before diagnosis is a critical time for those developing cognitive loss. Using these results,</w:t>
      </w:r>
      <w:r w:rsidR="00DC2978">
        <w:t xml:space="preserve"> medical professionals</w:t>
      </w:r>
      <w:r>
        <w:t xml:space="preserve"> may </w:t>
      </w:r>
      <w:r w:rsidR="00DC2978">
        <w:t>be able to be identified dementia in individuals sooner. An earlier diagnosis would allow for individuals to get</w:t>
      </w:r>
      <w:r>
        <w:t xml:space="preserve"> treatment sooner</w:t>
      </w:r>
      <w:r w:rsidR="00DC2978">
        <w:t xml:space="preserve"> and could possibly contribute to better long term outcomes</w:t>
      </w:r>
      <w:r>
        <w:t xml:space="preserve">. </w:t>
      </w:r>
    </w:p>
    <w:p w:rsidR="00786D28" w:rsidRPr="008C67AA" w:rsidRDefault="00786D28" w:rsidP="000C42D9">
      <w:pPr>
        <w:spacing w:line="480" w:lineRule="auto"/>
      </w:pPr>
      <w:r>
        <w:tab/>
        <w:t xml:space="preserve">It is important for investigators to question the clinical significance of the SES estimate. It is associated with a very small increase in animal score, and it is possible that this change is not clinically meaningful. </w:t>
      </w:r>
    </w:p>
    <w:p w:rsidR="00647B5D" w:rsidRDefault="008D498C" w:rsidP="000C42D9">
      <w:pPr>
        <w:spacing w:line="480" w:lineRule="auto"/>
        <w:ind w:firstLine="720"/>
      </w:pPr>
      <w:r>
        <w:t xml:space="preserve">This study had several limitations. First, 29 individuals had to be dropped from analysis due to missingness, nearly 15% of the entire cohort. Second, the change point </w:t>
      </w:r>
      <w:r w:rsidR="00DC2978">
        <w:t>had a fairly large confidence interval. It could be that the change point occurred earlier or later than the value used in the model.</w:t>
      </w:r>
      <w:r w:rsidR="00F70E15">
        <w:t xml:space="preserve"> Finally, data on more dementia patients should be included to see if this estimated change point and the relationship of age and animal score holds. </w:t>
      </w:r>
      <w:r w:rsidR="00DC2978">
        <w:t xml:space="preserve"> </w:t>
      </w:r>
    </w:p>
    <w:p w:rsidR="00647B5D" w:rsidRPr="008D498C" w:rsidRDefault="00647B5D" w:rsidP="000C42D9">
      <w:pPr>
        <w:spacing w:line="480" w:lineRule="auto"/>
        <w:ind w:firstLine="720"/>
      </w:pPr>
    </w:p>
    <w:p w:rsidR="00542DA0" w:rsidRPr="00542DA0" w:rsidRDefault="00542DA0" w:rsidP="000C42D9">
      <w:pPr>
        <w:spacing w:line="480" w:lineRule="auto"/>
        <w:jc w:val="center"/>
        <w:rPr>
          <w:b/>
        </w:rPr>
      </w:pPr>
      <w:r w:rsidRPr="00542DA0">
        <w:rPr>
          <w:b/>
        </w:rPr>
        <w:t>GitHub Link</w:t>
      </w:r>
    </w:p>
    <w:p w:rsidR="00542DA0" w:rsidRDefault="00542DA0" w:rsidP="000C42D9">
      <w:pPr>
        <w:spacing w:line="480" w:lineRule="auto"/>
        <w:jc w:val="center"/>
      </w:pPr>
      <w:r>
        <w:t>Full Code to generate the above analysis can be found at:</w:t>
      </w:r>
    </w:p>
    <w:p w:rsidR="00542DA0" w:rsidRDefault="00A8662B" w:rsidP="00542DA0">
      <w:pPr>
        <w:jc w:val="center"/>
      </w:pPr>
      <w:hyperlink r:id="rId4" w:history="1">
        <w:r w:rsidR="00CE6B6B" w:rsidRPr="00E428E3">
          <w:rPr>
            <w:rStyle w:val="Hyperlink"/>
          </w:rPr>
          <w:t>https://github.com/BIOS6623-UCD/bios6623-elcotton</w:t>
        </w:r>
      </w:hyperlink>
    </w:p>
    <w:p w:rsidR="00CE6B6B" w:rsidRDefault="00CE6B6B" w:rsidP="00542DA0">
      <w:pPr>
        <w:jc w:val="center"/>
      </w:pPr>
    </w:p>
    <w:p w:rsidR="00CE6B6B" w:rsidRDefault="00CE6B6B" w:rsidP="00542DA0">
      <w:pPr>
        <w:jc w:val="center"/>
      </w:pPr>
    </w:p>
    <w:p w:rsidR="00542DA0" w:rsidRDefault="00542DA0" w:rsidP="00542DA0"/>
    <w:p w:rsidR="000C42D9" w:rsidRDefault="000C42D9" w:rsidP="00542DA0"/>
    <w:p w:rsidR="000C42D9" w:rsidRDefault="000C42D9" w:rsidP="00542DA0"/>
    <w:p w:rsidR="000C42D9" w:rsidRDefault="000C42D9" w:rsidP="00542DA0"/>
    <w:p w:rsidR="000C42D9" w:rsidRDefault="000C42D9" w:rsidP="00542DA0"/>
    <w:p w:rsidR="000C42D9" w:rsidRDefault="000C42D9" w:rsidP="00542DA0"/>
    <w:p w:rsidR="000C42D9" w:rsidRDefault="000C42D9" w:rsidP="00542DA0"/>
    <w:p w:rsidR="000C42D9" w:rsidRDefault="000C42D9" w:rsidP="00542DA0"/>
    <w:p w:rsidR="000C42D9" w:rsidRDefault="000C42D9" w:rsidP="00F70E15">
      <w:pPr>
        <w:rPr>
          <w:b/>
        </w:rPr>
      </w:pPr>
      <w:bookmarkStart w:id="0" w:name="_GoBack"/>
      <w:bookmarkEnd w:id="0"/>
    </w:p>
    <w:p w:rsidR="000C42D9" w:rsidRDefault="000C42D9" w:rsidP="00647B5D">
      <w:pPr>
        <w:jc w:val="center"/>
        <w:rPr>
          <w:b/>
        </w:rPr>
      </w:pPr>
    </w:p>
    <w:p w:rsidR="00647B5D" w:rsidRPr="00647B5D" w:rsidRDefault="00647B5D" w:rsidP="00647B5D">
      <w:pPr>
        <w:jc w:val="center"/>
        <w:rPr>
          <w:b/>
        </w:rPr>
      </w:pPr>
      <w:r w:rsidRPr="00647B5D">
        <w:rPr>
          <w:b/>
        </w:rPr>
        <w:t>Tables and Graphs</w:t>
      </w:r>
    </w:p>
    <w:p w:rsidR="00542DA0" w:rsidRDefault="00542DA0" w:rsidP="00542DA0">
      <w:pPr>
        <w:jc w:val="right"/>
      </w:pPr>
    </w:p>
    <w:p w:rsidR="00542DA0" w:rsidRDefault="00542DA0" w:rsidP="00542DA0">
      <w:pPr>
        <w:jc w:val="right"/>
      </w:pPr>
    </w:p>
    <w:p w:rsidR="002110A7" w:rsidRDefault="002110A7"/>
    <w:tbl>
      <w:tblPr>
        <w:tblStyle w:val="TableGrid"/>
        <w:tblW w:w="106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970"/>
        <w:gridCol w:w="2430"/>
        <w:gridCol w:w="2610"/>
      </w:tblGrid>
      <w:tr w:rsidR="00CE6B6B" w:rsidRPr="002110A7" w:rsidTr="000A4F74">
        <w:trPr>
          <w:trHeight w:val="290"/>
          <w:jc w:val="center"/>
        </w:trPr>
        <w:tc>
          <w:tcPr>
            <w:tcW w:w="10620" w:type="dxa"/>
            <w:gridSpan w:val="4"/>
            <w:tcBorders>
              <w:bottom w:val="single" w:sz="4" w:space="0" w:color="auto"/>
            </w:tcBorders>
            <w:noWrap/>
          </w:tcPr>
          <w:p w:rsidR="00CE6B6B" w:rsidRPr="000A4F74" w:rsidRDefault="00CE6B6B" w:rsidP="002110A7">
            <w:pPr>
              <w:jc w:val="center"/>
              <w:rPr>
                <w:rFonts w:eastAsia="Times New Roman" w:cs="Times New Roman"/>
                <w:b/>
                <w:color w:val="000000"/>
              </w:rPr>
            </w:pPr>
            <w:r w:rsidRPr="000A4F74">
              <w:rPr>
                <w:rFonts w:eastAsia="Times New Roman" w:cs="Times New Roman"/>
                <w:b/>
                <w:color w:val="000000"/>
                <w:sz w:val="24"/>
              </w:rPr>
              <w:t>Table One: Demographics</w:t>
            </w:r>
          </w:p>
        </w:tc>
      </w:tr>
      <w:tr w:rsidR="002110A7" w:rsidRPr="002110A7" w:rsidTr="000A4F74">
        <w:trPr>
          <w:trHeight w:val="290"/>
          <w:jc w:val="center"/>
        </w:trPr>
        <w:tc>
          <w:tcPr>
            <w:tcW w:w="2610" w:type="dxa"/>
            <w:tcBorders>
              <w:top w:val="double" w:sz="4" w:space="0" w:color="auto"/>
              <w:bottom w:val="single" w:sz="4" w:space="0" w:color="auto"/>
            </w:tcBorders>
            <w:noWrap/>
            <w:hideMark/>
          </w:tcPr>
          <w:p w:rsidR="002110A7" w:rsidRPr="000A4F74" w:rsidRDefault="002110A7" w:rsidP="008D498C">
            <w:pPr>
              <w:rPr>
                <w:rFonts w:eastAsia="Times New Roman" w:cs="Times New Roman"/>
                <w:color w:val="000000"/>
              </w:rPr>
            </w:pPr>
            <w:r w:rsidRPr="000A4F74">
              <w:rPr>
                <w:rFonts w:eastAsia="Times New Roman" w:cs="Times New Roman"/>
                <w:b/>
                <w:color w:val="000000"/>
              </w:rPr>
              <w:t>Variable</w:t>
            </w:r>
            <w:r w:rsidRPr="000A4F74">
              <w:rPr>
                <w:rFonts w:eastAsia="Times New Roman" w:cs="Times New Roman"/>
                <w:color w:val="000000"/>
              </w:rPr>
              <w:t xml:space="preserve"> </w:t>
            </w:r>
          </w:p>
        </w:tc>
        <w:tc>
          <w:tcPr>
            <w:tcW w:w="2970" w:type="dxa"/>
            <w:tcBorders>
              <w:top w:val="double" w:sz="4" w:space="0" w:color="auto"/>
              <w:bottom w:val="single" w:sz="4" w:space="0" w:color="auto"/>
            </w:tcBorders>
            <w:noWrap/>
            <w:hideMark/>
          </w:tcPr>
          <w:p w:rsidR="002110A7" w:rsidRPr="000A4F74" w:rsidRDefault="002110A7" w:rsidP="002110A7">
            <w:pPr>
              <w:jc w:val="center"/>
              <w:rPr>
                <w:rFonts w:eastAsia="Times New Roman" w:cs="Times New Roman"/>
                <w:b/>
                <w:color w:val="000000"/>
              </w:rPr>
            </w:pPr>
            <w:r w:rsidRPr="000A4F74">
              <w:rPr>
                <w:rFonts w:eastAsia="Times New Roman" w:cs="Times New Roman"/>
                <w:b/>
                <w:color w:val="000000"/>
              </w:rPr>
              <w:t>All Patients</w:t>
            </w:r>
          </w:p>
        </w:tc>
        <w:tc>
          <w:tcPr>
            <w:tcW w:w="2430" w:type="dxa"/>
            <w:tcBorders>
              <w:top w:val="double" w:sz="4" w:space="0" w:color="auto"/>
              <w:bottom w:val="single" w:sz="4" w:space="0" w:color="auto"/>
            </w:tcBorders>
            <w:noWrap/>
            <w:hideMark/>
          </w:tcPr>
          <w:p w:rsidR="002110A7" w:rsidRPr="000A4F74" w:rsidRDefault="002110A7" w:rsidP="002110A7">
            <w:pPr>
              <w:jc w:val="center"/>
              <w:rPr>
                <w:rFonts w:eastAsia="Times New Roman" w:cs="Times New Roman"/>
                <w:b/>
                <w:color w:val="000000"/>
              </w:rPr>
            </w:pPr>
            <w:r w:rsidRPr="000A4F74">
              <w:rPr>
                <w:rFonts w:eastAsia="Times New Roman" w:cs="Times New Roman"/>
                <w:b/>
                <w:color w:val="000000"/>
              </w:rPr>
              <w:t>Dementia Diagnosis</w:t>
            </w:r>
          </w:p>
        </w:tc>
        <w:tc>
          <w:tcPr>
            <w:tcW w:w="2610" w:type="dxa"/>
            <w:tcBorders>
              <w:top w:val="double" w:sz="4" w:space="0" w:color="auto"/>
              <w:bottom w:val="single" w:sz="4" w:space="0" w:color="auto"/>
            </w:tcBorders>
            <w:noWrap/>
            <w:hideMark/>
          </w:tcPr>
          <w:p w:rsidR="002110A7" w:rsidRPr="000A4F74" w:rsidRDefault="002110A7" w:rsidP="002110A7">
            <w:pPr>
              <w:jc w:val="center"/>
              <w:rPr>
                <w:rFonts w:eastAsia="Times New Roman" w:cs="Times New Roman"/>
                <w:b/>
                <w:color w:val="000000"/>
              </w:rPr>
            </w:pPr>
            <w:r w:rsidRPr="000A4F74">
              <w:rPr>
                <w:rFonts w:eastAsia="Times New Roman" w:cs="Times New Roman"/>
                <w:b/>
                <w:color w:val="000000"/>
              </w:rPr>
              <w:t>No Dementia Diagnosis</w:t>
            </w:r>
          </w:p>
        </w:tc>
      </w:tr>
      <w:tr w:rsidR="00410FE3" w:rsidRPr="002110A7" w:rsidTr="000A4F74">
        <w:trPr>
          <w:trHeight w:val="331"/>
          <w:jc w:val="center"/>
        </w:trPr>
        <w:tc>
          <w:tcPr>
            <w:tcW w:w="2610" w:type="dxa"/>
            <w:tcBorders>
              <w:top w:val="single" w:sz="4" w:space="0" w:color="auto"/>
            </w:tcBorders>
            <w:noWrap/>
            <w:vAlign w:val="center"/>
            <w:hideMark/>
          </w:tcPr>
          <w:p w:rsidR="00410FE3" w:rsidRPr="000A4F74" w:rsidRDefault="00410FE3" w:rsidP="000A4F74">
            <w:pPr>
              <w:rPr>
                <w:rFonts w:eastAsia="Times New Roman" w:cs="Times New Roman"/>
                <w:b/>
                <w:color w:val="000000"/>
              </w:rPr>
            </w:pPr>
            <w:r w:rsidRPr="000A4F74">
              <w:rPr>
                <w:rFonts w:eastAsia="Times New Roman" w:cs="Times New Roman"/>
                <w:b/>
                <w:color w:val="000000"/>
              </w:rPr>
              <w:t>N</w:t>
            </w:r>
          </w:p>
        </w:tc>
        <w:tc>
          <w:tcPr>
            <w:tcW w:w="2970" w:type="dxa"/>
            <w:tcBorders>
              <w:top w:val="single" w:sz="4" w:space="0" w:color="auto"/>
            </w:tcBorders>
            <w:noWrap/>
            <w:vAlign w:val="center"/>
            <w:hideMark/>
          </w:tcPr>
          <w:p w:rsidR="00410FE3" w:rsidRPr="000A4F74" w:rsidRDefault="00410FE3" w:rsidP="000A4F74">
            <w:pPr>
              <w:jc w:val="center"/>
              <w:rPr>
                <w:rFonts w:cs="Times New Roman"/>
                <w:color w:val="000000"/>
              </w:rPr>
            </w:pPr>
            <w:r w:rsidRPr="000A4F74">
              <w:rPr>
                <w:rFonts w:cs="Times New Roman"/>
                <w:color w:val="000000"/>
              </w:rPr>
              <w:t>216</w:t>
            </w:r>
          </w:p>
        </w:tc>
        <w:tc>
          <w:tcPr>
            <w:tcW w:w="2430" w:type="dxa"/>
            <w:tcBorders>
              <w:top w:val="single" w:sz="4" w:space="0" w:color="auto"/>
            </w:tcBorders>
            <w:noWrap/>
            <w:vAlign w:val="center"/>
            <w:hideMark/>
          </w:tcPr>
          <w:p w:rsidR="00410FE3" w:rsidRPr="000A4F74" w:rsidRDefault="00410FE3" w:rsidP="000A4F74">
            <w:pPr>
              <w:jc w:val="center"/>
              <w:rPr>
                <w:rFonts w:cs="Times New Roman"/>
                <w:color w:val="000000"/>
              </w:rPr>
            </w:pPr>
            <w:r w:rsidRPr="000A4F74">
              <w:rPr>
                <w:rFonts w:cs="Times New Roman"/>
                <w:color w:val="000000"/>
              </w:rPr>
              <w:t>71</w:t>
            </w:r>
          </w:p>
        </w:tc>
        <w:tc>
          <w:tcPr>
            <w:tcW w:w="2610" w:type="dxa"/>
            <w:tcBorders>
              <w:top w:val="single" w:sz="4" w:space="0" w:color="auto"/>
            </w:tcBorders>
            <w:noWrap/>
            <w:vAlign w:val="center"/>
            <w:hideMark/>
          </w:tcPr>
          <w:p w:rsidR="00410FE3" w:rsidRPr="000A4F74" w:rsidRDefault="00410FE3" w:rsidP="000A4F74">
            <w:pPr>
              <w:jc w:val="center"/>
              <w:rPr>
                <w:rFonts w:cs="Times New Roman"/>
                <w:color w:val="000000"/>
              </w:rPr>
            </w:pPr>
            <w:r w:rsidRPr="000A4F74">
              <w:rPr>
                <w:rFonts w:cs="Times New Roman"/>
                <w:color w:val="000000"/>
              </w:rPr>
              <w:t>145</w:t>
            </w:r>
          </w:p>
        </w:tc>
      </w:tr>
      <w:tr w:rsidR="00DB5D95" w:rsidRPr="002110A7" w:rsidTr="00974516">
        <w:trPr>
          <w:trHeight w:val="331"/>
          <w:jc w:val="center"/>
        </w:trPr>
        <w:tc>
          <w:tcPr>
            <w:tcW w:w="2610" w:type="dxa"/>
            <w:noWrap/>
            <w:vAlign w:val="center"/>
          </w:tcPr>
          <w:p w:rsidR="00DB5D95" w:rsidRPr="000A4F74" w:rsidRDefault="00974516" w:rsidP="00974516">
            <w:pPr>
              <w:rPr>
                <w:rFonts w:eastAsia="Times New Roman" w:cs="Times New Roman"/>
                <w:b/>
                <w:color w:val="000000"/>
              </w:rPr>
            </w:pPr>
            <w:r>
              <w:rPr>
                <w:rFonts w:eastAsia="Times New Roman" w:cs="Times New Roman"/>
                <w:b/>
                <w:color w:val="000000"/>
              </w:rPr>
              <w:t xml:space="preserve"># </w:t>
            </w:r>
            <w:proofErr w:type="spellStart"/>
            <w:r>
              <w:rPr>
                <w:rFonts w:eastAsia="Times New Roman" w:cs="Times New Roman"/>
                <w:b/>
                <w:color w:val="000000"/>
              </w:rPr>
              <w:t>Obs</w:t>
            </w:r>
            <w:proofErr w:type="spellEnd"/>
            <w:r>
              <w:rPr>
                <w:rFonts w:eastAsia="Times New Roman" w:cs="Times New Roman"/>
                <w:b/>
                <w:color w:val="000000"/>
              </w:rPr>
              <w:t xml:space="preserve"> </w:t>
            </w:r>
            <w:r w:rsidRPr="000A4F74">
              <w:rPr>
                <w:rFonts w:eastAsia="Times New Roman" w:cs="Times New Roman"/>
                <w:color w:val="000000"/>
              </w:rPr>
              <w:t xml:space="preserve">(mean ± </w:t>
            </w:r>
            <w:proofErr w:type="spellStart"/>
            <w:r w:rsidRPr="000A4F74">
              <w:rPr>
                <w:rFonts w:eastAsia="Times New Roman" w:cs="Times New Roman"/>
                <w:color w:val="000000"/>
              </w:rPr>
              <w:t>sd</w:t>
            </w:r>
            <w:proofErr w:type="spellEnd"/>
            <w:r w:rsidRPr="000A4F74">
              <w:rPr>
                <w:rFonts w:eastAsia="Times New Roman" w:cs="Times New Roman"/>
                <w:color w:val="000000"/>
              </w:rPr>
              <w:t>)</w:t>
            </w:r>
          </w:p>
        </w:tc>
        <w:tc>
          <w:tcPr>
            <w:tcW w:w="2970" w:type="dxa"/>
            <w:noWrap/>
            <w:vAlign w:val="center"/>
          </w:tcPr>
          <w:p w:rsidR="00DB5D95" w:rsidRPr="000A4F74" w:rsidRDefault="00974516" w:rsidP="000A4F74">
            <w:pPr>
              <w:jc w:val="center"/>
              <w:rPr>
                <w:rFonts w:cs="Times New Roman"/>
                <w:color w:val="000000"/>
              </w:rPr>
            </w:pPr>
            <w:r>
              <w:rPr>
                <w:rFonts w:cs="Times New Roman"/>
                <w:color w:val="000000"/>
              </w:rPr>
              <w:t xml:space="preserve">15.67 </w:t>
            </w:r>
            <w:r w:rsidRPr="000A4F74">
              <w:rPr>
                <w:rFonts w:cs="Times New Roman"/>
                <w:color w:val="000000"/>
              </w:rPr>
              <w:t>±</w:t>
            </w:r>
            <w:r>
              <w:rPr>
                <w:rFonts w:cs="Times New Roman"/>
                <w:color w:val="000000"/>
              </w:rPr>
              <w:t xml:space="preserve"> 8.42</w:t>
            </w:r>
          </w:p>
        </w:tc>
        <w:tc>
          <w:tcPr>
            <w:tcW w:w="2430" w:type="dxa"/>
            <w:noWrap/>
            <w:vAlign w:val="center"/>
          </w:tcPr>
          <w:p w:rsidR="00DB5D95" w:rsidRPr="000A4F74" w:rsidRDefault="00974516" w:rsidP="000A4F74">
            <w:pPr>
              <w:jc w:val="center"/>
              <w:rPr>
                <w:rFonts w:cs="Times New Roman"/>
                <w:color w:val="000000"/>
              </w:rPr>
            </w:pPr>
            <w:r>
              <w:rPr>
                <w:rFonts w:cs="Times New Roman"/>
                <w:color w:val="000000"/>
              </w:rPr>
              <w:t xml:space="preserve">18.73 </w:t>
            </w:r>
            <w:r w:rsidRPr="000A4F74">
              <w:rPr>
                <w:rFonts w:cs="Times New Roman"/>
                <w:color w:val="000000"/>
              </w:rPr>
              <w:t>±</w:t>
            </w:r>
            <w:r>
              <w:rPr>
                <w:rFonts w:cs="Times New Roman"/>
                <w:color w:val="000000"/>
              </w:rPr>
              <w:t xml:space="preserve"> 6.18</w:t>
            </w:r>
          </w:p>
        </w:tc>
        <w:tc>
          <w:tcPr>
            <w:tcW w:w="2610" w:type="dxa"/>
            <w:noWrap/>
            <w:vAlign w:val="center"/>
          </w:tcPr>
          <w:p w:rsidR="00DB5D95" w:rsidRPr="000A4F74" w:rsidRDefault="00974516" w:rsidP="000A4F74">
            <w:pPr>
              <w:jc w:val="center"/>
              <w:rPr>
                <w:rFonts w:cs="Times New Roman"/>
                <w:color w:val="000000"/>
              </w:rPr>
            </w:pPr>
            <w:r>
              <w:rPr>
                <w:rFonts w:cs="Times New Roman"/>
                <w:color w:val="000000"/>
              </w:rPr>
              <w:t xml:space="preserve">14.17 </w:t>
            </w:r>
            <w:r w:rsidRPr="000A4F74">
              <w:rPr>
                <w:rFonts w:cs="Times New Roman"/>
                <w:color w:val="000000"/>
              </w:rPr>
              <w:t>±</w:t>
            </w:r>
            <w:r>
              <w:rPr>
                <w:rFonts w:cs="Times New Roman"/>
                <w:color w:val="000000"/>
              </w:rPr>
              <w:t xml:space="preserve"> 8.97</w:t>
            </w:r>
          </w:p>
        </w:tc>
      </w:tr>
      <w:tr w:rsidR="00410FE3" w:rsidRPr="002110A7" w:rsidTr="000A4F74">
        <w:trPr>
          <w:trHeight w:val="331"/>
          <w:jc w:val="center"/>
        </w:trPr>
        <w:tc>
          <w:tcPr>
            <w:tcW w:w="2610" w:type="dxa"/>
            <w:noWrap/>
            <w:vAlign w:val="center"/>
            <w:hideMark/>
          </w:tcPr>
          <w:p w:rsidR="00410FE3" w:rsidRPr="000A4F74" w:rsidRDefault="00410FE3" w:rsidP="000A4F74">
            <w:pPr>
              <w:rPr>
                <w:rFonts w:eastAsia="Times New Roman" w:cs="Times New Roman"/>
                <w:color w:val="000000"/>
              </w:rPr>
            </w:pPr>
            <w:r w:rsidRPr="000A4F74">
              <w:rPr>
                <w:rFonts w:eastAsia="Times New Roman" w:cs="Times New Roman"/>
                <w:b/>
                <w:color w:val="000000"/>
              </w:rPr>
              <w:t xml:space="preserve">Sex </w:t>
            </w:r>
            <w:r w:rsidRPr="000A4F74">
              <w:rPr>
                <w:rFonts w:eastAsia="Times New Roman" w:cs="Times New Roman"/>
                <w:color w:val="000000"/>
              </w:rPr>
              <w:t>(n (%))</w:t>
            </w:r>
          </w:p>
        </w:tc>
        <w:tc>
          <w:tcPr>
            <w:tcW w:w="2970" w:type="dxa"/>
            <w:noWrap/>
            <w:vAlign w:val="center"/>
          </w:tcPr>
          <w:p w:rsidR="00410FE3" w:rsidRPr="000A4F74" w:rsidRDefault="00410FE3" w:rsidP="000A4F74">
            <w:pPr>
              <w:jc w:val="center"/>
              <w:rPr>
                <w:rFonts w:cs="Times New Roman"/>
                <w:color w:val="000000"/>
              </w:rPr>
            </w:pPr>
          </w:p>
        </w:tc>
        <w:tc>
          <w:tcPr>
            <w:tcW w:w="2430" w:type="dxa"/>
            <w:noWrap/>
            <w:vAlign w:val="center"/>
          </w:tcPr>
          <w:p w:rsidR="00410FE3" w:rsidRPr="000A4F74" w:rsidRDefault="00410FE3" w:rsidP="000A4F74">
            <w:pPr>
              <w:jc w:val="center"/>
              <w:rPr>
                <w:rFonts w:cs="Times New Roman"/>
                <w:color w:val="000000"/>
              </w:rPr>
            </w:pPr>
          </w:p>
        </w:tc>
        <w:tc>
          <w:tcPr>
            <w:tcW w:w="2610" w:type="dxa"/>
            <w:noWrap/>
            <w:vAlign w:val="center"/>
          </w:tcPr>
          <w:p w:rsidR="00410FE3" w:rsidRPr="000A4F74" w:rsidRDefault="00410FE3" w:rsidP="000A4F74">
            <w:pPr>
              <w:jc w:val="center"/>
              <w:rPr>
                <w:rFonts w:cs="Times New Roman"/>
                <w:color w:val="000000"/>
              </w:rPr>
            </w:pPr>
          </w:p>
        </w:tc>
      </w:tr>
      <w:tr w:rsidR="00410FE3" w:rsidRPr="002110A7" w:rsidTr="000A4F74">
        <w:trPr>
          <w:trHeight w:val="331"/>
          <w:jc w:val="center"/>
        </w:trPr>
        <w:tc>
          <w:tcPr>
            <w:tcW w:w="2610" w:type="dxa"/>
            <w:noWrap/>
            <w:vAlign w:val="center"/>
            <w:hideMark/>
          </w:tcPr>
          <w:p w:rsidR="00410FE3" w:rsidRPr="000A4F74" w:rsidRDefault="00410FE3" w:rsidP="000A4F74">
            <w:pPr>
              <w:rPr>
                <w:rFonts w:eastAsia="Times New Roman" w:cs="Times New Roman"/>
                <w:color w:val="000000"/>
              </w:rPr>
            </w:pPr>
            <w:r w:rsidRPr="000A4F74">
              <w:rPr>
                <w:rFonts w:eastAsia="Times New Roman" w:cs="Times New Roman"/>
                <w:color w:val="000000"/>
              </w:rPr>
              <w:t xml:space="preserve">   Male</w:t>
            </w:r>
          </w:p>
        </w:tc>
        <w:tc>
          <w:tcPr>
            <w:tcW w:w="2970" w:type="dxa"/>
            <w:noWrap/>
            <w:vAlign w:val="center"/>
            <w:hideMark/>
          </w:tcPr>
          <w:p w:rsidR="00410FE3" w:rsidRPr="000A4F74" w:rsidRDefault="000A4F74" w:rsidP="000A4F74">
            <w:pPr>
              <w:jc w:val="center"/>
              <w:rPr>
                <w:rFonts w:cs="Times New Roman"/>
                <w:color w:val="000000"/>
              </w:rPr>
            </w:pPr>
            <w:r>
              <w:rPr>
                <w:rFonts w:cs="Times New Roman"/>
                <w:color w:val="000000"/>
              </w:rPr>
              <w:t>42.13 (91</w:t>
            </w:r>
            <w:r w:rsidR="00410FE3" w:rsidRPr="000A4F74">
              <w:rPr>
                <w:rFonts w:cs="Times New Roman"/>
                <w:color w:val="000000"/>
              </w:rPr>
              <w:t>)</w:t>
            </w:r>
          </w:p>
        </w:tc>
        <w:tc>
          <w:tcPr>
            <w:tcW w:w="2430" w:type="dxa"/>
            <w:noWrap/>
            <w:vAlign w:val="center"/>
            <w:hideMark/>
          </w:tcPr>
          <w:p w:rsidR="00410FE3" w:rsidRPr="000A4F74" w:rsidRDefault="000A4F74" w:rsidP="000A4F74">
            <w:pPr>
              <w:jc w:val="center"/>
              <w:rPr>
                <w:rFonts w:cs="Times New Roman"/>
                <w:color w:val="000000"/>
              </w:rPr>
            </w:pPr>
            <w:r>
              <w:rPr>
                <w:rFonts w:cs="Times New Roman"/>
                <w:color w:val="000000"/>
              </w:rPr>
              <w:t>33.8 (24</w:t>
            </w:r>
            <w:r w:rsidR="00410FE3" w:rsidRPr="000A4F74">
              <w:rPr>
                <w:rFonts w:cs="Times New Roman"/>
                <w:color w:val="000000"/>
              </w:rPr>
              <w:t>)</w:t>
            </w:r>
          </w:p>
        </w:tc>
        <w:tc>
          <w:tcPr>
            <w:tcW w:w="2610" w:type="dxa"/>
            <w:noWrap/>
            <w:vAlign w:val="center"/>
            <w:hideMark/>
          </w:tcPr>
          <w:p w:rsidR="00410FE3" w:rsidRPr="000A4F74" w:rsidRDefault="000A4F74" w:rsidP="000A4F74">
            <w:pPr>
              <w:jc w:val="center"/>
              <w:rPr>
                <w:rFonts w:cs="Times New Roman"/>
                <w:color w:val="000000"/>
              </w:rPr>
            </w:pPr>
            <w:r>
              <w:rPr>
                <w:rFonts w:cs="Times New Roman"/>
                <w:color w:val="000000"/>
              </w:rPr>
              <w:t>46.21 (67</w:t>
            </w:r>
            <w:r w:rsidR="00410FE3" w:rsidRPr="000A4F74">
              <w:rPr>
                <w:rFonts w:cs="Times New Roman"/>
                <w:color w:val="000000"/>
              </w:rPr>
              <w:t>)</w:t>
            </w:r>
          </w:p>
        </w:tc>
      </w:tr>
      <w:tr w:rsidR="00410FE3" w:rsidRPr="002110A7" w:rsidTr="000A4F74">
        <w:trPr>
          <w:trHeight w:val="331"/>
          <w:jc w:val="center"/>
        </w:trPr>
        <w:tc>
          <w:tcPr>
            <w:tcW w:w="2610" w:type="dxa"/>
            <w:noWrap/>
            <w:vAlign w:val="center"/>
            <w:hideMark/>
          </w:tcPr>
          <w:p w:rsidR="00410FE3" w:rsidRPr="000A4F74" w:rsidRDefault="00410FE3" w:rsidP="000A4F74">
            <w:pPr>
              <w:rPr>
                <w:rFonts w:eastAsia="Times New Roman" w:cs="Times New Roman"/>
                <w:color w:val="000000"/>
              </w:rPr>
            </w:pPr>
            <w:r w:rsidRPr="000A4F74">
              <w:rPr>
                <w:rFonts w:eastAsia="Times New Roman" w:cs="Times New Roman"/>
                <w:color w:val="000000"/>
              </w:rPr>
              <w:t xml:space="preserve">   Female</w:t>
            </w:r>
          </w:p>
        </w:tc>
        <w:tc>
          <w:tcPr>
            <w:tcW w:w="2970" w:type="dxa"/>
            <w:noWrap/>
            <w:vAlign w:val="center"/>
            <w:hideMark/>
          </w:tcPr>
          <w:p w:rsidR="00410FE3" w:rsidRPr="000A4F74" w:rsidRDefault="000A4F74" w:rsidP="000A4F74">
            <w:pPr>
              <w:jc w:val="center"/>
              <w:rPr>
                <w:rFonts w:cs="Times New Roman"/>
                <w:color w:val="000000"/>
              </w:rPr>
            </w:pPr>
            <w:r>
              <w:rPr>
                <w:rFonts w:cs="Times New Roman"/>
                <w:color w:val="000000"/>
              </w:rPr>
              <w:t>57.87 (125</w:t>
            </w:r>
            <w:r w:rsidR="00410FE3" w:rsidRPr="000A4F74">
              <w:rPr>
                <w:rFonts w:cs="Times New Roman"/>
                <w:color w:val="000000"/>
              </w:rPr>
              <w:t>)</w:t>
            </w:r>
          </w:p>
        </w:tc>
        <w:tc>
          <w:tcPr>
            <w:tcW w:w="2430" w:type="dxa"/>
            <w:noWrap/>
            <w:vAlign w:val="center"/>
            <w:hideMark/>
          </w:tcPr>
          <w:p w:rsidR="00410FE3" w:rsidRPr="000A4F74" w:rsidRDefault="000A4F74" w:rsidP="000A4F74">
            <w:pPr>
              <w:jc w:val="center"/>
              <w:rPr>
                <w:rFonts w:cs="Times New Roman"/>
                <w:color w:val="000000"/>
              </w:rPr>
            </w:pPr>
            <w:r>
              <w:rPr>
                <w:rFonts w:cs="Times New Roman"/>
                <w:color w:val="000000"/>
              </w:rPr>
              <w:t>66.2 (47</w:t>
            </w:r>
            <w:r w:rsidR="00410FE3" w:rsidRPr="000A4F74">
              <w:rPr>
                <w:rFonts w:cs="Times New Roman"/>
                <w:color w:val="000000"/>
              </w:rPr>
              <w:t>)</w:t>
            </w:r>
          </w:p>
        </w:tc>
        <w:tc>
          <w:tcPr>
            <w:tcW w:w="2610" w:type="dxa"/>
            <w:noWrap/>
            <w:vAlign w:val="center"/>
            <w:hideMark/>
          </w:tcPr>
          <w:p w:rsidR="00410FE3" w:rsidRPr="000A4F74" w:rsidRDefault="000A4F74" w:rsidP="000A4F74">
            <w:pPr>
              <w:jc w:val="center"/>
              <w:rPr>
                <w:rFonts w:cs="Times New Roman"/>
                <w:color w:val="000000"/>
              </w:rPr>
            </w:pPr>
            <w:r>
              <w:rPr>
                <w:rFonts w:cs="Times New Roman"/>
                <w:color w:val="000000"/>
              </w:rPr>
              <w:t>53.79 (78</w:t>
            </w:r>
            <w:r w:rsidR="00410FE3" w:rsidRPr="000A4F74">
              <w:rPr>
                <w:rFonts w:cs="Times New Roman"/>
                <w:color w:val="000000"/>
              </w:rPr>
              <w:t>)</w:t>
            </w:r>
          </w:p>
        </w:tc>
      </w:tr>
      <w:tr w:rsidR="00410FE3" w:rsidRPr="002110A7" w:rsidTr="000A4F74">
        <w:trPr>
          <w:trHeight w:val="331"/>
          <w:jc w:val="center"/>
        </w:trPr>
        <w:tc>
          <w:tcPr>
            <w:tcW w:w="2610" w:type="dxa"/>
            <w:noWrap/>
            <w:vAlign w:val="center"/>
            <w:hideMark/>
          </w:tcPr>
          <w:p w:rsidR="00410FE3" w:rsidRPr="000A4F74" w:rsidRDefault="00410FE3" w:rsidP="000A4F74">
            <w:pPr>
              <w:rPr>
                <w:rFonts w:eastAsia="Times New Roman" w:cs="Times New Roman"/>
                <w:color w:val="000000"/>
              </w:rPr>
            </w:pPr>
            <w:r w:rsidRPr="000A4F74">
              <w:rPr>
                <w:rFonts w:eastAsia="Times New Roman" w:cs="Times New Roman"/>
                <w:b/>
                <w:color w:val="000000"/>
              </w:rPr>
              <w:t>SES</w:t>
            </w:r>
            <w:r w:rsidR="008D498C">
              <w:rPr>
                <w:rFonts w:eastAsia="Times New Roman" w:cs="Times New Roman"/>
                <w:b/>
                <w:color w:val="000000"/>
              </w:rPr>
              <w:t>-Baseline</w:t>
            </w:r>
            <w:r w:rsidRPr="000A4F74">
              <w:rPr>
                <w:rFonts w:eastAsia="Times New Roman" w:cs="Times New Roman"/>
                <w:color w:val="000000"/>
              </w:rPr>
              <w:t xml:space="preserve"> (mean ± </w:t>
            </w:r>
            <w:proofErr w:type="spellStart"/>
            <w:r w:rsidRPr="000A4F74">
              <w:rPr>
                <w:rFonts w:eastAsia="Times New Roman" w:cs="Times New Roman"/>
                <w:color w:val="000000"/>
              </w:rPr>
              <w:t>sd</w:t>
            </w:r>
            <w:proofErr w:type="spellEnd"/>
            <w:r w:rsidRPr="000A4F74">
              <w:rPr>
                <w:rFonts w:eastAsia="Times New Roman" w:cs="Times New Roman"/>
                <w:color w:val="000000"/>
              </w:rPr>
              <w:t>)</w:t>
            </w:r>
          </w:p>
        </w:tc>
        <w:tc>
          <w:tcPr>
            <w:tcW w:w="2970" w:type="dxa"/>
            <w:noWrap/>
            <w:vAlign w:val="center"/>
            <w:hideMark/>
          </w:tcPr>
          <w:p w:rsidR="00410FE3" w:rsidRPr="000A4F74" w:rsidRDefault="00410FE3" w:rsidP="000A4F74">
            <w:pPr>
              <w:jc w:val="center"/>
              <w:rPr>
                <w:rFonts w:cs="Times New Roman"/>
                <w:color w:val="000000"/>
              </w:rPr>
            </w:pPr>
            <w:r w:rsidRPr="000A4F74">
              <w:rPr>
                <w:rFonts w:cs="Times New Roman"/>
                <w:color w:val="000000"/>
              </w:rPr>
              <w:t>49.1 ± 11.54 (</w:t>
            </w:r>
            <w:r w:rsidR="000A4F74">
              <w:rPr>
                <w:rFonts w:cs="Times New Roman"/>
                <w:color w:val="000000"/>
              </w:rPr>
              <w:t>NA = 1</w:t>
            </w:r>
            <w:r w:rsidRPr="000A4F74">
              <w:rPr>
                <w:rFonts w:cs="Times New Roman"/>
                <w:color w:val="000000"/>
              </w:rPr>
              <w:t>)</w:t>
            </w:r>
          </w:p>
        </w:tc>
        <w:tc>
          <w:tcPr>
            <w:tcW w:w="2430" w:type="dxa"/>
            <w:noWrap/>
            <w:vAlign w:val="center"/>
            <w:hideMark/>
          </w:tcPr>
          <w:p w:rsidR="00410FE3" w:rsidRPr="000A4F74" w:rsidRDefault="00410FE3" w:rsidP="000A4F74">
            <w:pPr>
              <w:jc w:val="center"/>
              <w:rPr>
                <w:rFonts w:cs="Times New Roman"/>
                <w:color w:val="000000"/>
              </w:rPr>
            </w:pPr>
            <w:r w:rsidRPr="000A4F74">
              <w:rPr>
                <w:rFonts w:cs="Times New Roman"/>
                <w:color w:val="000000"/>
              </w:rPr>
              <w:t>49.01 ± 12.89</w:t>
            </w:r>
          </w:p>
        </w:tc>
        <w:tc>
          <w:tcPr>
            <w:tcW w:w="2610" w:type="dxa"/>
            <w:noWrap/>
            <w:vAlign w:val="center"/>
            <w:hideMark/>
          </w:tcPr>
          <w:p w:rsidR="00410FE3" w:rsidRPr="000A4F74" w:rsidRDefault="00410FE3" w:rsidP="000A4F74">
            <w:pPr>
              <w:jc w:val="center"/>
              <w:rPr>
                <w:rFonts w:cs="Times New Roman"/>
                <w:color w:val="000000"/>
              </w:rPr>
            </w:pPr>
            <w:r w:rsidRPr="000A4F74">
              <w:rPr>
                <w:rFonts w:cs="Times New Roman"/>
                <w:color w:val="000000"/>
              </w:rPr>
              <w:t>49.15 ± 10.86</w:t>
            </w:r>
          </w:p>
        </w:tc>
      </w:tr>
      <w:tr w:rsidR="00410FE3" w:rsidRPr="002110A7" w:rsidTr="000A4F74">
        <w:trPr>
          <w:trHeight w:val="331"/>
          <w:jc w:val="center"/>
        </w:trPr>
        <w:tc>
          <w:tcPr>
            <w:tcW w:w="2610" w:type="dxa"/>
            <w:noWrap/>
            <w:vAlign w:val="center"/>
            <w:hideMark/>
          </w:tcPr>
          <w:p w:rsidR="00410FE3" w:rsidRPr="000A4F74" w:rsidRDefault="00410FE3" w:rsidP="000A4F74">
            <w:pPr>
              <w:rPr>
                <w:rFonts w:eastAsia="Times New Roman" w:cs="Times New Roman"/>
                <w:color w:val="000000"/>
              </w:rPr>
            </w:pPr>
            <w:r w:rsidRPr="000A4F74">
              <w:rPr>
                <w:rFonts w:eastAsia="Times New Roman" w:cs="Times New Roman"/>
                <w:b/>
                <w:color w:val="000000"/>
              </w:rPr>
              <w:t>Age</w:t>
            </w:r>
            <w:r w:rsidR="008D498C">
              <w:rPr>
                <w:rFonts w:eastAsia="Times New Roman" w:cs="Times New Roman"/>
                <w:b/>
                <w:color w:val="000000"/>
              </w:rPr>
              <w:t>-Baseline</w:t>
            </w:r>
            <w:r w:rsidRPr="000A4F74">
              <w:rPr>
                <w:rFonts w:eastAsia="Times New Roman" w:cs="Times New Roman"/>
                <w:color w:val="000000"/>
              </w:rPr>
              <w:t xml:space="preserve"> (mean ± </w:t>
            </w:r>
            <w:proofErr w:type="spellStart"/>
            <w:r w:rsidRPr="000A4F74">
              <w:rPr>
                <w:rFonts w:eastAsia="Times New Roman" w:cs="Times New Roman"/>
                <w:color w:val="000000"/>
              </w:rPr>
              <w:t>sd</w:t>
            </w:r>
            <w:proofErr w:type="spellEnd"/>
            <w:r w:rsidRPr="000A4F74">
              <w:rPr>
                <w:rFonts w:eastAsia="Times New Roman" w:cs="Times New Roman"/>
                <w:color w:val="000000"/>
              </w:rPr>
              <w:t>)</w:t>
            </w:r>
          </w:p>
        </w:tc>
        <w:tc>
          <w:tcPr>
            <w:tcW w:w="2970" w:type="dxa"/>
            <w:noWrap/>
            <w:vAlign w:val="center"/>
            <w:hideMark/>
          </w:tcPr>
          <w:p w:rsidR="00410FE3" w:rsidRPr="000A4F74" w:rsidRDefault="00410FE3" w:rsidP="000A4F74">
            <w:pPr>
              <w:jc w:val="center"/>
              <w:rPr>
                <w:rFonts w:cs="Times New Roman"/>
                <w:color w:val="000000"/>
              </w:rPr>
            </w:pPr>
            <w:r w:rsidRPr="000A4F74">
              <w:rPr>
                <w:rFonts w:cs="Times New Roman"/>
                <w:color w:val="000000"/>
              </w:rPr>
              <w:t>80.05 ± 9.22</w:t>
            </w:r>
          </w:p>
        </w:tc>
        <w:tc>
          <w:tcPr>
            <w:tcW w:w="2430" w:type="dxa"/>
            <w:noWrap/>
            <w:vAlign w:val="center"/>
            <w:hideMark/>
          </w:tcPr>
          <w:p w:rsidR="00410FE3" w:rsidRPr="000A4F74" w:rsidRDefault="00410FE3" w:rsidP="000A4F74">
            <w:pPr>
              <w:jc w:val="center"/>
              <w:rPr>
                <w:rFonts w:cs="Times New Roman"/>
                <w:color w:val="000000"/>
              </w:rPr>
            </w:pPr>
            <w:r w:rsidRPr="000A4F74">
              <w:rPr>
                <w:rFonts w:cs="Times New Roman"/>
                <w:color w:val="000000"/>
              </w:rPr>
              <w:t>84.8 ± 6.07</w:t>
            </w:r>
          </w:p>
        </w:tc>
        <w:tc>
          <w:tcPr>
            <w:tcW w:w="2610" w:type="dxa"/>
            <w:noWrap/>
            <w:vAlign w:val="center"/>
            <w:hideMark/>
          </w:tcPr>
          <w:p w:rsidR="00410FE3" w:rsidRPr="000A4F74" w:rsidRDefault="00410FE3" w:rsidP="000A4F74">
            <w:pPr>
              <w:jc w:val="center"/>
              <w:rPr>
                <w:rFonts w:cs="Times New Roman"/>
                <w:color w:val="000000"/>
              </w:rPr>
            </w:pPr>
            <w:r w:rsidRPr="000A4F74">
              <w:rPr>
                <w:rFonts w:cs="Times New Roman"/>
                <w:color w:val="000000"/>
              </w:rPr>
              <w:t>77.72 ± 9.62</w:t>
            </w:r>
          </w:p>
        </w:tc>
      </w:tr>
      <w:tr w:rsidR="00410FE3" w:rsidRPr="002110A7" w:rsidTr="008D498C">
        <w:trPr>
          <w:trHeight w:val="331"/>
          <w:jc w:val="center"/>
        </w:trPr>
        <w:tc>
          <w:tcPr>
            <w:tcW w:w="2610" w:type="dxa"/>
            <w:tcBorders>
              <w:bottom w:val="single" w:sz="4" w:space="0" w:color="auto"/>
            </w:tcBorders>
            <w:noWrap/>
            <w:vAlign w:val="center"/>
            <w:hideMark/>
          </w:tcPr>
          <w:p w:rsidR="00410FE3" w:rsidRPr="000A4F74" w:rsidRDefault="00410FE3" w:rsidP="000A4F74">
            <w:pPr>
              <w:rPr>
                <w:rFonts w:eastAsia="Times New Roman" w:cs="Times New Roman"/>
                <w:color w:val="000000"/>
              </w:rPr>
            </w:pPr>
            <w:r w:rsidRPr="000A4F74">
              <w:rPr>
                <w:rFonts w:eastAsia="Times New Roman" w:cs="Times New Roman"/>
                <w:b/>
                <w:color w:val="000000"/>
              </w:rPr>
              <w:t>Age at onset</w:t>
            </w:r>
            <w:r w:rsidRPr="000A4F74">
              <w:rPr>
                <w:rFonts w:eastAsia="Times New Roman" w:cs="Times New Roman"/>
                <w:color w:val="000000"/>
              </w:rPr>
              <w:t xml:space="preserve"> (mean ± </w:t>
            </w:r>
            <w:proofErr w:type="spellStart"/>
            <w:r w:rsidRPr="000A4F74">
              <w:rPr>
                <w:rFonts w:eastAsia="Times New Roman" w:cs="Times New Roman"/>
                <w:color w:val="000000"/>
              </w:rPr>
              <w:t>sd</w:t>
            </w:r>
            <w:proofErr w:type="spellEnd"/>
            <w:r w:rsidRPr="000A4F74">
              <w:rPr>
                <w:rFonts w:eastAsia="Times New Roman" w:cs="Times New Roman"/>
                <w:color w:val="000000"/>
              </w:rPr>
              <w:t>)</w:t>
            </w:r>
          </w:p>
        </w:tc>
        <w:tc>
          <w:tcPr>
            <w:tcW w:w="2970" w:type="dxa"/>
            <w:tcBorders>
              <w:bottom w:val="single" w:sz="4" w:space="0" w:color="auto"/>
            </w:tcBorders>
            <w:noWrap/>
            <w:vAlign w:val="center"/>
            <w:hideMark/>
          </w:tcPr>
          <w:p w:rsidR="00410FE3" w:rsidRPr="000A4F74" w:rsidRDefault="00410FE3" w:rsidP="000A4F74">
            <w:pPr>
              <w:jc w:val="center"/>
              <w:rPr>
                <w:rFonts w:cs="Times New Roman"/>
                <w:color w:val="000000"/>
              </w:rPr>
            </w:pPr>
            <w:r w:rsidRPr="000A4F74">
              <w:rPr>
                <w:rFonts w:cs="Times New Roman"/>
                <w:color w:val="000000"/>
              </w:rPr>
              <w:t>90.7 ± 4.93 (</w:t>
            </w:r>
            <w:r w:rsidR="000A4F74">
              <w:rPr>
                <w:rFonts w:cs="Times New Roman"/>
                <w:color w:val="000000"/>
              </w:rPr>
              <w:t>NA = 145</w:t>
            </w:r>
            <w:r w:rsidRPr="000A4F74">
              <w:rPr>
                <w:rFonts w:cs="Times New Roman"/>
                <w:color w:val="000000"/>
              </w:rPr>
              <w:t>)</w:t>
            </w:r>
          </w:p>
        </w:tc>
        <w:tc>
          <w:tcPr>
            <w:tcW w:w="2430" w:type="dxa"/>
            <w:tcBorders>
              <w:bottom w:val="single" w:sz="4" w:space="0" w:color="auto"/>
            </w:tcBorders>
            <w:noWrap/>
            <w:vAlign w:val="center"/>
            <w:hideMark/>
          </w:tcPr>
          <w:p w:rsidR="00410FE3" w:rsidRPr="000A4F74" w:rsidRDefault="00410FE3" w:rsidP="000A4F74">
            <w:pPr>
              <w:jc w:val="center"/>
              <w:rPr>
                <w:rFonts w:cs="Times New Roman"/>
                <w:color w:val="000000"/>
              </w:rPr>
            </w:pPr>
            <w:r w:rsidRPr="000A4F74">
              <w:rPr>
                <w:rFonts w:cs="Times New Roman"/>
                <w:color w:val="000000"/>
              </w:rPr>
              <w:t>90.7 ± 4.93</w:t>
            </w:r>
          </w:p>
        </w:tc>
        <w:tc>
          <w:tcPr>
            <w:tcW w:w="2610" w:type="dxa"/>
            <w:tcBorders>
              <w:bottom w:val="single" w:sz="4" w:space="0" w:color="auto"/>
            </w:tcBorders>
            <w:noWrap/>
            <w:vAlign w:val="center"/>
            <w:hideMark/>
          </w:tcPr>
          <w:p w:rsidR="00410FE3" w:rsidRPr="000A4F74" w:rsidRDefault="00410FE3" w:rsidP="000A4F74">
            <w:pPr>
              <w:jc w:val="center"/>
              <w:rPr>
                <w:rFonts w:cs="Times New Roman"/>
                <w:color w:val="000000"/>
              </w:rPr>
            </w:pPr>
            <w:r w:rsidRPr="000A4F74">
              <w:rPr>
                <w:rFonts w:cs="Times New Roman"/>
                <w:color w:val="000000"/>
              </w:rPr>
              <w:t>NA</w:t>
            </w:r>
          </w:p>
        </w:tc>
      </w:tr>
    </w:tbl>
    <w:p w:rsidR="002110A7" w:rsidRDefault="002110A7"/>
    <w:p w:rsidR="00CE6B6B" w:rsidRDefault="00CE6B6B"/>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455"/>
        <w:gridCol w:w="1620"/>
        <w:gridCol w:w="2250"/>
        <w:gridCol w:w="1440"/>
      </w:tblGrid>
      <w:tr w:rsidR="000A4F74" w:rsidTr="00DB5D95">
        <w:trPr>
          <w:jc w:val="center"/>
        </w:trPr>
        <w:tc>
          <w:tcPr>
            <w:tcW w:w="8635" w:type="dxa"/>
            <w:gridSpan w:val="5"/>
            <w:tcBorders>
              <w:bottom w:val="double" w:sz="4" w:space="0" w:color="auto"/>
            </w:tcBorders>
          </w:tcPr>
          <w:p w:rsidR="000A4F74" w:rsidRPr="0089332E" w:rsidRDefault="000A4F74" w:rsidP="000A4F74">
            <w:pPr>
              <w:jc w:val="center"/>
              <w:rPr>
                <w:b/>
              </w:rPr>
            </w:pPr>
            <w:r w:rsidRPr="0089332E">
              <w:rPr>
                <w:b/>
              </w:rPr>
              <w:t>Table Two: Model Results</w:t>
            </w:r>
          </w:p>
        </w:tc>
      </w:tr>
      <w:tr w:rsidR="000A4F74" w:rsidTr="00DB5D95">
        <w:trPr>
          <w:jc w:val="center"/>
        </w:trPr>
        <w:tc>
          <w:tcPr>
            <w:tcW w:w="1870" w:type="dxa"/>
            <w:tcBorders>
              <w:top w:val="double" w:sz="4" w:space="0" w:color="auto"/>
              <w:bottom w:val="single" w:sz="4" w:space="0" w:color="auto"/>
            </w:tcBorders>
          </w:tcPr>
          <w:p w:rsidR="000A4F74" w:rsidRPr="0089332E" w:rsidRDefault="000A4F74" w:rsidP="0089332E">
            <w:pPr>
              <w:jc w:val="center"/>
              <w:rPr>
                <w:b/>
              </w:rPr>
            </w:pPr>
            <w:r w:rsidRPr="0089332E">
              <w:rPr>
                <w:b/>
              </w:rPr>
              <w:t>Variable</w:t>
            </w:r>
          </w:p>
        </w:tc>
        <w:tc>
          <w:tcPr>
            <w:tcW w:w="1455" w:type="dxa"/>
            <w:tcBorders>
              <w:top w:val="double" w:sz="4" w:space="0" w:color="auto"/>
              <w:bottom w:val="single" w:sz="4" w:space="0" w:color="auto"/>
            </w:tcBorders>
          </w:tcPr>
          <w:p w:rsidR="000A4F74" w:rsidRPr="0089332E" w:rsidRDefault="000A4F74" w:rsidP="0089332E">
            <w:pPr>
              <w:jc w:val="center"/>
              <w:rPr>
                <w:b/>
              </w:rPr>
            </w:pPr>
            <w:r w:rsidRPr="0089332E">
              <w:rPr>
                <w:b/>
              </w:rPr>
              <w:t>Estimate</w:t>
            </w:r>
          </w:p>
        </w:tc>
        <w:tc>
          <w:tcPr>
            <w:tcW w:w="1620" w:type="dxa"/>
            <w:tcBorders>
              <w:top w:val="double" w:sz="4" w:space="0" w:color="auto"/>
              <w:bottom w:val="single" w:sz="4" w:space="0" w:color="auto"/>
            </w:tcBorders>
          </w:tcPr>
          <w:p w:rsidR="000A4F74" w:rsidRPr="0089332E" w:rsidRDefault="000A4F74" w:rsidP="0089332E">
            <w:pPr>
              <w:jc w:val="center"/>
              <w:rPr>
                <w:b/>
              </w:rPr>
            </w:pPr>
            <w:r w:rsidRPr="0089332E">
              <w:rPr>
                <w:b/>
              </w:rPr>
              <w:t>SE</w:t>
            </w:r>
          </w:p>
        </w:tc>
        <w:tc>
          <w:tcPr>
            <w:tcW w:w="2250" w:type="dxa"/>
            <w:tcBorders>
              <w:top w:val="double" w:sz="4" w:space="0" w:color="auto"/>
              <w:bottom w:val="single" w:sz="4" w:space="0" w:color="auto"/>
            </w:tcBorders>
          </w:tcPr>
          <w:p w:rsidR="000A4F74" w:rsidRPr="0089332E" w:rsidRDefault="000A4F74" w:rsidP="0089332E">
            <w:pPr>
              <w:jc w:val="center"/>
              <w:rPr>
                <w:b/>
              </w:rPr>
            </w:pPr>
            <w:r w:rsidRPr="0089332E">
              <w:rPr>
                <w:b/>
              </w:rPr>
              <w:t>95% CI</w:t>
            </w:r>
          </w:p>
        </w:tc>
        <w:tc>
          <w:tcPr>
            <w:tcW w:w="1440" w:type="dxa"/>
            <w:tcBorders>
              <w:top w:val="double" w:sz="4" w:space="0" w:color="auto"/>
              <w:bottom w:val="single" w:sz="4" w:space="0" w:color="auto"/>
            </w:tcBorders>
          </w:tcPr>
          <w:p w:rsidR="000A4F74" w:rsidRPr="0089332E" w:rsidRDefault="000A4F74" w:rsidP="0089332E">
            <w:pPr>
              <w:jc w:val="center"/>
              <w:rPr>
                <w:b/>
              </w:rPr>
            </w:pPr>
            <w:r w:rsidRPr="0089332E">
              <w:rPr>
                <w:b/>
              </w:rPr>
              <w:t>P-value</w:t>
            </w:r>
          </w:p>
        </w:tc>
      </w:tr>
      <w:tr w:rsidR="00DB5D95" w:rsidTr="00DB5D95">
        <w:trPr>
          <w:trHeight w:val="331"/>
          <w:jc w:val="center"/>
        </w:trPr>
        <w:tc>
          <w:tcPr>
            <w:tcW w:w="1870" w:type="dxa"/>
            <w:tcBorders>
              <w:top w:val="single" w:sz="4" w:space="0" w:color="auto"/>
            </w:tcBorders>
            <w:vAlign w:val="center"/>
          </w:tcPr>
          <w:p w:rsidR="00DB5D95" w:rsidRPr="00DB5D95" w:rsidRDefault="00DB5D95" w:rsidP="00DB5D95">
            <w:pPr>
              <w:rPr>
                <w:b/>
              </w:rPr>
            </w:pPr>
            <w:r w:rsidRPr="00DB5D95">
              <w:rPr>
                <w:b/>
              </w:rPr>
              <w:t>Intercept</w:t>
            </w:r>
          </w:p>
        </w:tc>
        <w:tc>
          <w:tcPr>
            <w:tcW w:w="1455" w:type="dxa"/>
            <w:tcBorders>
              <w:top w:val="single" w:sz="4" w:space="0" w:color="auto"/>
            </w:tcBorders>
            <w:vAlign w:val="center"/>
          </w:tcPr>
          <w:p w:rsidR="00DB5D95" w:rsidRPr="00DB5D95" w:rsidRDefault="00DB5D95" w:rsidP="00DB5D95">
            <w:pPr>
              <w:jc w:val="center"/>
              <w:rPr>
                <w:rFonts w:cs="Times New Roman"/>
                <w:color w:val="000000"/>
              </w:rPr>
            </w:pPr>
            <w:r w:rsidRPr="00DB5D95">
              <w:rPr>
                <w:rFonts w:cs="Times New Roman"/>
                <w:color w:val="000000"/>
              </w:rPr>
              <w:t>24.59</w:t>
            </w:r>
          </w:p>
        </w:tc>
        <w:tc>
          <w:tcPr>
            <w:tcW w:w="1620" w:type="dxa"/>
            <w:tcBorders>
              <w:top w:val="single" w:sz="4" w:space="0" w:color="auto"/>
            </w:tcBorders>
            <w:vAlign w:val="center"/>
          </w:tcPr>
          <w:p w:rsidR="00DB5D95" w:rsidRPr="00DB5D95" w:rsidRDefault="00DB5D95" w:rsidP="00DB5D95">
            <w:pPr>
              <w:jc w:val="center"/>
              <w:rPr>
                <w:rFonts w:cs="Times New Roman"/>
                <w:color w:val="000000"/>
              </w:rPr>
            </w:pPr>
            <w:r w:rsidRPr="00DB5D95">
              <w:rPr>
                <w:rFonts w:cs="Times New Roman"/>
                <w:color w:val="000000"/>
              </w:rPr>
              <w:t>1.3593</w:t>
            </w:r>
          </w:p>
        </w:tc>
        <w:tc>
          <w:tcPr>
            <w:tcW w:w="2250" w:type="dxa"/>
            <w:tcBorders>
              <w:top w:val="single" w:sz="4" w:space="0" w:color="auto"/>
            </w:tcBorders>
            <w:vAlign w:val="center"/>
          </w:tcPr>
          <w:p w:rsidR="00DB5D95" w:rsidRPr="00DB5D95" w:rsidRDefault="00DB5D95" w:rsidP="00DB5D95">
            <w:pPr>
              <w:jc w:val="center"/>
              <w:rPr>
                <w:rFonts w:cs="Times New Roman"/>
                <w:color w:val="000000"/>
              </w:rPr>
            </w:pPr>
            <w:r w:rsidRPr="00DB5D95">
              <w:rPr>
                <w:rFonts w:cs="Times New Roman"/>
                <w:color w:val="000000"/>
              </w:rPr>
              <w:t>(21.926,27.255)</w:t>
            </w:r>
          </w:p>
        </w:tc>
        <w:tc>
          <w:tcPr>
            <w:tcW w:w="1440" w:type="dxa"/>
            <w:tcBorders>
              <w:top w:val="single" w:sz="4" w:space="0" w:color="auto"/>
            </w:tcBorders>
            <w:vAlign w:val="center"/>
          </w:tcPr>
          <w:p w:rsidR="00DB5D95" w:rsidRPr="00DB5D95" w:rsidRDefault="00DB5D95" w:rsidP="00DB5D95">
            <w:pPr>
              <w:jc w:val="center"/>
              <w:rPr>
                <w:rFonts w:cs="Times New Roman"/>
                <w:color w:val="000000"/>
              </w:rPr>
            </w:pPr>
            <w:r>
              <w:rPr>
                <w:rFonts w:cs="Times New Roman"/>
                <w:color w:val="000000"/>
              </w:rPr>
              <w:t>&lt;0.0001</w:t>
            </w:r>
          </w:p>
        </w:tc>
      </w:tr>
      <w:tr w:rsidR="00DB5D95" w:rsidTr="00DB5D95">
        <w:trPr>
          <w:trHeight w:val="331"/>
          <w:jc w:val="center"/>
        </w:trPr>
        <w:tc>
          <w:tcPr>
            <w:tcW w:w="1870" w:type="dxa"/>
            <w:vAlign w:val="center"/>
          </w:tcPr>
          <w:p w:rsidR="00DB5D95" w:rsidRPr="00DB5D95" w:rsidRDefault="00DB5D95" w:rsidP="00DB5D95">
            <w:pPr>
              <w:rPr>
                <w:b/>
              </w:rPr>
            </w:pPr>
            <w:r w:rsidRPr="00DB5D95">
              <w:rPr>
                <w:b/>
              </w:rPr>
              <w:t>Age</w:t>
            </w:r>
          </w:p>
        </w:tc>
        <w:tc>
          <w:tcPr>
            <w:tcW w:w="1455" w:type="dxa"/>
            <w:vAlign w:val="center"/>
          </w:tcPr>
          <w:p w:rsidR="00DB5D95" w:rsidRPr="00DB5D95" w:rsidRDefault="00DB5D95" w:rsidP="00DB5D95">
            <w:pPr>
              <w:jc w:val="center"/>
              <w:rPr>
                <w:rFonts w:cs="Times New Roman"/>
                <w:color w:val="000000"/>
              </w:rPr>
            </w:pPr>
            <w:r w:rsidRPr="00DB5D95">
              <w:rPr>
                <w:rFonts w:cs="Times New Roman"/>
                <w:color w:val="000000"/>
              </w:rPr>
              <w:t>-0.183</w:t>
            </w:r>
          </w:p>
        </w:tc>
        <w:tc>
          <w:tcPr>
            <w:tcW w:w="1620" w:type="dxa"/>
            <w:vAlign w:val="center"/>
          </w:tcPr>
          <w:p w:rsidR="00DB5D95" w:rsidRPr="00DB5D95" w:rsidRDefault="00DB5D95" w:rsidP="00DB5D95">
            <w:pPr>
              <w:jc w:val="center"/>
              <w:rPr>
                <w:rFonts w:cs="Times New Roman"/>
                <w:color w:val="000000"/>
              </w:rPr>
            </w:pPr>
            <w:r w:rsidRPr="00DB5D95">
              <w:rPr>
                <w:rFonts w:cs="Times New Roman"/>
                <w:color w:val="000000"/>
              </w:rPr>
              <w:t>0.0251</w:t>
            </w:r>
          </w:p>
        </w:tc>
        <w:tc>
          <w:tcPr>
            <w:tcW w:w="2250" w:type="dxa"/>
            <w:vAlign w:val="center"/>
          </w:tcPr>
          <w:p w:rsidR="00DB5D95" w:rsidRPr="00DB5D95" w:rsidRDefault="00DB5D95" w:rsidP="00DB5D95">
            <w:pPr>
              <w:jc w:val="center"/>
              <w:rPr>
                <w:rFonts w:cs="Times New Roman"/>
                <w:color w:val="000000"/>
              </w:rPr>
            </w:pPr>
            <w:r w:rsidRPr="00DB5D95">
              <w:rPr>
                <w:rFonts w:cs="Times New Roman"/>
                <w:color w:val="000000"/>
              </w:rPr>
              <w:t>(-0.232,-0.134)</w:t>
            </w:r>
          </w:p>
        </w:tc>
        <w:tc>
          <w:tcPr>
            <w:tcW w:w="1440" w:type="dxa"/>
            <w:vAlign w:val="center"/>
          </w:tcPr>
          <w:p w:rsidR="00DB5D95" w:rsidRPr="00DB5D95" w:rsidRDefault="00DB5D95" w:rsidP="00DB5D95">
            <w:pPr>
              <w:jc w:val="center"/>
              <w:rPr>
                <w:rFonts w:cs="Times New Roman"/>
                <w:color w:val="000000"/>
              </w:rPr>
            </w:pPr>
            <w:r>
              <w:rPr>
                <w:rFonts w:cs="Times New Roman"/>
                <w:color w:val="000000"/>
              </w:rPr>
              <w:t>&lt;0.0001</w:t>
            </w:r>
          </w:p>
        </w:tc>
      </w:tr>
      <w:tr w:rsidR="00DB5D95" w:rsidTr="00DB5D95">
        <w:trPr>
          <w:trHeight w:val="331"/>
          <w:jc w:val="center"/>
        </w:trPr>
        <w:tc>
          <w:tcPr>
            <w:tcW w:w="1870" w:type="dxa"/>
            <w:vAlign w:val="center"/>
          </w:tcPr>
          <w:p w:rsidR="00DB5D95" w:rsidRPr="00DB5D95" w:rsidRDefault="00DB5D95" w:rsidP="00DB5D95">
            <w:pPr>
              <w:rPr>
                <w:b/>
              </w:rPr>
            </w:pPr>
            <w:r w:rsidRPr="00DB5D95">
              <w:rPr>
                <w:b/>
              </w:rPr>
              <w:t>Change Point</w:t>
            </w:r>
          </w:p>
        </w:tc>
        <w:tc>
          <w:tcPr>
            <w:tcW w:w="1455" w:type="dxa"/>
            <w:vAlign w:val="center"/>
          </w:tcPr>
          <w:p w:rsidR="00DB5D95" w:rsidRPr="00DB5D95" w:rsidRDefault="00DB5D95" w:rsidP="00DB5D95">
            <w:pPr>
              <w:jc w:val="center"/>
              <w:rPr>
                <w:rFonts w:cs="Times New Roman"/>
                <w:color w:val="000000"/>
              </w:rPr>
            </w:pPr>
            <w:r w:rsidRPr="00DB5D95">
              <w:rPr>
                <w:rFonts w:cs="Times New Roman"/>
                <w:color w:val="000000"/>
              </w:rPr>
              <w:t>-0.929</w:t>
            </w:r>
          </w:p>
        </w:tc>
        <w:tc>
          <w:tcPr>
            <w:tcW w:w="1620" w:type="dxa"/>
            <w:vAlign w:val="center"/>
          </w:tcPr>
          <w:p w:rsidR="00DB5D95" w:rsidRPr="00DB5D95" w:rsidRDefault="00DB5D95" w:rsidP="00DB5D95">
            <w:pPr>
              <w:jc w:val="center"/>
              <w:rPr>
                <w:rFonts w:cs="Times New Roman"/>
                <w:color w:val="000000"/>
              </w:rPr>
            </w:pPr>
            <w:r w:rsidRPr="00DB5D95">
              <w:rPr>
                <w:rFonts w:cs="Times New Roman"/>
                <w:color w:val="000000"/>
              </w:rPr>
              <w:t>0.1503</w:t>
            </w:r>
          </w:p>
        </w:tc>
        <w:tc>
          <w:tcPr>
            <w:tcW w:w="2250" w:type="dxa"/>
            <w:vAlign w:val="center"/>
          </w:tcPr>
          <w:p w:rsidR="00DB5D95" w:rsidRPr="00DB5D95" w:rsidRDefault="00DB5D95" w:rsidP="00DB5D95">
            <w:pPr>
              <w:jc w:val="center"/>
              <w:rPr>
                <w:rFonts w:cs="Times New Roman"/>
                <w:color w:val="000000"/>
              </w:rPr>
            </w:pPr>
            <w:r w:rsidRPr="00DB5D95">
              <w:rPr>
                <w:rFonts w:cs="Times New Roman"/>
                <w:color w:val="000000"/>
              </w:rPr>
              <w:t>(-1.223,-0.634)</w:t>
            </w:r>
          </w:p>
        </w:tc>
        <w:tc>
          <w:tcPr>
            <w:tcW w:w="1440" w:type="dxa"/>
            <w:vAlign w:val="center"/>
          </w:tcPr>
          <w:p w:rsidR="00DB5D95" w:rsidRPr="00DB5D95" w:rsidRDefault="00DB5D95" w:rsidP="00DB5D95">
            <w:pPr>
              <w:jc w:val="center"/>
              <w:rPr>
                <w:rFonts w:cs="Times New Roman"/>
                <w:color w:val="000000"/>
              </w:rPr>
            </w:pPr>
            <w:r>
              <w:rPr>
                <w:rFonts w:cs="Times New Roman"/>
                <w:color w:val="000000"/>
              </w:rPr>
              <w:t>&lt;0.0001</w:t>
            </w:r>
          </w:p>
        </w:tc>
      </w:tr>
      <w:tr w:rsidR="00DB5D95" w:rsidTr="00DB5D95">
        <w:trPr>
          <w:trHeight w:val="331"/>
          <w:jc w:val="center"/>
        </w:trPr>
        <w:tc>
          <w:tcPr>
            <w:tcW w:w="1870" w:type="dxa"/>
            <w:vAlign w:val="center"/>
          </w:tcPr>
          <w:p w:rsidR="00DB5D95" w:rsidRPr="00DB5D95" w:rsidRDefault="00DB5D95" w:rsidP="00DB5D95">
            <w:pPr>
              <w:rPr>
                <w:b/>
              </w:rPr>
            </w:pPr>
            <w:r w:rsidRPr="00DB5D95">
              <w:rPr>
                <w:b/>
              </w:rPr>
              <w:t>Gender</w:t>
            </w:r>
          </w:p>
        </w:tc>
        <w:tc>
          <w:tcPr>
            <w:tcW w:w="1455" w:type="dxa"/>
            <w:vAlign w:val="center"/>
          </w:tcPr>
          <w:p w:rsidR="00DB5D95" w:rsidRPr="00DB5D95" w:rsidRDefault="00DB5D95" w:rsidP="00DB5D95">
            <w:pPr>
              <w:jc w:val="center"/>
              <w:rPr>
                <w:rFonts w:cs="Times New Roman"/>
                <w:color w:val="000000"/>
              </w:rPr>
            </w:pPr>
            <w:r w:rsidRPr="00DB5D95">
              <w:rPr>
                <w:rFonts w:cs="Times New Roman"/>
                <w:color w:val="000000"/>
              </w:rPr>
              <w:t>-0.562</w:t>
            </w:r>
          </w:p>
        </w:tc>
        <w:tc>
          <w:tcPr>
            <w:tcW w:w="1620" w:type="dxa"/>
            <w:vAlign w:val="center"/>
          </w:tcPr>
          <w:p w:rsidR="00DB5D95" w:rsidRPr="00DB5D95" w:rsidRDefault="00DB5D95" w:rsidP="00DB5D95">
            <w:pPr>
              <w:jc w:val="center"/>
              <w:rPr>
                <w:rFonts w:cs="Times New Roman"/>
                <w:color w:val="000000"/>
              </w:rPr>
            </w:pPr>
            <w:r w:rsidRPr="00DB5D95">
              <w:rPr>
                <w:rFonts w:cs="Times New Roman"/>
                <w:color w:val="000000"/>
              </w:rPr>
              <w:t>0.4649</w:t>
            </w:r>
          </w:p>
        </w:tc>
        <w:tc>
          <w:tcPr>
            <w:tcW w:w="2250" w:type="dxa"/>
            <w:vAlign w:val="center"/>
          </w:tcPr>
          <w:p w:rsidR="00DB5D95" w:rsidRPr="00DB5D95" w:rsidRDefault="00DB5D95" w:rsidP="00DB5D95">
            <w:pPr>
              <w:jc w:val="center"/>
              <w:rPr>
                <w:rFonts w:cs="Times New Roman"/>
                <w:color w:val="000000"/>
              </w:rPr>
            </w:pPr>
            <w:r w:rsidRPr="00DB5D95">
              <w:rPr>
                <w:rFonts w:cs="Times New Roman"/>
                <w:color w:val="000000"/>
              </w:rPr>
              <w:t>(-1.473,0.349)</w:t>
            </w:r>
          </w:p>
        </w:tc>
        <w:tc>
          <w:tcPr>
            <w:tcW w:w="1440" w:type="dxa"/>
            <w:vAlign w:val="center"/>
          </w:tcPr>
          <w:p w:rsidR="00DB5D95" w:rsidRPr="00DB5D95" w:rsidRDefault="00DB5D95" w:rsidP="00DB5D95">
            <w:pPr>
              <w:jc w:val="center"/>
              <w:rPr>
                <w:rFonts w:cs="Times New Roman"/>
                <w:color w:val="000000"/>
              </w:rPr>
            </w:pPr>
            <w:r w:rsidRPr="00DB5D95">
              <w:rPr>
                <w:rFonts w:cs="Times New Roman"/>
                <w:color w:val="000000"/>
              </w:rPr>
              <w:t>0.2269</w:t>
            </w:r>
          </w:p>
        </w:tc>
      </w:tr>
      <w:tr w:rsidR="00DB5D95" w:rsidTr="00DB5D95">
        <w:trPr>
          <w:trHeight w:val="331"/>
          <w:jc w:val="center"/>
        </w:trPr>
        <w:tc>
          <w:tcPr>
            <w:tcW w:w="1870" w:type="dxa"/>
            <w:vAlign w:val="center"/>
          </w:tcPr>
          <w:p w:rsidR="00DB5D95" w:rsidRPr="00DB5D95" w:rsidRDefault="00DB5D95" w:rsidP="00DB5D95">
            <w:pPr>
              <w:rPr>
                <w:b/>
              </w:rPr>
            </w:pPr>
            <w:r w:rsidRPr="00DB5D95">
              <w:rPr>
                <w:b/>
              </w:rPr>
              <w:t>SES</w:t>
            </w:r>
          </w:p>
        </w:tc>
        <w:tc>
          <w:tcPr>
            <w:tcW w:w="1455" w:type="dxa"/>
            <w:vAlign w:val="center"/>
          </w:tcPr>
          <w:p w:rsidR="00DB5D95" w:rsidRPr="00DB5D95" w:rsidRDefault="00DB5D95" w:rsidP="00DB5D95">
            <w:pPr>
              <w:jc w:val="center"/>
              <w:rPr>
                <w:rFonts w:cs="Times New Roman"/>
                <w:color w:val="000000"/>
              </w:rPr>
            </w:pPr>
            <w:r w:rsidRPr="00DB5D95">
              <w:rPr>
                <w:rFonts w:cs="Times New Roman"/>
                <w:color w:val="000000"/>
              </w:rPr>
              <w:t>0.039</w:t>
            </w:r>
          </w:p>
        </w:tc>
        <w:tc>
          <w:tcPr>
            <w:tcW w:w="1620" w:type="dxa"/>
            <w:vAlign w:val="center"/>
          </w:tcPr>
          <w:p w:rsidR="00DB5D95" w:rsidRPr="00DB5D95" w:rsidRDefault="00DB5D95" w:rsidP="00DB5D95">
            <w:pPr>
              <w:jc w:val="center"/>
              <w:rPr>
                <w:rFonts w:cs="Times New Roman"/>
                <w:color w:val="000000"/>
              </w:rPr>
            </w:pPr>
            <w:r w:rsidRPr="00DB5D95">
              <w:rPr>
                <w:rFonts w:cs="Times New Roman"/>
                <w:color w:val="000000"/>
              </w:rPr>
              <w:t>0.0181</w:t>
            </w:r>
          </w:p>
        </w:tc>
        <w:tc>
          <w:tcPr>
            <w:tcW w:w="2250" w:type="dxa"/>
            <w:vAlign w:val="center"/>
          </w:tcPr>
          <w:p w:rsidR="00DB5D95" w:rsidRPr="00DB5D95" w:rsidRDefault="00DB5D95" w:rsidP="00DB5D95">
            <w:pPr>
              <w:jc w:val="center"/>
              <w:rPr>
                <w:rFonts w:cs="Times New Roman"/>
                <w:color w:val="000000"/>
              </w:rPr>
            </w:pPr>
            <w:r w:rsidRPr="00DB5D95">
              <w:rPr>
                <w:rFonts w:cs="Times New Roman"/>
                <w:color w:val="000000"/>
              </w:rPr>
              <w:t>(0.003,0.074)</w:t>
            </w:r>
          </w:p>
        </w:tc>
        <w:tc>
          <w:tcPr>
            <w:tcW w:w="1440" w:type="dxa"/>
            <w:vAlign w:val="center"/>
          </w:tcPr>
          <w:p w:rsidR="00DB5D95" w:rsidRPr="00DB5D95" w:rsidRDefault="00DB5D95" w:rsidP="00DB5D95">
            <w:pPr>
              <w:jc w:val="center"/>
              <w:rPr>
                <w:rFonts w:cs="Times New Roman"/>
                <w:color w:val="000000"/>
              </w:rPr>
            </w:pPr>
            <w:r w:rsidRPr="00DB5D95">
              <w:rPr>
                <w:rFonts w:cs="Times New Roman"/>
                <w:color w:val="000000"/>
              </w:rPr>
              <w:t>0.0314</w:t>
            </w:r>
          </w:p>
        </w:tc>
      </w:tr>
      <w:tr w:rsidR="00DB5D95" w:rsidTr="00DB5D95">
        <w:trPr>
          <w:trHeight w:val="331"/>
          <w:jc w:val="center"/>
        </w:trPr>
        <w:tc>
          <w:tcPr>
            <w:tcW w:w="1870" w:type="dxa"/>
            <w:vAlign w:val="center"/>
          </w:tcPr>
          <w:p w:rsidR="00DB5D95" w:rsidRPr="00DB5D95" w:rsidRDefault="00DB5D95" w:rsidP="00DB5D95">
            <w:pPr>
              <w:rPr>
                <w:b/>
              </w:rPr>
            </w:pPr>
            <w:r w:rsidRPr="00DB5D95">
              <w:rPr>
                <w:b/>
              </w:rPr>
              <w:t>Dementia</w:t>
            </w:r>
          </w:p>
        </w:tc>
        <w:tc>
          <w:tcPr>
            <w:tcW w:w="1455" w:type="dxa"/>
            <w:vAlign w:val="center"/>
          </w:tcPr>
          <w:p w:rsidR="00DB5D95" w:rsidRPr="00DB5D95" w:rsidRDefault="00DB5D95" w:rsidP="00DB5D95">
            <w:pPr>
              <w:jc w:val="center"/>
              <w:rPr>
                <w:rFonts w:cs="Times New Roman"/>
                <w:color w:val="000000"/>
              </w:rPr>
            </w:pPr>
            <w:r w:rsidRPr="00DB5D95">
              <w:rPr>
                <w:rFonts w:cs="Times New Roman"/>
                <w:color w:val="000000"/>
              </w:rPr>
              <w:t>-4.348</w:t>
            </w:r>
          </w:p>
        </w:tc>
        <w:tc>
          <w:tcPr>
            <w:tcW w:w="1620" w:type="dxa"/>
            <w:vAlign w:val="center"/>
          </w:tcPr>
          <w:p w:rsidR="00DB5D95" w:rsidRPr="00DB5D95" w:rsidRDefault="00DB5D95" w:rsidP="00DB5D95">
            <w:pPr>
              <w:jc w:val="center"/>
              <w:rPr>
                <w:rFonts w:cs="Times New Roman"/>
                <w:color w:val="000000"/>
              </w:rPr>
            </w:pPr>
            <w:r w:rsidRPr="00DB5D95">
              <w:rPr>
                <w:rFonts w:cs="Times New Roman"/>
                <w:color w:val="000000"/>
              </w:rPr>
              <w:t>2.5773</w:t>
            </w:r>
          </w:p>
        </w:tc>
        <w:tc>
          <w:tcPr>
            <w:tcW w:w="2250" w:type="dxa"/>
            <w:vAlign w:val="center"/>
          </w:tcPr>
          <w:p w:rsidR="00DB5D95" w:rsidRPr="00DB5D95" w:rsidRDefault="00DB5D95" w:rsidP="00DB5D95">
            <w:pPr>
              <w:jc w:val="center"/>
              <w:rPr>
                <w:rFonts w:cs="Times New Roman"/>
                <w:color w:val="000000"/>
              </w:rPr>
            </w:pPr>
            <w:r w:rsidRPr="00DB5D95">
              <w:rPr>
                <w:rFonts w:cs="Times New Roman"/>
                <w:color w:val="000000"/>
              </w:rPr>
              <w:t>(-9.4,0.703)</w:t>
            </w:r>
          </w:p>
        </w:tc>
        <w:tc>
          <w:tcPr>
            <w:tcW w:w="1440" w:type="dxa"/>
            <w:vAlign w:val="center"/>
          </w:tcPr>
          <w:p w:rsidR="00DB5D95" w:rsidRPr="00DB5D95" w:rsidRDefault="00DB5D95" w:rsidP="00DB5D95">
            <w:pPr>
              <w:jc w:val="center"/>
              <w:rPr>
                <w:rFonts w:cs="Times New Roman"/>
                <w:color w:val="000000"/>
              </w:rPr>
            </w:pPr>
            <w:r w:rsidRPr="00DB5D95">
              <w:rPr>
                <w:rFonts w:cs="Times New Roman"/>
                <w:color w:val="000000"/>
              </w:rPr>
              <w:t>0.0916</w:t>
            </w:r>
          </w:p>
        </w:tc>
      </w:tr>
      <w:tr w:rsidR="00DB5D95" w:rsidTr="00DB5D95">
        <w:trPr>
          <w:trHeight w:val="331"/>
          <w:jc w:val="center"/>
        </w:trPr>
        <w:tc>
          <w:tcPr>
            <w:tcW w:w="1870" w:type="dxa"/>
            <w:tcBorders>
              <w:bottom w:val="single" w:sz="4" w:space="0" w:color="auto"/>
            </w:tcBorders>
            <w:vAlign w:val="center"/>
          </w:tcPr>
          <w:p w:rsidR="00DB5D95" w:rsidRPr="00DB5D95" w:rsidRDefault="00DB5D95" w:rsidP="00DB5D95">
            <w:pPr>
              <w:rPr>
                <w:b/>
              </w:rPr>
            </w:pPr>
            <w:r w:rsidRPr="00DB5D95">
              <w:rPr>
                <w:b/>
              </w:rPr>
              <w:t xml:space="preserve">Interaction </w:t>
            </w:r>
          </w:p>
          <w:p w:rsidR="00DB5D95" w:rsidRPr="00DB5D95" w:rsidRDefault="00DB5D95" w:rsidP="00DB5D95">
            <w:r w:rsidRPr="00DB5D95">
              <w:rPr>
                <w:sz w:val="18"/>
              </w:rPr>
              <w:t>(Dementia and Age)</w:t>
            </w:r>
          </w:p>
        </w:tc>
        <w:tc>
          <w:tcPr>
            <w:tcW w:w="1455" w:type="dxa"/>
            <w:tcBorders>
              <w:bottom w:val="single" w:sz="4" w:space="0" w:color="auto"/>
            </w:tcBorders>
            <w:vAlign w:val="center"/>
          </w:tcPr>
          <w:p w:rsidR="00DB5D95" w:rsidRPr="00DB5D95" w:rsidRDefault="00DB5D95" w:rsidP="00DB5D95">
            <w:pPr>
              <w:jc w:val="center"/>
              <w:rPr>
                <w:rFonts w:cs="Times New Roman"/>
                <w:color w:val="000000"/>
              </w:rPr>
            </w:pPr>
            <w:r w:rsidRPr="00DB5D95">
              <w:rPr>
                <w:rFonts w:cs="Times New Roman"/>
                <w:color w:val="000000"/>
              </w:rPr>
              <w:t>0.005</w:t>
            </w:r>
          </w:p>
        </w:tc>
        <w:tc>
          <w:tcPr>
            <w:tcW w:w="1620" w:type="dxa"/>
            <w:tcBorders>
              <w:bottom w:val="single" w:sz="4" w:space="0" w:color="auto"/>
            </w:tcBorders>
            <w:vAlign w:val="center"/>
          </w:tcPr>
          <w:p w:rsidR="00DB5D95" w:rsidRPr="00DB5D95" w:rsidRDefault="00DB5D95" w:rsidP="00DB5D95">
            <w:pPr>
              <w:jc w:val="center"/>
              <w:rPr>
                <w:rFonts w:cs="Times New Roman"/>
                <w:color w:val="000000"/>
              </w:rPr>
            </w:pPr>
            <w:r w:rsidRPr="00DB5D95">
              <w:rPr>
                <w:rFonts w:cs="Times New Roman"/>
                <w:color w:val="000000"/>
              </w:rPr>
              <w:t>0.0816</w:t>
            </w:r>
          </w:p>
        </w:tc>
        <w:tc>
          <w:tcPr>
            <w:tcW w:w="2250" w:type="dxa"/>
            <w:tcBorders>
              <w:bottom w:val="single" w:sz="4" w:space="0" w:color="auto"/>
            </w:tcBorders>
            <w:vAlign w:val="center"/>
          </w:tcPr>
          <w:p w:rsidR="00DB5D95" w:rsidRPr="00DB5D95" w:rsidRDefault="00DB5D95" w:rsidP="00DB5D95">
            <w:pPr>
              <w:jc w:val="center"/>
              <w:rPr>
                <w:rFonts w:cs="Times New Roman"/>
                <w:color w:val="000000"/>
              </w:rPr>
            </w:pPr>
            <w:r w:rsidRPr="00DB5D95">
              <w:rPr>
                <w:rFonts w:cs="Times New Roman"/>
                <w:color w:val="000000"/>
              </w:rPr>
              <w:t>(-0.155,0.165)</w:t>
            </w:r>
          </w:p>
        </w:tc>
        <w:tc>
          <w:tcPr>
            <w:tcW w:w="1440" w:type="dxa"/>
            <w:tcBorders>
              <w:bottom w:val="single" w:sz="4" w:space="0" w:color="auto"/>
            </w:tcBorders>
            <w:vAlign w:val="center"/>
          </w:tcPr>
          <w:p w:rsidR="00DB5D95" w:rsidRPr="00DB5D95" w:rsidRDefault="00DB5D95" w:rsidP="00DB5D95">
            <w:pPr>
              <w:jc w:val="center"/>
              <w:rPr>
                <w:rFonts w:cs="Times New Roman"/>
                <w:color w:val="000000"/>
              </w:rPr>
            </w:pPr>
            <w:r w:rsidRPr="00DB5D95">
              <w:rPr>
                <w:rFonts w:cs="Times New Roman"/>
                <w:color w:val="000000"/>
              </w:rPr>
              <w:t>0.9486</w:t>
            </w:r>
          </w:p>
        </w:tc>
      </w:tr>
    </w:tbl>
    <w:p w:rsidR="00CE6B6B" w:rsidRDefault="00CE6B6B"/>
    <w:p w:rsidR="00CE6B6B" w:rsidRDefault="00CE6B6B"/>
    <w:p w:rsidR="00CE6B6B" w:rsidRDefault="00CE6B6B"/>
    <w:p w:rsidR="00CE6B6B" w:rsidRDefault="000C42D9">
      <w:r>
        <w:rPr>
          <w:noProof/>
        </w:rPr>
        <w:lastRenderedPageBreak/>
        <w:drawing>
          <wp:anchor distT="0" distB="0" distL="114300" distR="114300" simplePos="0" relativeHeight="251658240" behindDoc="0" locked="0" layoutInCell="1" allowOverlap="1">
            <wp:simplePos x="0" y="0"/>
            <wp:positionH relativeFrom="margin">
              <wp:posOffset>148856</wp:posOffset>
            </wp:positionH>
            <wp:positionV relativeFrom="paragraph">
              <wp:posOffset>0</wp:posOffset>
            </wp:positionV>
            <wp:extent cx="5930900" cy="3562683"/>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30900" cy="3562683"/>
                    </a:xfrm>
                    <a:prstGeom prst="rect">
                      <a:avLst/>
                    </a:prstGeom>
                  </pic:spPr>
                </pic:pic>
              </a:graphicData>
            </a:graphic>
          </wp:anchor>
        </w:drawing>
      </w:r>
    </w:p>
    <w:p w:rsidR="00CE6B6B" w:rsidRDefault="00CE6B6B"/>
    <w:p w:rsidR="00CE6B6B" w:rsidRDefault="000C42D9">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167640</wp:posOffset>
            </wp:positionV>
            <wp:extent cx="5454930" cy="3276768"/>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54930" cy="3276768"/>
                    </a:xfrm>
                    <a:prstGeom prst="rect">
                      <a:avLst/>
                    </a:prstGeom>
                  </pic:spPr>
                </pic:pic>
              </a:graphicData>
            </a:graphic>
          </wp:anchor>
        </w:drawing>
      </w:r>
    </w:p>
    <w:p w:rsidR="00CE6B6B" w:rsidRDefault="00CE6B6B"/>
    <w:p w:rsidR="00CE6B6B" w:rsidRDefault="00CE6B6B"/>
    <w:p w:rsidR="00CE6B6B" w:rsidRDefault="00CE6B6B"/>
    <w:p w:rsidR="00410FE3" w:rsidRDefault="00410FE3">
      <w:pPr>
        <w:rPr>
          <w:noProof/>
        </w:rPr>
      </w:pPr>
      <w:r w:rsidRPr="00410FE3">
        <w:rPr>
          <w:noProof/>
        </w:rPr>
        <w:t xml:space="preserve"> </w:t>
      </w:r>
    </w:p>
    <w:sectPr w:rsidR="00410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0A7"/>
    <w:rsid w:val="000129E7"/>
    <w:rsid w:val="000A4F74"/>
    <w:rsid w:val="000C42D9"/>
    <w:rsid w:val="000D5506"/>
    <w:rsid w:val="00135815"/>
    <w:rsid w:val="001367FC"/>
    <w:rsid w:val="002110A7"/>
    <w:rsid w:val="002469B6"/>
    <w:rsid w:val="003A0839"/>
    <w:rsid w:val="00410FE3"/>
    <w:rsid w:val="00456C43"/>
    <w:rsid w:val="00542DA0"/>
    <w:rsid w:val="005E5F68"/>
    <w:rsid w:val="00647B5D"/>
    <w:rsid w:val="006F754A"/>
    <w:rsid w:val="00786D28"/>
    <w:rsid w:val="007A40FC"/>
    <w:rsid w:val="007C00E8"/>
    <w:rsid w:val="0089332E"/>
    <w:rsid w:val="00893C8C"/>
    <w:rsid w:val="0089710B"/>
    <w:rsid w:val="008A6601"/>
    <w:rsid w:val="008C67AA"/>
    <w:rsid w:val="008D498C"/>
    <w:rsid w:val="008F1E17"/>
    <w:rsid w:val="00974516"/>
    <w:rsid w:val="00A63A42"/>
    <w:rsid w:val="00A81BD8"/>
    <w:rsid w:val="00A8662B"/>
    <w:rsid w:val="00A9119B"/>
    <w:rsid w:val="00AB6EE6"/>
    <w:rsid w:val="00B00B87"/>
    <w:rsid w:val="00BB475B"/>
    <w:rsid w:val="00BF50A4"/>
    <w:rsid w:val="00CE6B6B"/>
    <w:rsid w:val="00D15F8A"/>
    <w:rsid w:val="00DB5D95"/>
    <w:rsid w:val="00DC2978"/>
    <w:rsid w:val="00EB6491"/>
    <w:rsid w:val="00F70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CF1E9"/>
  <w15:chartTrackingRefBased/>
  <w15:docId w15:val="{69A840D8-1304-449D-BF0C-8DCB66740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1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6B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691899">
      <w:bodyDiv w:val="1"/>
      <w:marLeft w:val="120"/>
      <w:marRight w:val="120"/>
      <w:marTop w:val="0"/>
      <w:marBottom w:val="0"/>
      <w:divBdr>
        <w:top w:val="none" w:sz="0" w:space="0" w:color="auto"/>
        <w:left w:val="none" w:sz="0" w:space="0" w:color="auto"/>
        <w:bottom w:val="none" w:sz="0" w:space="0" w:color="auto"/>
        <w:right w:val="none" w:sz="0" w:space="0" w:color="auto"/>
      </w:divBdr>
      <w:divsChild>
        <w:div w:id="1528518372">
          <w:marLeft w:val="0"/>
          <w:marRight w:val="0"/>
          <w:marTop w:val="0"/>
          <w:marBottom w:val="0"/>
          <w:divBdr>
            <w:top w:val="none" w:sz="0" w:space="0" w:color="auto"/>
            <w:left w:val="none" w:sz="0" w:space="0" w:color="auto"/>
            <w:bottom w:val="none" w:sz="0" w:space="0" w:color="auto"/>
            <w:right w:val="none" w:sz="0" w:space="0" w:color="auto"/>
          </w:divBdr>
          <w:divsChild>
            <w:div w:id="6741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3647">
      <w:bodyDiv w:val="1"/>
      <w:marLeft w:val="120"/>
      <w:marRight w:val="120"/>
      <w:marTop w:val="0"/>
      <w:marBottom w:val="0"/>
      <w:divBdr>
        <w:top w:val="none" w:sz="0" w:space="0" w:color="auto"/>
        <w:left w:val="none" w:sz="0" w:space="0" w:color="auto"/>
        <w:bottom w:val="none" w:sz="0" w:space="0" w:color="auto"/>
        <w:right w:val="none" w:sz="0" w:space="0" w:color="auto"/>
      </w:divBdr>
      <w:divsChild>
        <w:div w:id="1509949968">
          <w:marLeft w:val="0"/>
          <w:marRight w:val="0"/>
          <w:marTop w:val="0"/>
          <w:marBottom w:val="0"/>
          <w:divBdr>
            <w:top w:val="none" w:sz="0" w:space="0" w:color="auto"/>
            <w:left w:val="none" w:sz="0" w:space="0" w:color="auto"/>
            <w:bottom w:val="none" w:sz="0" w:space="0" w:color="auto"/>
            <w:right w:val="none" w:sz="0" w:space="0" w:color="auto"/>
          </w:divBdr>
          <w:divsChild>
            <w:div w:id="131186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5282">
      <w:bodyDiv w:val="1"/>
      <w:marLeft w:val="0"/>
      <w:marRight w:val="0"/>
      <w:marTop w:val="0"/>
      <w:marBottom w:val="0"/>
      <w:divBdr>
        <w:top w:val="none" w:sz="0" w:space="0" w:color="auto"/>
        <w:left w:val="none" w:sz="0" w:space="0" w:color="auto"/>
        <w:bottom w:val="none" w:sz="0" w:space="0" w:color="auto"/>
        <w:right w:val="none" w:sz="0" w:space="0" w:color="auto"/>
      </w:divBdr>
    </w:div>
    <w:div w:id="1761217872">
      <w:bodyDiv w:val="1"/>
      <w:marLeft w:val="120"/>
      <w:marRight w:val="120"/>
      <w:marTop w:val="0"/>
      <w:marBottom w:val="0"/>
      <w:divBdr>
        <w:top w:val="none" w:sz="0" w:space="0" w:color="auto"/>
        <w:left w:val="none" w:sz="0" w:space="0" w:color="auto"/>
        <w:bottom w:val="none" w:sz="0" w:space="0" w:color="auto"/>
        <w:right w:val="none" w:sz="0" w:space="0" w:color="auto"/>
      </w:divBdr>
      <w:divsChild>
        <w:div w:id="75636764">
          <w:marLeft w:val="0"/>
          <w:marRight w:val="0"/>
          <w:marTop w:val="0"/>
          <w:marBottom w:val="0"/>
          <w:divBdr>
            <w:top w:val="none" w:sz="0" w:space="0" w:color="auto"/>
            <w:left w:val="none" w:sz="0" w:space="0" w:color="auto"/>
            <w:bottom w:val="none" w:sz="0" w:space="0" w:color="auto"/>
            <w:right w:val="none" w:sz="0" w:space="0" w:color="auto"/>
          </w:divBdr>
          <w:divsChild>
            <w:div w:id="10304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78684">
      <w:bodyDiv w:val="1"/>
      <w:marLeft w:val="120"/>
      <w:marRight w:val="120"/>
      <w:marTop w:val="0"/>
      <w:marBottom w:val="0"/>
      <w:divBdr>
        <w:top w:val="none" w:sz="0" w:space="0" w:color="auto"/>
        <w:left w:val="none" w:sz="0" w:space="0" w:color="auto"/>
        <w:bottom w:val="none" w:sz="0" w:space="0" w:color="auto"/>
        <w:right w:val="none" w:sz="0" w:space="0" w:color="auto"/>
      </w:divBdr>
      <w:divsChild>
        <w:div w:id="1530995223">
          <w:marLeft w:val="0"/>
          <w:marRight w:val="0"/>
          <w:marTop w:val="0"/>
          <w:marBottom w:val="0"/>
          <w:divBdr>
            <w:top w:val="none" w:sz="0" w:space="0" w:color="auto"/>
            <w:left w:val="none" w:sz="0" w:space="0" w:color="auto"/>
            <w:bottom w:val="none" w:sz="0" w:space="0" w:color="auto"/>
            <w:right w:val="none" w:sz="0" w:space="0" w:color="auto"/>
          </w:divBdr>
          <w:divsChild>
            <w:div w:id="20628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60827">
      <w:bodyDiv w:val="1"/>
      <w:marLeft w:val="0"/>
      <w:marRight w:val="0"/>
      <w:marTop w:val="0"/>
      <w:marBottom w:val="0"/>
      <w:divBdr>
        <w:top w:val="none" w:sz="0" w:space="0" w:color="auto"/>
        <w:left w:val="none" w:sz="0" w:space="0" w:color="auto"/>
        <w:bottom w:val="none" w:sz="0" w:space="0" w:color="auto"/>
        <w:right w:val="none" w:sz="0" w:space="0" w:color="auto"/>
      </w:divBdr>
      <w:divsChild>
        <w:div w:id="1030298717">
          <w:marLeft w:val="0"/>
          <w:marRight w:val="0"/>
          <w:marTop w:val="0"/>
          <w:marBottom w:val="0"/>
          <w:divBdr>
            <w:top w:val="none" w:sz="0" w:space="0" w:color="auto"/>
            <w:left w:val="none" w:sz="0" w:space="0" w:color="auto"/>
            <w:bottom w:val="none" w:sz="0" w:space="0" w:color="auto"/>
            <w:right w:val="none" w:sz="0" w:space="0" w:color="auto"/>
          </w:divBdr>
        </w:div>
        <w:div w:id="829637527">
          <w:marLeft w:val="0"/>
          <w:marRight w:val="0"/>
          <w:marTop w:val="0"/>
          <w:marBottom w:val="0"/>
          <w:divBdr>
            <w:top w:val="none" w:sz="0" w:space="0" w:color="auto"/>
            <w:left w:val="none" w:sz="0" w:space="0" w:color="auto"/>
            <w:bottom w:val="none" w:sz="0" w:space="0" w:color="auto"/>
            <w:right w:val="none" w:sz="0" w:space="0" w:color="auto"/>
          </w:divBdr>
        </w:div>
        <w:div w:id="47842741">
          <w:marLeft w:val="0"/>
          <w:marRight w:val="0"/>
          <w:marTop w:val="0"/>
          <w:marBottom w:val="0"/>
          <w:divBdr>
            <w:top w:val="none" w:sz="0" w:space="0" w:color="auto"/>
            <w:left w:val="none" w:sz="0" w:space="0" w:color="auto"/>
            <w:bottom w:val="none" w:sz="0" w:space="0" w:color="auto"/>
            <w:right w:val="none" w:sz="0" w:space="0" w:color="auto"/>
          </w:divBdr>
        </w:div>
      </w:divsChild>
    </w:div>
    <w:div w:id="214507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BIOS6623-UCD/bios6623-elcot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6</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Cotton, Eleanor3</dc:creator>
  <cp:keywords/>
  <dc:description/>
  <cp:lastModifiedBy>Cotton, Eleanor3</cp:lastModifiedBy>
  <cp:revision>12</cp:revision>
  <dcterms:created xsi:type="dcterms:W3CDTF">2017-11-18T22:03:00Z</dcterms:created>
  <dcterms:modified xsi:type="dcterms:W3CDTF">2017-11-26T23:00:00Z</dcterms:modified>
</cp:coreProperties>
</file>