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0baecc0d48f11fcd470e031479547b673f14d97"/>
    <w:p>
      <w:pPr>
        <w:pStyle w:val="Heading1"/>
      </w:pPr>
      <w:r>
        <w:t xml:space="preserve">Tink Production Certification Documentation Package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FiredUp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LORA Julita Felsztukier</w:t>
      </w:r>
      <w:r>
        <w:t xml:space="preserve"> </w:t>
      </w:r>
      <w:r>
        <w:rPr>
          <w:b/>
          <w:bCs/>
        </w:rPr>
        <w:t xml:space="preserve">Prepared: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documentation package has been prepared to support FiredUp’s application for Tink API production access. FiredUp is a personal finance management SaaS application targeting Polish consumers, providing read-only access to bank account data for budgeting and expense tracking purposes.</w:t>
      </w:r>
    </w:p>
    <w:p>
      <w:r>
        <w:pict>
          <v:rect style="width:0;height:1.5pt" o:hralign="center" o:hrstd="t" o:hr="t"/>
        </w:pict>
      </w:r>
    </w:p>
    <w:bookmarkEnd w:id="9"/>
    <w:bookmarkStart w:id="17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01-COMPANY-PROFILE.md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Company registration, contact details, and business information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02-PRODUCT-DESCRIPTION.md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 overview, use case, target market, and business model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03-TECHNICAL-ARCHITECTURE.md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architecture, data flow diagrams, and integration design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04-SECURITY-MEASURES.md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controls, encryption, access management, and monitoring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05-DATA-HANDLING.md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GDPR compliance, data retention policies, and deletion procedures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06-API-INTEGRATION.md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Tink API endpoints used, OAuth scopes, and implementation details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07-TESTING-EVIDENCE.md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Sandbox testing results, test coverage, and validation evidence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quick-reference"/>
    <w:p>
      <w:pPr>
        <w:pStyle w:val="Heading2"/>
      </w:pPr>
      <w:r>
        <w:t xml:space="preserve">Quick Reference</w:t>
      </w:r>
    </w:p>
    <w:bookmarkStart w:id="18" w:name="use-case-summary"/>
    <w:p>
      <w:pPr>
        <w:pStyle w:val="Heading3"/>
      </w:pPr>
      <w:r>
        <w:t xml:space="preserve">Use Case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Account Information Service (AISP) - read-only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Market:</w:t>
      </w:r>
      <w:r>
        <w:t xml:space="preserve"> </w:t>
      </w:r>
      <w:r>
        <w:t xml:space="preserve">Poland (PL)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Polish consumers for personal finance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Volume:</w:t>
      </w:r>
      <w:r>
        <w:t xml:space="preserve"> </w:t>
      </w:r>
      <w:r>
        <w:t xml:space="preserve">100-1,000 users, ~1,000 API requests/day</w:t>
      </w:r>
    </w:p>
    <w:bookmarkEnd w:id="18"/>
    <w:bookmarkStart w:id="19" w:name="tink-products-required"/>
    <w:p>
      <w:pPr>
        <w:pStyle w:val="Heading3"/>
      </w:pPr>
      <w:r>
        <w:t xml:space="preserve">Tink Products Required</w:t>
      </w:r>
    </w:p>
    <w:p>
      <w:pPr>
        <w:pStyle w:val="Compact"/>
        <w:numPr>
          <w:ilvl w:val="0"/>
          <w:numId w:val="1002"/>
        </w:numPr>
      </w:pPr>
      <w:r>
        <w:t xml:space="preserve">Transactions (Standard Plan)</w:t>
      </w:r>
    </w:p>
    <w:p>
      <w:pPr>
        <w:pStyle w:val="Compact"/>
        <w:numPr>
          <w:ilvl w:val="0"/>
          <w:numId w:val="1002"/>
        </w:numPr>
      </w:pPr>
      <w:r>
        <w:t xml:space="preserve">Account Check (Standard Plan)</w:t>
      </w:r>
    </w:p>
    <w:p>
      <w:pPr>
        <w:pStyle w:val="Compact"/>
        <w:numPr>
          <w:ilvl w:val="0"/>
          <w:numId w:val="1002"/>
        </w:numPr>
      </w:pPr>
      <w:r>
        <w:t xml:space="preserve">Balance Check (Standard Plan)</w:t>
      </w:r>
    </w:p>
    <w:bookmarkEnd w:id="19"/>
    <w:bookmarkStart w:id="20" w:name="key-links"/>
    <w:p>
      <w:pPr>
        <w:pStyle w:val="Heading3"/>
      </w:pPr>
      <w:r>
        <w:t xml:space="preserve">Key Links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Production Application:</w:t>
      </w:r>
      <w:r>
        <w:t xml:space="preserve"> </w:t>
      </w:r>
      <w:r>
        <w:t xml:space="preserve">https://firedup.app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Policy:</w:t>
      </w:r>
      <w:r>
        <w:t xml:space="preserve"> </w:t>
      </w:r>
      <w:r>
        <w:t xml:space="preserve">https://firedup.app/privacy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Terms of Service:</w:t>
      </w:r>
      <w:r>
        <w:t xml:space="preserve"> </w:t>
      </w:r>
      <w:r>
        <w:t xml:space="preserve">https://firedup.app/terms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mpliance-checklist"/>
    <w:p>
      <w:pPr>
        <w:pStyle w:val="Heading2"/>
      </w:pPr>
      <w:r>
        <w:t xml:space="preserve">Compliance Checklist</w:t>
      </w:r>
    </w:p>
    <w:bookmarkStart w:id="22" w:name="legal-documentation"/>
    <w:p>
      <w:pPr>
        <w:pStyle w:val="Heading3"/>
      </w:pPr>
      <w:r>
        <w:t xml:space="preserve">Legal Documentation</w:t>
      </w:r>
    </w:p>
    <w:p>
      <w:pPr>
        <w:pStyle w:val="Compact"/>
        <w:numPr>
          <w:ilvl w:val="0"/>
          <w:numId w:val="1004"/>
        </w:numPr>
      </w:pPr>
      <w:r>
        <w:t xml:space="preserve">Privacy Policy with Tink data handling disclosure</w:t>
      </w:r>
    </w:p>
    <w:p>
      <w:pPr>
        <w:pStyle w:val="Compact"/>
        <w:numPr>
          <w:ilvl w:val="0"/>
          <w:numId w:val="1005"/>
        </w:numPr>
      </w:pPr>
      <w:r>
        <w:t xml:space="preserve">Terms of Service with banking integration consent</w:t>
      </w:r>
    </w:p>
    <w:p>
      <w:pPr>
        <w:pStyle w:val="Compact"/>
        <w:numPr>
          <w:ilvl w:val="0"/>
          <w:numId w:val="1006"/>
        </w:numPr>
      </w:pPr>
      <w:r>
        <w:t xml:space="preserve">GDPR compliance (data retention, user rights, deletion procedures)</w:t>
      </w:r>
    </w:p>
    <w:p>
      <w:pPr>
        <w:pStyle w:val="Compact"/>
        <w:numPr>
          <w:ilvl w:val="0"/>
          <w:numId w:val="1007"/>
        </w:numPr>
      </w:pPr>
      <w:r>
        <w:t xml:space="preserve">Company registration (NIP, address)</w:t>
      </w:r>
    </w:p>
    <w:bookmarkEnd w:id="22"/>
    <w:bookmarkStart w:id="23" w:name="technical-requirements"/>
    <w:p>
      <w:pPr>
        <w:pStyle w:val="Heading3"/>
      </w:pPr>
      <w:r>
        <w:t xml:space="preserve">Technical Requirements</w:t>
      </w:r>
    </w:p>
    <w:p>
      <w:pPr>
        <w:pStyle w:val="Compact"/>
        <w:numPr>
          <w:ilvl w:val="0"/>
          <w:numId w:val="1008"/>
        </w:numPr>
      </w:pPr>
      <w:r>
        <w:t xml:space="preserve">HTTPS/TLS for all connections</w:t>
      </w:r>
    </w:p>
    <w:p>
      <w:pPr>
        <w:pStyle w:val="Compact"/>
        <w:numPr>
          <w:ilvl w:val="0"/>
          <w:numId w:val="1009"/>
        </w:numPr>
      </w:pPr>
      <w:r>
        <w:t xml:space="preserve">Secure token storage in database</w:t>
      </w:r>
    </w:p>
    <w:p>
      <w:pPr>
        <w:pStyle w:val="Compact"/>
        <w:numPr>
          <w:ilvl w:val="0"/>
          <w:numId w:val="1010"/>
        </w:numPr>
      </w:pPr>
      <w:r>
        <w:t xml:space="preserve">No bank credential storage</w:t>
      </w:r>
    </w:p>
    <w:p>
      <w:pPr>
        <w:pStyle w:val="Compact"/>
        <w:numPr>
          <w:ilvl w:val="0"/>
          <w:numId w:val="1011"/>
        </w:numPr>
      </w:pPr>
      <w:r>
        <w:t xml:space="preserve">State token CSRF protection (HMAC-SHA256)</w:t>
      </w:r>
    </w:p>
    <w:p>
      <w:pPr>
        <w:pStyle w:val="Compact"/>
        <w:numPr>
          <w:ilvl w:val="0"/>
          <w:numId w:val="1012"/>
        </w:numPr>
      </w:pPr>
      <w:r>
        <w:t xml:space="preserve">Retry logic with exponential backoff</w:t>
      </w:r>
    </w:p>
    <w:p>
      <w:pPr>
        <w:pStyle w:val="Compact"/>
        <w:numPr>
          <w:ilvl w:val="0"/>
          <w:numId w:val="1013"/>
        </w:numPr>
      </w:pPr>
      <w:r>
        <w:t xml:space="preserve">Rate limiting per user per endpoint</w:t>
      </w:r>
    </w:p>
    <w:p>
      <w:pPr>
        <w:pStyle w:val="Compact"/>
        <w:numPr>
          <w:ilvl w:val="0"/>
          <w:numId w:val="1014"/>
        </w:numPr>
      </w:pPr>
      <w:r>
        <w:t xml:space="preserve">Audit logging (TinkAuditLog)</w:t>
      </w:r>
    </w:p>
    <w:p>
      <w:pPr>
        <w:pStyle w:val="Compact"/>
        <w:numPr>
          <w:ilvl w:val="0"/>
          <w:numId w:val="1015"/>
        </w:numPr>
      </w:pPr>
      <w:r>
        <w:t xml:space="preserve">Error monitoring (Sentry)</w:t>
      </w:r>
    </w:p>
    <w:bookmarkEnd w:id="23"/>
    <w:bookmarkStart w:id="24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6"/>
        </w:numPr>
      </w:pPr>
      <w:r>
        <w:t xml:space="preserve">Sandbox integration complete</w:t>
      </w:r>
    </w:p>
    <w:p>
      <w:pPr>
        <w:pStyle w:val="Compact"/>
        <w:numPr>
          <w:ilvl w:val="0"/>
          <w:numId w:val="1017"/>
        </w:numPr>
      </w:pPr>
      <w:r>
        <w:t xml:space="preserve">Demo bank testing (Poland market)</w:t>
      </w:r>
    </w:p>
    <w:p>
      <w:pPr>
        <w:pStyle w:val="Compact"/>
        <w:numPr>
          <w:ilvl w:val="0"/>
          <w:numId w:val="1018"/>
        </w:numPr>
      </w:pPr>
      <w:r>
        <w:t xml:space="preserve">Unit tests for Tink service</w:t>
      </w:r>
    </w:p>
    <w:p>
      <w:pPr>
        <w:pStyle w:val="Compact"/>
        <w:numPr>
          <w:ilvl w:val="0"/>
          <w:numId w:val="1019"/>
        </w:numPr>
      </w:pPr>
      <w:r>
        <w:t xml:space="preserve">Integration tests for API endpoints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For Tink Certification Questions:</w:t>
      </w:r>
      <w:r>
        <w:t xml:space="preserve"> </w:t>
      </w:r>
      <w:r>
        <w:t xml:space="preserve">- Email: contact@firedup.app</w:t>
      </w:r>
      <w:r>
        <w:t xml:space="preserve"> </w:t>
      </w:r>
      <w:r>
        <w:t xml:space="preserve">- Website: https://firedup.app</w:t>
      </w:r>
    </w:p>
    <w:p>
      <w:pPr>
        <w:pStyle w:val="BodyText"/>
      </w:pPr>
      <w:r>
        <w:rPr>
          <w:b/>
          <w:bCs/>
        </w:rPr>
        <w:t xml:space="preserve">Technical Contact:</w:t>
      </w:r>
      <w:r>
        <w:t xml:space="preserve"> </w:t>
      </w:r>
      <w:r>
        <w:t xml:space="preserve">- Łukasz Felsztukier</w:t>
      </w:r>
      <w:r>
        <w:t xml:space="preserve"> </w:t>
      </w:r>
      <w:r>
        <w:t xml:space="preserve">- Email: privacy@firedup.app</w:t>
      </w:r>
      <w:r>
        <w:t xml:space="preserve"> </w:t>
      </w:r>
      <w:r>
        <w:t xml:space="preserve">- Phone: +48 664 952 859</w:t>
      </w:r>
    </w:p>
    <w:p>
      <w:r>
        <w:pict>
          <v:rect style="width:0;height:1.5pt" o:hralign="center" o:hrstd="t" o:hr="t"/>
        </w:pict>
      </w:r>
    </w:p>
    <w:bookmarkEnd w:id="26"/>
    <w:bookmarkStart w:id="41" w:name="related-documentation"/>
    <w:p>
      <w:pPr>
        <w:pStyle w:val="Heading2"/>
      </w:pPr>
      <w:r>
        <w:t xml:space="preserve">Related Documentation</w:t>
      </w:r>
    </w:p>
    <w:bookmarkStart w:id="34" w:name="internal-documentation"/>
    <w:p>
      <w:pPr>
        <w:pStyle w:val="Heading3"/>
      </w:pPr>
      <w:r>
        <w:t xml:space="preserve">Internal Documentation</w:t>
      </w:r>
    </w:p>
    <w:p>
      <w:pPr>
        <w:pStyle w:val="Compact"/>
        <w:numPr>
          <w:ilvl w:val="0"/>
          <w:numId w:val="1020"/>
        </w:numPr>
      </w:pPr>
      <w:hyperlink r:id="rId27">
        <w:r>
          <w:rPr>
            <w:rStyle w:val="Hyperlink"/>
          </w:rPr>
          <w:t xml:space="preserve">Tink API Integration Guide</w:t>
        </w:r>
      </w:hyperlink>
    </w:p>
    <w:p>
      <w:pPr>
        <w:pStyle w:val="Compact"/>
        <w:numPr>
          <w:ilvl w:val="0"/>
          <w:numId w:val="1020"/>
        </w:numPr>
      </w:pPr>
      <w:hyperlink r:id="rId28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20"/>
        </w:numPr>
      </w:pPr>
      <w:hyperlink r:id="rId29">
        <w:r>
          <w:rPr>
            <w:rStyle w:val="Hyperlink"/>
          </w:rPr>
          <w:t xml:space="preserve">Tink Link Integration</w:t>
        </w:r>
      </w:hyperlink>
    </w:p>
    <w:p>
      <w:pPr>
        <w:pStyle w:val="Compact"/>
        <w:numPr>
          <w:ilvl w:val="0"/>
          <w:numId w:val="1020"/>
        </w:numPr>
      </w:pPr>
      <w:hyperlink r:id="rId30">
        <w:r>
          <w:rPr>
            <w:rStyle w:val="Hyperlink"/>
          </w:rPr>
          <w:t xml:space="preserve">Accounts &amp; Transactions</w:t>
        </w:r>
      </w:hyperlink>
    </w:p>
    <w:p>
      <w:pPr>
        <w:pStyle w:val="Compact"/>
        <w:numPr>
          <w:ilvl w:val="0"/>
          <w:numId w:val="1020"/>
        </w:numPr>
      </w:pPr>
      <w:hyperlink r:id="rId31">
        <w:r>
          <w:rPr>
            <w:rStyle w:val="Hyperlink"/>
          </w:rPr>
          <w:t xml:space="preserve">Sandbox Testing</w:t>
        </w:r>
      </w:hyperlink>
    </w:p>
    <w:p>
      <w:pPr>
        <w:pStyle w:val="Compact"/>
        <w:numPr>
          <w:ilvl w:val="0"/>
          <w:numId w:val="1020"/>
        </w:numPr>
      </w:pPr>
      <w:hyperlink r:id="rId32">
        <w:r>
          <w:rPr>
            <w:rStyle w:val="Hyperlink"/>
          </w:rPr>
          <w:t xml:space="preserve">Production Requirements</w:t>
        </w:r>
      </w:hyperlink>
    </w:p>
    <w:p>
      <w:pPr>
        <w:pStyle w:val="Compact"/>
        <w:numPr>
          <w:ilvl w:val="0"/>
          <w:numId w:val="1020"/>
        </w:numPr>
      </w:pPr>
      <w:hyperlink r:id="rId33">
        <w:r>
          <w:rPr>
            <w:rStyle w:val="Hyperlink"/>
          </w:rPr>
          <w:t xml:space="preserve">Production Deployment Plan</w:t>
        </w:r>
      </w:hyperlink>
    </w:p>
    <w:bookmarkEnd w:id="34"/>
    <w:bookmarkStart w:id="40" w:name="external-resources"/>
    <w:p>
      <w:pPr>
        <w:pStyle w:val="Heading3"/>
      </w:pPr>
      <w:r>
        <w:t xml:space="preserve">External Resources</w:t>
      </w:r>
    </w:p>
    <w:p>
      <w:pPr>
        <w:pStyle w:val="Compact"/>
        <w:numPr>
          <w:ilvl w:val="0"/>
          <w:numId w:val="1021"/>
        </w:numPr>
      </w:pPr>
      <w:hyperlink r:id="rId35">
        <w:r>
          <w:rPr>
            <w:rStyle w:val="Hyperlink"/>
          </w:rPr>
          <w:t xml:space="preserve">Tink Documentation</w:t>
        </w:r>
      </w:hyperlink>
    </w:p>
    <w:p>
      <w:pPr>
        <w:pStyle w:val="Compact"/>
        <w:numPr>
          <w:ilvl w:val="0"/>
          <w:numId w:val="1021"/>
        </w:numPr>
      </w:pPr>
      <w:hyperlink r:id="rId36">
        <w:r>
          <w:rPr>
            <w:rStyle w:val="Hyperlink"/>
          </w:rPr>
          <w:t xml:space="preserve">Tink Console</w:t>
        </w:r>
      </w:hyperlink>
    </w:p>
    <w:p>
      <w:pPr>
        <w:pStyle w:val="Compact"/>
        <w:numPr>
          <w:ilvl w:val="0"/>
          <w:numId w:val="1021"/>
        </w:numPr>
      </w:pPr>
      <w:hyperlink r:id="rId37">
        <w:r>
          <w:rPr>
            <w:rStyle w:val="Hyperlink"/>
          </w:rPr>
          <w:t xml:space="preserve">Tink Privacy Policy</w:t>
        </w:r>
      </w:hyperlink>
    </w:p>
    <w:p>
      <w:pPr>
        <w:pStyle w:val="Compact"/>
        <w:numPr>
          <w:ilvl w:val="0"/>
          <w:numId w:val="1021"/>
        </w:numPr>
      </w:pPr>
      <w:hyperlink r:id="rId38">
        <w:r>
          <w:rPr>
            <w:rStyle w:val="Hyperlink"/>
          </w:rPr>
          <w:t xml:space="preserve">Tink End User Terms</w:t>
        </w:r>
      </w:hyperlink>
    </w:p>
    <w:p>
      <w:pPr>
        <w:pStyle w:val="Compact"/>
        <w:numPr>
          <w:ilvl w:val="0"/>
          <w:numId w:val="1021"/>
        </w:numPr>
      </w:pPr>
      <w:hyperlink r:id="rId39">
        <w:r>
          <w:rPr>
            <w:rStyle w:val="Hyperlink"/>
          </w:rPr>
          <w:t xml:space="preserve">Consumer Revocation Portal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tink-api/00-integration-status.md" TargetMode="External" /><Relationship Type="http://schemas.openxmlformats.org/officeDocument/2006/relationships/hyperlink" Id="rId28" Target="../tink-api/01-authentication.md" TargetMode="External" /><Relationship Type="http://schemas.openxmlformats.org/officeDocument/2006/relationships/hyperlink" Id="rId29" Target="../tink-api/02-tink-link.md" TargetMode="External" /><Relationship Type="http://schemas.openxmlformats.org/officeDocument/2006/relationships/hyperlink" Id="rId30" Target="../tink-api/03-accounts-transactions.md" TargetMode="External" /><Relationship Type="http://schemas.openxmlformats.org/officeDocument/2006/relationships/hyperlink" Id="rId31" Target="../tink-api/04-sandbox-testing.md" TargetMode="External" /><Relationship Type="http://schemas.openxmlformats.org/officeDocument/2006/relationships/hyperlink" Id="rId32" Target="../tink-api/05-production-requirements.md" TargetMode="External" /><Relationship Type="http://schemas.openxmlformats.org/officeDocument/2006/relationships/hyperlink" Id="rId33" Target="../tink-api/06-production-deployment-plan.md" TargetMode="External" /><Relationship Type="http://schemas.openxmlformats.org/officeDocument/2006/relationships/hyperlink" Id="rId10" Target="./01-COMPANY-PROFILE.md" TargetMode="External" /><Relationship Type="http://schemas.openxmlformats.org/officeDocument/2006/relationships/hyperlink" Id="rId11" Target="./02-PRODUCT-DESCRIPTION.md" TargetMode="External" /><Relationship Type="http://schemas.openxmlformats.org/officeDocument/2006/relationships/hyperlink" Id="rId12" Target="./03-TECHNICAL-ARCHITECTURE.md" TargetMode="External" /><Relationship Type="http://schemas.openxmlformats.org/officeDocument/2006/relationships/hyperlink" Id="rId13" Target="./04-SECURITY-MEASURES.md" TargetMode="External" /><Relationship Type="http://schemas.openxmlformats.org/officeDocument/2006/relationships/hyperlink" Id="rId14" Target="./05-DATA-HANDLING.md" TargetMode="External" /><Relationship Type="http://schemas.openxmlformats.org/officeDocument/2006/relationships/hyperlink" Id="rId15" Target="./06-API-INTEGRATION.md" TargetMode="External" /><Relationship Type="http://schemas.openxmlformats.org/officeDocument/2006/relationships/hyperlink" Id="rId16" Target="./07-TESTING-EVIDENCE.md" TargetMode="External" /><Relationship Type="http://schemas.openxmlformats.org/officeDocument/2006/relationships/hyperlink" Id="rId36" Target="https://console.tink.com" TargetMode="External" /><Relationship Type="http://schemas.openxmlformats.org/officeDocument/2006/relationships/hyperlink" Id="rId35" Target="https://docs.tink.com" TargetMode="External" /><Relationship Type="http://schemas.openxmlformats.org/officeDocument/2006/relationships/hyperlink" Id="rId39" Target="https://tink.com/consumer/revocation" TargetMode="External" /><Relationship Type="http://schemas.openxmlformats.org/officeDocument/2006/relationships/hyperlink" Id="rId38" Target="https://tink.com/legal/end-user-terms" TargetMode="External" /><Relationship Type="http://schemas.openxmlformats.org/officeDocument/2006/relationships/hyperlink" Id="rId37" Target="https://tink.com/legal/privacy-poli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tink-api/00-integration-status.md" TargetMode="External" /><Relationship Type="http://schemas.openxmlformats.org/officeDocument/2006/relationships/hyperlink" Id="rId28" Target="../tink-api/01-authentication.md" TargetMode="External" /><Relationship Type="http://schemas.openxmlformats.org/officeDocument/2006/relationships/hyperlink" Id="rId29" Target="../tink-api/02-tink-link.md" TargetMode="External" /><Relationship Type="http://schemas.openxmlformats.org/officeDocument/2006/relationships/hyperlink" Id="rId30" Target="../tink-api/03-accounts-transactions.md" TargetMode="External" /><Relationship Type="http://schemas.openxmlformats.org/officeDocument/2006/relationships/hyperlink" Id="rId31" Target="../tink-api/04-sandbox-testing.md" TargetMode="External" /><Relationship Type="http://schemas.openxmlformats.org/officeDocument/2006/relationships/hyperlink" Id="rId32" Target="../tink-api/05-production-requirements.md" TargetMode="External" /><Relationship Type="http://schemas.openxmlformats.org/officeDocument/2006/relationships/hyperlink" Id="rId33" Target="../tink-api/06-production-deployment-plan.md" TargetMode="External" /><Relationship Type="http://schemas.openxmlformats.org/officeDocument/2006/relationships/hyperlink" Id="rId10" Target="./01-COMPANY-PROFILE.md" TargetMode="External" /><Relationship Type="http://schemas.openxmlformats.org/officeDocument/2006/relationships/hyperlink" Id="rId11" Target="./02-PRODUCT-DESCRIPTION.md" TargetMode="External" /><Relationship Type="http://schemas.openxmlformats.org/officeDocument/2006/relationships/hyperlink" Id="rId12" Target="./03-TECHNICAL-ARCHITECTURE.md" TargetMode="External" /><Relationship Type="http://schemas.openxmlformats.org/officeDocument/2006/relationships/hyperlink" Id="rId13" Target="./04-SECURITY-MEASURES.md" TargetMode="External" /><Relationship Type="http://schemas.openxmlformats.org/officeDocument/2006/relationships/hyperlink" Id="rId14" Target="./05-DATA-HANDLING.md" TargetMode="External" /><Relationship Type="http://schemas.openxmlformats.org/officeDocument/2006/relationships/hyperlink" Id="rId15" Target="./06-API-INTEGRATION.md" TargetMode="External" /><Relationship Type="http://schemas.openxmlformats.org/officeDocument/2006/relationships/hyperlink" Id="rId16" Target="./07-TESTING-EVIDENCE.md" TargetMode="External" /><Relationship Type="http://schemas.openxmlformats.org/officeDocument/2006/relationships/hyperlink" Id="rId36" Target="https://console.tink.com" TargetMode="External" /><Relationship Type="http://schemas.openxmlformats.org/officeDocument/2006/relationships/hyperlink" Id="rId35" Target="https://docs.tink.com" TargetMode="External" /><Relationship Type="http://schemas.openxmlformats.org/officeDocument/2006/relationships/hyperlink" Id="rId39" Target="https://tink.com/consumer/revocation" TargetMode="External" /><Relationship Type="http://schemas.openxmlformats.org/officeDocument/2006/relationships/hyperlink" Id="rId38" Target="https://tink.com/legal/end-user-terms" TargetMode="External" /><Relationship Type="http://schemas.openxmlformats.org/officeDocument/2006/relationships/hyperlink" Id="rId37" Target="https://tink.com/legal/privacy-poli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