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ata-handling-gdpr-compliance"/>
    <w:p>
      <w:pPr>
        <w:pStyle w:val="Heading1"/>
      </w:pPr>
      <w:r>
        <w:t xml:space="preserve">Data Handling &amp; GDPR Compliance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FiredUp is committed to GDPR compliance and transparent data handling practices. This document details what data we collect, how we process it, retention periods, and user rights procedures.</w:t>
      </w:r>
    </w:p>
    <w:p>
      <w:r>
        <w:pict>
          <v:rect style="width:0;height:1.5pt" o:hralign="center" o:hrstd="t" o:hr="t"/>
        </w:pict>
      </w:r>
    </w:p>
    <w:bookmarkEnd w:id="9"/>
    <w:bookmarkStart w:id="12" w:name="data-collection"/>
    <w:p>
      <w:pPr>
        <w:pStyle w:val="Heading2"/>
      </w:pPr>
      <w:r>
        <w:t xml:space="preserve">Data Collection</w:t>
      </w:r>
    </w:p>
    <w:bookmarkStart w:id="10" w:name="data-collected-from-tink"/>
    <w:p>
      <w:pPr>
        <w:pStyle w:val="Heading3"/>
      </w:pPr>
      <w:r>
        <w:t xml:space="preserve">Data Collected from Tink</w:t>
      </w:r>
    </w:p>
    <w:p>
      <w:pPr>
        <w:pStyle w:val="FirstParagraph"/>
      </w:pPr>
      <w:r>
        <w:t xml:space="preserve">When a user connects their bank account, we receive the following data from Tink: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Information</w:t>
            </w:r>
          </w:p>
        </w:tc>
        <w:tc>
          <w:tcPr/>
          <w:p>
            <w:pPr>
              <w:pStyle w:val="Compact"/>
            </w:pPr>
            <w:r>
              <w:t xml:space="preserve">IBAN, account name, account type, balance</w:t>
            </w:r>
          </w:p>
        </w:tc>
        <w:tc>
          <w:tcPr/>
          <w:p>
            <w:pPr>
              <w:pStyle w:val="Compact"/>
            </w:pPr>
            <w:r>
              <w:t xml:space="preserve">Display connected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Date, amount, description, merchant name</w:t>
            </w:r>
          </w:p>
        </w:tc>
        <w:tc>
          <w:tcPr/>
          <w:p>
            <w:pPr>
              <w:pStyle w:val="Compact"/>
            </w:pPr>
            <w:r>
              <w:t xml:space="preserve">Import for budgeting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Tink PFM category</w:t>
            </w:r>
          </w:p>
        </w:tc>
        <w:tc>
          <w:tcPr/>
          <w:p>
            <w:pPr>
              <w:pStyle w:val="Compact"/>
            </w:pPr>
            <w:r>
              <w:t xml:space="preserve">Auto-categorization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Balances</w:t>
            </w:r>
          </w:p>
        </w:tc>
        <w:tc>
          <w:tcPr/>
          <w:p>
            <w:pPr>
              <w:pStyle w:val="Compact"/>
            </w:pPr>
            <w:r>
              <w:t xml:space="preserve">Current balance, available balance</w:t>
            </w:r>
          </w:p>
        </w:tc>
        <w:tc>
          <w:tcPr/>
          <w:p>
            <w:pPr>
              <w:pStyle w:val="Compact"/>
            </w:pPr>
            <w:r>
              <w:t xml:space="preserve">Dashboard display</w:t>
            </w:r>
          </w:p>
        </w:tc>
      </w:tr>
    </w:tbl>
    <w:bookmarkEnd w:id="10"/>
    <w:bookmarkStart w:id="11" w:name="data-we-do-not-collect"/>
    <w:p>
      <w:pPr>
        <w:pStyle w:val="Heading3"/>
      </w:pPr>
      <w:r>
        <w:t xml:space="preserve">Data We Do NOT Collect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credentials</w:t>
            </w:r>
          </w:p>
        </w:tc>
        <w:tc>
          <w:tcPr/>
          <w:p>
            <w:pPr>
              <w:pStyle w:val="Compact"/>
            </w:pPr>
            <w:r>
              <w:t xml:space="preserve">Handled by Tink Link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PINs / Security codes</w:t>
            </w:r>
          </w:p>
        </w:tc>
        <w:tc>
          <w:tcPr/>
          <w:p>
            <w:pPr>
              <w:pStyle w:val="Compact"/>
            </w:pPr>
            <w:r>
              <w:t xml:space="preserve">Never accessed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card CVV</w:t>
            </w:r>
          </w:p>
        </w:tc>
        <w:tc>
          <w:tcPr/>
          <w:p>
            <w:pPr>
              <w:pStyle w:val="Compact"/>
            </w:pPr>
            <w:r>
              <w:t xml:space="preserve">Never accessed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data</w:t>
            </w:r>
          </w:p>
        </w:tc>
        <w:tc>
          <w:tcPr/>
          <w:p>
            <w:pPr>
              <w:pStyle w:val="Compact"/>
            </w:pPr>
            <w:r>
              <w:t xml:space="preserve">Bank handles this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data-processing"/>
    <w:p>
      <w:pPr>
        <w:pStyle w:val="Heading2"/>
      </w:pPr>
      <w:r>
        <w:t xml:space="preserve">Data Processing</w:t>
      </w:r>
    </w:p>
    <w:bookmarkStart w:id="13" w:name="how-we-use-bank-data"/>
    <w:p>
      <w:pPr>
        <w:pStyle w:val="Heading3"/>
      </w:pPr>
      <w:r>
        <w:t xml:space="preserve">How We Use Bank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Legal Basis (GDPR)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in app</w:t>
            </w:r>
          </w:p>
        </w:tc>
        <w:tc>
          <w:tcPr/>
          <w:p>
            <w:pPr>
              <w:pStyle w:val="Compact"/>
            </w:pPr>
            <w:r>
              <w:t xml:space="preserve">Contract (Art. 6(1)(b))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Auto-categorization</w:t>
            </w:r>
          </w:p>
        </w:tc>
        <w:tc>
          <w:tcPr/>
          <w:p>
            <w:pPr>
              <w:pStyle w:val="Compact"/>
            </w:pPr>
            <w:r>
              <w:t xml:space="preserve">Contract (Art. 6(1)(b))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calculations</w:t>
            </w:r>
          </w:p>
        </w:tc>
        <w:tc>
          <w:tcPr/>
          <w:p>
            <w:pPr>
              <w:pStyle w:val="Compact"/>
            </w:pPr>
            <w:r>
              <w:t xml:space="preserve">Contract (Art. 6(1)(b))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generation</w:t>
            </w:r>
          </w:p>
        </w:tc>
        <w:tc>
          <w:tcPr/>
          <w:p>
            <w:pPr>
              <w:pStyle w:val="Compact"/>
            </w:pPr>
            <w:r>
              <w:t xml:space="preserve">Contract (Art. 6(1)(b))</w:t>
            </w:r>
          </w:p>
        </w:tc>
      </w:tr>
    </w:tbl>
    <w:bookmarkEnd w:id="13"/>
    <w:bookmarkStart w:id="14" w:name="processing-flow"/>
    <w:p>
      <w:pPr>
        <w:pStyle w:val="Heading3"/>
      </w:pPr>
      <w:r>
        <w:t xml:space="preserve">Processing Flow</w:t>
      </w:r>
    </w:p>
    <w:p>
      <w:pPr>
        <w:pStyle w:val="SourceCode"/>
      </w:pPr>
      <w:r>
        <w:rPr>
          <w:rStyle w:val="VerbatimChar"/>
        </w:rPr>
        <w:t xml:space="preserve">1. User connects bank → Consent captured (GDPR Art. 6(1)(a))</w:t>
      </w:r>
      <w:r>
        <w:br/>
      </w:r>
      <w:r>
        <w:rPr>
          <w:rStyle w:val="VerbatimChar"/>
        </w:rPr>
        <w:t xml:space="preserve">2. Tink fetches data → Passed to FiredUp via API</w:t>
      </w:r>
      <w:r>
        <w:br/>
      </w:r>
      <w:r>
        <w:rPr>
          <w:rStyle w:val="VerbatimChar"/>
        </w:rPr>
        <w:t xml:space="preserve">3. FiredUp stores raw data → BankTransaction table</w:t>
      </w:r>
      <w:r>
        <w:br/>
      </w:r>
      <w:r>
        <w:rPr>
          <w:rStyle w:val="VerbatimChar"/>
        </w:rPr>
        <w:t xml:space="preserve">4. User reviews transactions → Converts to expenses/incomes</w:t>
      </w:r>
      <w:r>
        <w:br/>
      </w:r>
      <w:r>
        <w:rPr>
          <w:rStyle w:val="VerbatimChar"/>
        </w:rPr>
        <w:t xml:space="preserve">5. Original raw data retained → Until disconnection + 30 days</w:t>
      </w:r>
      <w:r>
        <w:br/>
      </w:r>
      <w:r>
        <w:rPr>
          <w:rStyle w:val="VerbatimChar"/>
        </w:rPr>
        <w:t xml:space="preserve">6. Processed data retained → Until user deletes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ata-retention-periods"/>
    <w:p>
      <w:pPr>
        <w:pStyle w:val="Heading2"/>
      </w:pPr>
      <w:r>
        <w:t xml:space="preserve">Data Retention Periods</w:t>
      </w:r>
    </w:p>
    <w:bookmarkStart w:id="16" w:name="retention-schedule"/>
    <w:p>
      <w:pPr>
        <w:pStyle w:val="Heading3"/>
      </w:pPr>
      <w:r>
        <w:t xml:space="preserve">Retention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274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Trigger for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account data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User request or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financial data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User request or manual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bank data</w:t>
            </w:r>
          </w:p>
        </w:tc>
        <w:tc>
          <w:tcPr/>
          <w:p>
            <w:pPr>
              <w:pStyle w:val="Compact"/>
            </w:pPr>
            <w:r>
              <w:t xml:space="preserve">Until bank disconnection + 30 days</w:t>
            </w:r>
          </w:p>
        </w:tc>
        <w:tc>
          <w:tcPr/>
          <w:p>
            <w:pPr>
              <w:pStyle w:val="Compact"/>
            </w:pPr>
            <w:r>
              <w:t xml:space="preserve">Disconnection or account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Processed transactions</w:t>
            </w:r>
          </w:p>
        </w:tc>
        <w:tc>
          <w:tcPr/>
          <w:p>
            <w:pPr>
              <w:pStyle w:val="Compact"/>
            </w:pPr>
            <w:r>
              <w:t xml:space="preserve">Until manual deletion</w:t>
            </w:r>
          </w:p>
        </w:tc>
        <w:tc>
          <w:tcPr/>
          <w:p>
            <w:pPr>
              <w:pStyle w:val="Compact"/>
            </w:pPr>
            <w:r>
              <w:t xml:space="preserve">User action or account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tokens</w:t>
            </w:r>
          </w:p>
        </w:tc>
        <w:tc>
          <w:tcPr/>
          <w:p>
            <w:pPr>
              <w:pStyle w:val="Compact"/>
            </w:pPr>
            <w:r>
              <w:t xml:space="preserve">~1 hour (auto-expires)</w:t>
            </w:r>
          </w:p>
        </w:tc>
        <w:tc>
          <w:tcPr/>
          <w:p>
            <w:pPr>
              <w:pStyle w:val="Compac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tokens</w:t>
            </w:r>
          </w:p>
        </w:tc>
        <w:tc>
          <w:tcPr/>
          <w:p>
            <w:pPr>
              <w:pStyle w:val="Compact"/>
            </w:pPr>
            <w:r>
              <w:t xml:space="preserve">~90 days or until revocation</w:t>
            </w:r>
          </w:p>
        </w:tc>
        <w:tc>
          <w:tcPr/>
          <w:p>
            <w:pPr>
              <w:pStyle w:val="Compact"/>
            </w:pPr>
            <w:r>
              <w:t xml:space="preserve">Expiration or disconnection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Automatic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data</w:t>
            </w:r>
          </w:p>
        </w:tc>
        <w:tc>
          <w:tcPr/>
          <w:p>
            <w:pPr>
              <w:pStyle w:val="Compact"/>
            </w:pPr>
            <w:r>
              <w:t xml:space="preserve">24 months from last activity</w:t>
            </w:r>
          </w:p>
        </w:tc>
        <w:tc>
          <w:tcPr/>
          <w:p>
            <w:pPr>
              <w:pStyle w:val="Compact"/>
            </w:pPr>
            <w:r>
              <w:t xml:space="preserve">Inactivity</w:t>
            </w:r>
          </w:p>
        </w:tc>
      </w:tr>
    </w:tbl>
    <w:bookmarkEnd w:id="16"/>
    <w:bookmarkStart w:id="17" w:name="retention-rationale"/>
    <w:p>
      <w:pPr>
        <w:pStyle w:val="Heading3"/>
      </w:pPr>
      <w:r>
        <w:t xml:space="preserve">Retention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bank data (30 days after disconnect)</w:t>
            </w:r>
          </w:p>
        </w:tc>
        <w:tc>
          <w:tcPr/>
          <w:p>
            <w:pPr>
              <w:pStyle w:val="Compact"/>
            </w:pPr>
            <w:r>
              <w:t xml:space="preserve">Allow user to reconnect without losing history,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Processed transactions (indefinite)</w:t>
            </w:r>
          </w:p>
        </w:tc>
        <w:tc>
          <w:tcPr/>
          <w:p>
            <w:pPr>
              <w:pStyle w:val="Compact"/>
            </w:pPr>
            <w:r>
              <w:t xml:space="preserve">User’s budget history, intentionally created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logs (12 months)</w:t>
            </w:r>
          </w:p>
        </w:tc>
        <w:tc>
          <w:tcPr/>
          <w:p>
            <w:pPr>
              <w:pStyle w:val="Compact"/>
            </w:pPr>
            <w:r>
              <w:t xml:space="preserve">Security compliance, incident investigation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data-deletion-procedures"/>
    <w:p>
      <w:pPr>
        <w:pStyle w:val="Heading2"/>
      </w:pPr>
      <w:r>
        <w:t xml:space="preserve">Data Deletion Procedures</w:t>
      </w:r>
    </w:p>
    <w:bookmarkStart w:id="23" w:name="user-initiated-deletion"/>
    <w:p>
      <w:pPr>
        <w:pStyle w:val="Heading3"/>
      </w:pPr>
      <w:r>
        <w:t xml:space="preserve">User-Initiated Deletion</w:t>
      </w:r>
    </w:p>
    <w:bookmarkStart w:id="19" w:name="option-1-disconnect-single-bank-in-app"/>
    <w:p>
      <w:pPr>
        <w:pStyle w:val="Heading4"/>
      </w:pPr>
      <w:r>
        <w:t xml:space="preserve">Option 1: Disconnect Single Bank (In-App)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Settings → Bank Connections → Disconnect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Connection status set to inactive</w:t>
      </w:r>
      <w:r>
        <w:t xml:space="preserve"> </w:t>
      </w:r>
      <w:r>
        <w:t xml:space="preserve">- No new data fetched</w:t>
      </w:r>
      <w:r>
        <w:t xml:space="preserve"> </w:t>
      </w:r>
      <w:r>
        <w:t xml:space="preserve">- Raw bank data queued for deletion (30 days)</w:t>
      </w:r>
      <w:r>
        <w:t xml:space="preserve"> </w:t>
      </w:r>
      <w:r>
        <w:t xml:space="preserve">- Processed expenses/incomes</w:t>
      </w:r>
      <w:r>
        <w:t xml:space="preserve"> </w:t>
      </w:r>
      <w:r>
        <w:rPr>
          <w:b/>
          <w:bCs/>
        </w:rPr>
        <w:t xml:space="preserve">remain</w:t>
      </w:r>
    </w:p>
    <w:bookmarkEnd w:id="19"/>
    <w:bookmarkStart w:id="20" w:name="option-2-tink-consumer-revocation"/>
    <w:p>
      <w:pPr>
        <w:pStyle w:val="Heading4"/>
      </w:pPr>
      <w:r>
        <w:t xml:space="preserve">Option 2: Tink Consumer Revocation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https://tink.com/consumer/revocation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Tink revokes consent</w:t>
      </w:r>
      <w:r>
        <w:t xml:space="preserve"> </w:t>
      </w:r>
      <w:r>
        <w:t xml:space="preserve">- FiredUp receives webhook (if configured)</w:t>
      </w:r>
      <w:r>
        <w:t xml:space="preserve"> </w:t>
      </w:r>
      <w:r>
        <w:t xml:space="preserve">- Connection marked as inactive</w:t>
      </w:r>
      <w:r>
        <w:t xml:space="preserve"> </w:t>
      </w:r>
      <w:r>
        <w:t xml:space="preserve">- Same deletion process as Option 1</w:t>
      </w:r>
    </w:p>
    <w:bookmarkEnd w:id="20"/>
    <w:bookmarkStart w:id="21" w:name="option-3-full-account-deletion"/>
    <w:p>
      <w:pPr>
        <w:pStyle w:val="Heading4"/>
      </w:pPr>
      <w:r>
        <w:t xml:space="preserve">Option 3: Full Account Deletion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Settings → Delete Account (or email request)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User account deleted</w:t>
      </w:r>
      <w:r>
        <w:t xml:space="preserve"> </w:t>
      </w:r>
      <w:r>
        <w:t xml:space="preserve">- All connections deleted</w:t>
      </w:r>
      <w:r>
        <w:t xml:space="preserve"> </w:t>
      </w:r>
      <w:r>
        <w:t xml:space="preserve">- All raw bank data deleted</w:t>
      </w:r>
      <w:r>
        <w:t xml:space="preserve"> </w:t>
      </w:r>
      <w:r>
        <w:t xml:space="preserve">- All processed transactions deleted</w:t>
      </w:r>
      <w:r>
        <w:t xml:space="preserve"> </w:t>
      </w:r>
      <w:r>
        <w:t xml:space="preserve">- Analytics data anonymized</w:t>
      </w:r>
      <w:r>
        <w:t xml:space="preserve"> </w:t>
      </w:r>
      <w:r>
        <w:t xml:space="preserve">- Audit logs retained (12 months, anonymized user_id)</w:t>
      </w:r>
    </w:p>
    <w:bookmarkEnd w:id="21"/>
    <w:bookmarkStart w:id="22" w:name="option-4-gdpr-erasure-request-art.-17"/>
    <w:p>
      <w:pPr>
        <w:pStyle w:val="Heading4"/>
      </w:pPr>
      <w:r>
        <w:t xml:space="preserve">Option 4: GDPR Erasure Request (Art. 17)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privacy@firedup.app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All data deleted within 30 days</w:t>
      </w:r>
      <w:r>
        <w:t xml:space="preserve"> </w:t>
      </w:r>
      <w:r>
        <w:t xml:space="preserve">- Confirmation sent to user</w:t>
      </w:r>
      <w:r>
        <w:t xml:space="preserve"> </w:t>
      </w:r>
      <w:r>
        <w:t xml:space="preserve">- Audit log entry created (anonymized)</w:t>
      </w:r>
    </w:p>
    <w:bookmarkEnd w:id="22"/>
    <w:bookmarkEnd w:id="23"/>
    <w:bookmarkStart w:id="24" w:name="deletion-timeline"/>
    <w:p>
      <w:pPr>
        <w:pStyle w:val="Heading3"/>
      </w:pPr>
      <w:r>
        <w:t xml:space="preserve">Deletion Timeline</w:t>
      </w:r>
    </w:p>
    <w:p>
      <w:pPr>
        <w:pStyle w:val="SourceCode"/>
      </w:pPr>
      <w:r>
        <w:rPr>
          <w:rStyle w:val="VerbatimChar"/>
        </w:rPr>
        <w:t xml:space="preserve">Day 0:  Request received / action taken</w:t>
      </w:r>
      <w:r>
        <w:br/>
      </w:r>
      <w:r>
        <w:rPr>
          <w:rStyle w:val="VerbatimChar"/>
        </w:rPr>
        <w:t xml:space="preserve">Day 1:  User data marked for deletion</w:t>
      </w:r>
      <w:r>
        <w:br/>
      </w:r>
      <w:r>
        <w:rPr>
          <w:rStyle w:val="VerbatimChar"/>
        </w:rPr>
        <w:t xml:space="preserve">Day 7:  Access tokens invalidated (if not already)</w:t>
      </w:r>
      <w:r>
        <w:br/>
      </w:r>
      <w:r>
        <w:rPr>
          <w:rStyle w:val="VerbatimChar"/>
        </w:rPr>
        <w:t xml:space="preserve">Day 30: Raw bank data permanently deleted</w:t>
      </w:r>
      <w:r>
        <w:br/>
      </w:r>
      <w:r>
        <w:rPr>
          <w:rStyle w:val="VerbatimChar"/>
        </w:rPr>
        <w:t xml:space="preserve">Day 30: Confirmation sent to user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data-subject-rights-gdpr"/>
    <w:p>
      <w:pPr>
        <w:pStyle w:val="Heading2"/>
      </w:pPr>
      <w:r>
        <w:t xml:space="preserve">Data Subject Rights (GDPR)</w:t>
      </w:r>
    </w:p>
    <w:bookmarkStart w:id="26" w:name="right-of-access-art.-15"/>
    <w:p>
      <w:pPr>
        <w:pStyle w:val="Heading3"/>
      </w:pPr>
      <w:r>
        <w:t xml:space="preserve">Right of Access (Art. 15)</w:t>
      </w:r>
    </w:p>
    <w:p>
      <w:pPr>
        <w:pStyle w:val="FirstParagraph"/>
      </w:pPr>
      <w:r>
        <w:rPr>
          <w:b/>
          <w:bCs/>
        </w:rPr>
        <w:t xml:space="preserve">Request method:</w:t>
      </w:r>
      <w:r>
        <w:t xml:space="preserve"> </w:t>
      </w:r>
      <w:r>
        <w:t xml:space="preserve">Email to privacy@firedup.app</w:t>
      </w:r>
      <w:r>
        <w:t xml:space="preserve"> </w:t>
      </w:r>
      <w:r>
        <w:rPr>
          <w:b/>
          <w:bCs/>
        </w:rPr>
        <w:t xml:space="preserve">Response time:</w:t>
      </w:r>
      <w:r>
        <w:t xml:space="preserve"> </w:t>
      </w:r>
      <w:r>
        <w:t xml:space="preserve">30 days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JSON or PDF export</w:t>
      </w:r>
    </w:p>
    <w:p>
      <w:pPr>
        <w:pStyle w:val="BodyText"/>
      </w:pPr>
      <w:r>
        <w:rPr>
          <w:b/>
          <w:bCs/>
        </w:rPr>
        <w:t xml:space="preserve">Data provided:</w:t>
      </w:r>
      <w:r>
        <w:t xml:space="preserve"> </w:t>
      </w:r>
      <w:r>
        <w:t xml:space="preserve">- User profile information</w:t>
      </w:r>
      <w:r>
        <w:t xml:space="preserve"> </w:t>
      </w:r>
      <w:r>
        <w:t xml:space="preserve">- All financial data (manual + imported)</w:t>
      </w:r>
      <w:r>
        <w:t xml:space="preserve"> </w:t>
      </w:r>
      <w:r>
        <w:t xml:space="preserve">- Bank connection status</w:t>
      </w:r>
      <w:r>
        <w:t xml:space="preserve"> </w:t>
      </w:r>
      <w:r>
        <w:t xml:space="preserve">- Processing activities log</w:t>
      </w:r>
    </w:p>
    <w:bookmarkEnd w:id="26"/>
    <w:bookmarkStart w:id="27" w:name="right-to-rectification-art.-16"/>
    <w:p>
      <w:pPr>
        <w:pStyle w:val="Heading3"/>
      </w:pPr>
      <w:r>
        <w:t xml:space="preserve">Right to Rectification (Art. 16)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In-app editing or email request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User-entered data only (not bank source data)</w:t>
      </w:r>
    </w:p>
    <w:bookmarkEnd w:id="27"/>
    <w:bookmarkStart w:id="28" w:name="right-to-erasure-art.-17"/>
    <w:p>
      <w:pPr>
        <w:pStyle w:val="Heading3"/>
      </w:pPr>
      <w:r>
        <w:t xml:space="preserve">Right to Erasure (Art. 17)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In-app or email request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user data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30 days</w:t>
      </w:r>
    </w:p>
    <w:bookmarkEnd w:id="28"/>
    <w:bookmarkStart w:id="29" w:name="right-to-data-portability-art.-20"/>
    <w:p>
      <w:pPr>
        <w:pStyle w:val="Heading3"/>
      </w:pPr>
      <w:r>
        <w:t xml:space="preserve">Right to Data Portability (Art. 20)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Settings → Export Data (or email request)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CSV or JSON</w:t>
      </w:r>
      <w:r>
        <w:t xml:space="preserve"> </w:t>
      </w:r>
      <w:r>
        <w:rPr>
          <w:b/>
          <w:bCs/>
        </w:rPr>
        <w:t xml:space="preserve">Included:</w:t>
      </w:r>
      <w:r>
        <w:t xml:space="preserve"> </w:t>
      </w:r>
      <w:r>
        <w:t xml:space="preserve">All transactions, accounts, categories</w:t>
      </w:r>
    </w:p>
    <w:bookmarkEnd w:id="29"/>
    <w:bookmarkStart w:id="30" w:name="right-to-restriction-art.-18"/>
    <w:p>
      <w:pPr>
        <w:pStyle w:val="Heading3"/>
      </w:pPr>
      <w:r>
        <w:t xml:space="preserve">Right to Restriction (Art. 18)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Email request</w:t>
      </w:r>
      <w:r>
        <w:t xml:space="preserve"> </w:t>
      </w:r>
      <w:r>
        <w:rPr>
          <w:b/>
          <w:bCs/>
        </w:rPr>
        <w:t xml:space="preserve">Effect:</w:t>
      </w:r>
      <w:r>
        <w:t xml:space="preserve"> </w:t>
      </w:r>
      <w:r>
        <w:t xml:space="preserve">Data retained but not processed</w:t>
      </w:r>
    </w:p>
    <w:bookmarkEnd w:id="30"/>
    <w:bookmarkStart w:id="31" w:name="right-to-object-art.-21"/>
    <w:p>
      <w:pPr>
        <w:pStyle w:val="Heading3"/>
      </w:pPr>
      <w:r>
        <w:t xml:space="preserve">Right to Object (Art. 21)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Email request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Marketing (if any), analytics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Cannot object to core service processing</w:t>
      </w:r>
    </w:p>
    <w:bookmarkEnd w:id="31"/>
    <w:bookmarkStart w:id="32" w:name="right-to-withdraw-consent-art.-7"/>
    <w:p>
      <w:pPr>
        <w:pStyle w:val="Heading3"/>
      </w:pPr>
      <w:r>
        <w:t xml:space="preserve">Right to Withdraw Consent (Art. 7)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Disconnect bank in-app or Tink revocation portal</w:t>
      </w:r>
      <w:r>
        <w:t xml:space="preserve"> </w:t>
      </w:r>
      <w:r>
        <w:rPr>
          <w:b/>
          <w:bCs/>
        </w:rPr>
        <w:t xml:space="preserve">Effect:</w:t>
      </w:r>
      <w:r>
        <w:t xml:space="preserve"> </w:t>
      </w:r>
      <w:r>
        <w:t xml:space="preserve">No further data collection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Previously collected data retained per schedule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hird-party-data-sharing"/>
    <w:p>
      <w:pPr>
        <w:pStyle w:val="Heading2"/>
      </w:pPr>
      <w:r>
        <w:t xml:space="preserve">Third-Party Data Sharing</w:t>
      </w:r>
    </w:p>
    <w:bookmarkStart w:id="34" w:name="data-processors"/>
    <w:p>
      <w:pPr>
        <w:pStyle w:val="Heading3"/>
      </w:pPr>
      <w:r>
        <w:t xml:space="preserve">Data Processors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 AB</w:t>
            </w:r>
          </w:p>
        </w:tc>
        <w:tc>
          <w:tcPr/>
          <w:p>
            <w:pPr>
              <w:pStyle w:val="Compact"/>
            </w:pPr>
            <w:r>
              <w:t xml:space="preserve">Bank data aggregation</w:t>
            </w:r>
          </w:p>
        </w:tc>
        <w:tc>
          <w:tcPr/>
          <w:p>
            <w:pPr>
              <w:pStyle w:val="Compact"/>
            </w:pPr>
            <w:r>
              <w:t xml:space="preserve">Sweden (EU)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Inc.</w:t>
            </w:r>
          </w:p>
        </w:tc>
        <w:tc>
          <w:tcPr/>
          <w:p>
            <w:pPr>
              <w:pStyle w:val="Compac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USA (EU-US DPF)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PostHog Inc.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</w:pPr>
            <w:r>
              <w:t xml:space="preserve">USA/EU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LLC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USA (EU-US DPF)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4"/>
    <w:bookmarkStart w:id="35" w:name="data-transfer-safeguards"/>
    <w:p>
      <w:pPr>
        <w:pStyle w:val="Heading3"/>
      </w:pPr>
      <w:r>
        <w:t xml:space="preserve">Data Transfer Safeguards</w:t>
      </w:r>
    </w:p>
    <w:p>
      <w:pPr>
        <w:pStyle w:val="FirstParagraph"/>
      </w:pPr>
      <w:r>
        <w:t xml:space="preserve">For transfers outside EU/EEA:</w:t>
      </w:r>
      <w:r>
        <w:t xml:space="preserve"> </w:t>
      </w:r>
      <w:r>
        <w:t xml:space="preserve">- EU-US Data Privacy Framework (certified recipients)</w:t>
      </w:r>
      <w:r>
        <w:t xml:space="preserve"> </w:t>
      </w:r>
      <w:r>
        <w:t xml:space="preserve">- Standard Contractual Clauses (SCCs)</w:t>
      </w:r>
      <w:r>
        <w:t xml:space="preserve"> </w:t>
      </w:r>
      <w:r>
        <w:t xml:space="preserve">- Data minimization (only necessary data transferred)</w:t>
      </w:r>
    </w:p>
    <w:bookmarkEnd w:id="35"/>
    <w:bookmarkStart w:id="36" w:name="no-data-selling"/>
    <w:p>
      <w:pPr>
        <w:pStyle w:val="Heading3"/>
      </w:pPr>
      <w:r>
        <w:t xml:space="preserve">No Data Selling</w:t>
      </w:r>
    </w:p>
    <w:p>
      <w:pPr>
        <w:pStyle w:val="FirstParagraph"/>
      </w:pPr>
      <w:r>
        <w:t xml:space="preserve">FiredUp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sell user data to third parties. Data is only shared with processors necessary to provide the service.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nsent-management"/>
    <w:p>
      <w:pPr>
        <w:pStyle w:val="Heading2"/>
      </w:pPr>
      <w:r>
        <w:t xml:space="preserve">Consent Management</w:t>
      </w:r>
    </w:p>
    <w:bookmarkStart w:id="38" w:name="initial-consent-account-creation"/>
    <w:p>
      <w:pPr>
        <w:pStyle w:val="Heading3"/>
      </w:pPr>
      <w:r>
        <w:t xml:space="preserve">Initial Consent (Account Creation)</w:t>
      </w:r>
    </w:p>
    <w:p>
      <w:pPr>
        <w:pStyle w:val="FirstParagraph"/>
      </w:pPr>
      <w:r>
        <w:t xml:space="preserve">When user creates account:</w:t>
      </w:r>
      <w:r>
        <w:t xml:space="preserve"> </w:t>
      </w:r>
      <w:r>
        <w:t xml:space="preserve">- Accept Terms of Service</w:t>
      </w:r>
      <w:r>
        <w:t xml:space="preserve"> </w:t>
      </w:r>
      <w:r>
        <w:t xml:space="preserve">- Accept Privacy Policy</w:t>
      </w:r>
      <w:r>
        <w:t xml:space="preserve"> </w:t>
      </w:r>
      <w:r>
        <w:t xml:space="preserve">- Consent to necessary data processing</w:t>
      </w:r>
    </w:p>
    <w:bookmarkEnd w:id="38"/>
    <w:bookmarkStart w:id="39" w:name="bank-connection-consent"/>
    <w:p>
      <w:pPr>
        <w:pStyle w:val="Heading3"/>
      </w:pPr>
      <w:r>
        <w:t xml:space="preserve">Bank Connection Consent</w:t>
      </w:r>
    </w:p>
    <w:p>
      <w:pPr>
        <w:pStyle w:val="FirstParagraph"/>
      </w:pPr>
      <w:r>
        <w:t xml:space="preserve">When user connects bank: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In-App Notice:</w:t>
      </w:r>
      <w:r>
        <w:t xml:space="preserve"> </w:t>
      </w:r>
      <w:r>
        <w:t xml:space="preserve">Explains what data will be accessed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Tink Link:</w:t>
      </w:r>
      <w:r>
        <w:t xml:space="preserve"> </w:t>
      </w:r>
      <w:r>
        <w:t xml:space="preserve">User authenticates with bank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Bank Consent Screen:</w:t>
      </w:r>
      <w:r>
        <w:t xml:space="preserve"> </w:t>
      </w:r>
      <w:r>
        <w:t xml:space="preserve">User grants consent to bank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Recorded:</w:t>
      </w:r>
      <w:r>
        <w:t xml:space="preserve"> </w:t>
      </w:r>
      <w:r>
        <w:t xml:space="preserve">Timestamp and consent scope stored</w:t>
      </w:r>
    </w:p>
    <w:bookmarkEnd w:id="39"/>
    <w:bookmarkStart w:id="40" w:name="consent-records"/>
    <w:p>
      <w:pPr>
        <w:pStyle w:val="Heading3"/>
      </w:pPr>
      <w:r>
        <w:t xml:space="preserve">Consent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consent_type</w:t>
            </w:r>
          </w:p>
        </w:tc>
        <w:tc>
          <w:tcPr/>
          <w:p>
            <w:pPr>
              <w:pStyle w:val="Compact"/>
            </w:pPr>
            <w:r>
              <w:t xml:space="preserve">Yes (account, banking)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Yes (data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Yes (policy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Yes (for fraud prevention)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privacy-policy-reference"/>
    <w:p>
      <w:pPr>
        <w:pStyle w:val="Heading2"/>
      </w:pPr>
      <w:r>
        <w:t xml:space="preserve">Privacy Policy Reference</w:t>
      </w:r>
    </w:p>
    <w:p>
      <w:pPr>
        <w:pStyle w:val="FirstParagraph"/>
      </w:pPr>
      <w:r>
        <w:t xml:space="preserve">Our public Privacy Policy covers:</w:t>
      </w:r>
      <w:r>
        <w:t xml:space="preserve"> </w:t>
      </w:r>
      <w:r>
        <w:t xml:space="preserve">- Administrator identification (Section 1)</w:t>
      </w:r>
      <w:r>
        <w:t xml:space="preserve"> </w:t>
      </w:r>
      <w:r>
        <w:t xml:space="preserve">- Data collected (Section 2)</w:t>
      </w:r>
      <w:r>
        <w:t xml:space="preserve"> </w:t>
      </w:r>
      <w:r>
        <w:t xml:space="preserve">- Processing purposes (Section 3)</w:t>
      </w:r>
      <w:r>
        <w:t xml:space="preserve"> </w:t>
      </w:r>
      <w:r>
        <w:t xml:space="preserve">- Legal basis (Section 4)</w:t>
      </w:r>
      <w:r>
        <w:t xml:space="preserve"> </w:t>
      </w:r>
      <w:r>
        <w:t xml:space="preserve">- Tink integration details (Section 5)</w:t>
      </w:r>
      <w:r>
        <w:t xml:space="preserve"> </w:t>
      </w:r>
      <w:r>
        <w:t xml:space="preserve">- Data sharing (Section 6)</w:t>
      </w:r>
      <w:r>
        <w:t xml:space="preserve"> </w:t>
      </w:r>
      <w:r>
        <w:t xml:space="preserve">- Retention periods (Section 7)</w:t>
      </w:r>
      <w:r>
        <w:t xml:space="preserve"> </w:t>
      </w:r>
      <w:r>
        <w:t xml:space="preserve">- User rights (Section 8)</w:t>
      </w:r>
      <w:r>
        <w:t xml:space="preserve"> </w:t>
      </w:r>
      <w:r>
        <w:t xml:space="preserve">- Consent withdrawal (Section 9)</w:t>
      </w:r>
      <w:r>
        <w:t xml:space="preserve"> </w:t>
      </w:r>
      <w:r>
        <w:t xml:space="preserve">- Security measures (Section 10)</w:t>
      </w:r>
      <w:r>
        <w:t xml:space="preserve"> </w:t>
      </w:r>
      <w:r>
        <w:t xml:space="preserve">- Cookies (Section 11)</w:t>
      </w:r>
      <w:r>
        <w:t xml:space="preserve"> </w:t>
      </w:r>
      <w:r>
        <w:t xml:space="preserve">- Policy changes (Section 12)</w:t>
      </w:r>
      <w:r>
        <w:t xml:space="preserve"> </w:t>
      </w:r>
      <w:r>
        <w:t xml:space="preserve">- Complaints to PUODO (Section 13)</w:t>
      </w:r>
      <w:r>
        <w:t xml:space="preserve"> </w:t>
      </w:r>
      <w:r>
        <w:t xml:space="preserve">- Contact information (Section 14)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https://firedup.app/privacy</w:t>
      </w:r>
    </w:p>
    <w:p>
      <w:r>
        <w:pict>
          <v:rect style="width:0;height:1.5pt" o:hralign="center" o:hrstd="t" o:hr="t"/>
        </w:pict>
      </w:r>
    </w:p>
    <w:bookmarkEnd w:id="42"/>
    <w:bookmarkStart w:id="43" w:name="compliance-checklist"/>
    <w:p>
      <w:pPr>
        <w:pStyle w:val="Heading2"/>
      </w:pPr>
      <w:r>
        <w:t xml:space="preserve">Compliance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 published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https://firedup.app/privacy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Service published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https://firedup.app/terms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 defined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DATA_RETENTION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procedures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 available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Settings →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recorded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TinkConnection.created_at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DPAs with processors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PUODO notification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Processing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Only necessary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limitation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Budgeting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tact-for-data-requests"/>
    <w:p>
      <w:pPr>
        <w:pStyle w:val="Heading2"/>
      </w:pPr>
      <w:r>
        <w:t xml:space="preserve">Contact for Data Requests</w:t>
      </w:r>
    </w:p>
    <w:p>
      <w:pPr>
        <w:pStyle w:val="FirstParagraph"/>
      </w:pPr>
      <w:r>
        <w:rPr>
          <w:b/>
          <w:bCs/>
        </w:rPr>
        <w:t xml:space="preserve">Data Protection Contact:</w:t>
      </w:r>
      <w:r>
        <w:t xml:space="preserve"> </w:t>
      </w:r>
      <w:r>
        <w:t xml:space="preserve">- Email: privacy@firedup.app</w:t>
      </w:r>
      <w:r>
        <w:t xml:space="preserve"> </w:t>
      </w:r>
      <w:r>
        <w:t xml:space="preserve">- Response time: 30 days (as per GDPR)</w:t>
      </w:r>
    </w:p>
    <w:p>
      <w:pPr>
        <w:pStyle w:val="BodyText"/>
      </w:pPr>
      <w:r>
        <w:rPr>
          <w:b/>
          <w:bCs/>
        </w:rPr>
        <w:t xml:space="preserve">Supervisory Authority:</w:t>
      </w:r>
      <w:r>
        <w:t xml:space="preserve"> </w:t>
      </w:r>
      <w:r>
        <w:t xml:space="preserve">- Prezes Urzędu Ochrony Danych Osobowych (PUODO)</w:t>
      </w:r>
      <w:r>
        <w:t xml:space="preserve"> </w:t>
      </w:r>
      <w:r>
        <w:t xml:space="preserve">- ul. Stawki 2, 00-193 Warszawa</w:t>
      </w:r>
      <w:r>
        <w:t xml:space="preserve"> </w:t>
      </w:r>
      <w:r>
        <w:t xml:space="preserve">- https://uodo.gov.pl</w:t>
      </w:r>
    </w:p>
    <w:p>
      <w:r>
        <w:pict>
          <v:rect style="width:0;height:1.5pt" o:hralign="center" o:hrstd="t" o:hr="t"/>
        </w:pict>
      </w:r>
    </w:p>
    <w:bookmarkEnd w:id="44"/>
    <w:bookmarkStart w:id="45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