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7B1" w:rsidRPr="00C877B1" w:rsidRDefault="00C877B1" w:rsidP="00C877B1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 xml:space="preserve">Operationalizing Responsible AI Governance </w:t>
      </w:r>
      <w:proofErr w:type="gramStart"/>
      <w:r w:rsidRPr="00C877B1">
        <w:rPr>
          <w:rFonts w:ascii="Times New Roman" w:hAnsi="Times New Roman" w:cs="Times New Roman"/>
          <w:color w:val="000000" w:themeColor="text1"/>
        </w:rPr>
        <w:t>Through</w:t>
      </w:r>
      <w:proofErr w:type="gramEnd"/>
      <w:r w:rsidRPr="00C877B1">
        <w:rPr>
          <w:rFonts w:ascii="Times New Roman" w:hAnsi="Times New Roman" w:cs="Times New Roman"/>
          <w:color w:val="000000" w:themeColor="text1"/>
        </w:rPr>
        <w:t xml:space="preserve"> a Modular Java Framework for Decision-Level Guardrails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Authors:</w:t>
      </w:r>
      <w:r w:rsidRPr="00C877B1">
        <w:rPr>
          <w:color w:val="000000" w:themeColor="text1"/>
        </w:rPr>
        <w:t xml:space="preserve"> [Student Name 1], [Student Name 2], [Student Name 3</w:t>
      </w:r>
      <w:proofErr w:type="gramStart"/>
      <w:r w:rsidRPr="00C877B1">
        <w:rPr>
          <w:color w:val="000000" w:themeColor="text1"/>
        </w:rPr>
        <w:t>]</w:t>
      </w:r>
      <w:proofErr w:type="gramEnd"/>
      <w:r w:rsidRPr="00C877B1">
        <w:rPr>
          <w:color w:val="000000" w:themeColor="text1"/>
        </w:rPr>
        <w:br/>
      </w:r>
      <w:r w:rsidRPr="00C877B1">
        <w:rPr>
          <w:rStyle w:val="Strong"/>
          <w:color w:val="000000" w:themeColor="text1"/>
        </w:rPr>
        <w:t>Institution:</w:t>
      </w:r>
      <w:r w:rsidRPr="00C877B1">
        <w:rPr>
          <w:color w:val="000000" w:themeColor="text1"/>
        </w:rPr>
        <w:t xml:space="preserve"> [Your University Name, Department of Computer Science]</w:t>
      </w:r>
      <w:r w:rsidRPr="00C877B1">
        <w:rPr>
          <w:color w:val="000000" w:themeColor="text1"/>
        </w:rPr>
        <w:br/>
      </w:r>
      <w:r w:rsidRPr="00C877B1">
        <w:rPr>
          <w:rStyle w:val="Strong"/>
          <w:color w:val="000000" w:themeColor="text1"/>
        </w:rPr>
        <w:t>Contact:</w:t>
      </w:r>
      <w:r w:rsidRPr="00C877B1">
        <w:rPr>
          <w:color w:val="000000" w:themeColor="text1"/>
        </w:rPr>
        <w:t xml:space="preserve"> [email@university.edu]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Abstract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Despite extensive theoretical development in Responsible AI (RAI) governance, a persistent gap remains between high-level ethical principles and their operational implementation. This paper presents RAIG-Java, a modular framework that embeds RAI principles directly into AI decision pipelines through executable software guardrails. The framework operationalizes seven core governance dimensions---accountability, fairness, transparency, privacy, robustness, human oversight, and societal well-being---</w:t>
      </w:r>
      <w:r w:rsidRPr="00C877B1">
        <w:rPr>
          <w:color w:val="000000" w:themeColor="text1"/>
        </w:rPr>
        <w:t>as runtime constraints. RAIG-Java intercepts AI decisions, evaluates them against configurable policies, and either approves, blocks, or escalates outcomes for human review. We validate the framework using loan-approval scenarios, demonstrating that governance principles can be transformed into executable components enabling real-time compliance. The framework achieves 95% violation detection accuracy with only 15ms average latency overhead.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Keywords:</w:t>
      </w:r>
      <w:r w:rsidRPr="00C877B1">
        <w:rPr>
          <w:color w:val="000000" w:themeColor="text1"/>
        </w:rPr>
        <w:t xml:space="preserve"> Responsible AI, AI Governance, Runtime Enforcement, Fairness, Transparency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I. Introduction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Artificial intelligence systems increasingly make high-stakes decisions in domains like credit scoring, hiring, and healthcare [1]. While offering efficiency and scalability, these systems introduce significant risks related to fairness, accountability, and privacy [2, 3]. In response, numerous Responsible AI (RAI) frameworks have emerged [4, 5, 6], but most remain conceptual, providing high-level guidance without concrete enforcement mechanisms [7].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lastRenderedPageBreak/>
        <w:t>In practice, AI pipelines optimize for performance metrics like accuracy and throughput. Ethical compliance is typically addressed through retrospective audits or documentation [8, 9]. This separation between model execution and governance creates a critical gap: violations are often detected only after decisions cause harm [10]. For automated, high-frequency environments, post-hoc governance is insufficient.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We argue that RAI principles must be embedded directly into AI operational pipelines. This paper introduces </w:t>
      </w:r>
      <w:r w:rsidRPr="00C877B1">
        <w:rPr>
          <w:rStyle w:val="Strong"/>
          <w:color w:val="000000" w:themeColor="text1"/>
        </w:rPr>
        <w:t>RAIG-Java</w:t>
      </w:r>
      <w:r w:rsidRPr="00C877B1">
        <w:rPr>
          <w:color w:val="000000" w:themeColor="text1"/>
        </w:rPr>
        <w:t>, a modular governance framework that transforms abstract RAI principles into enforceable software guardrails operating at runtime.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Key Contributions</w:t>
      </w:r>
    </w:p>
    <w:p w:rsidR="00C877B1" w:rsidRPr="00C877B1" w:rsidRDefault="00C877B1" w:rsidP="00C877B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Runtime governance architecture</w:t>
      </w:r>
      <w:r w:rsidRPr="00C877B1">
        <w:rPr>
          <w:rFonts w:ascii="Times New Roman" w:hAnsi="Times New Roman" w:cs="Times New Roman"/>
          <w:color w:val="000000" w:themeColor="text1"/>
        </w:rPr>
        <w:t xml:space="preserve"> that intercepts and evaluates AI decisions before deployment</w:t>
      </w:r>
    </w:p>
    <w:p w:rsidR="00C877B1" w:rsidRPr="00C877B1" w:rsidRDefault="00C877B1" w:rsidP="00C877B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Seven operational RAI modules</w:t>
      </w:r>
      <w:r w:rsidRPr="00C877B1">
        <w:rPr>
          <w:rFonts w:ascii="Times New Roman" w:hAnsi="Times New Roman" w:cs="Times New Roman"/>
          <w:color w:val="000000" w:themeColor="text1"/>
        </w:rPr>
        <w:t xml:space="preserve"> implementing fairness, privacy, transparency, robustness, accountability, human oversight, and societal impact</w:t>
      </w:r>
    </w:p>
    <w:p w:rsidR="00C877B1" w:rsidRPr="00C877B1" w:rsidRDefault="00C877B1" w:rsidP="00C877B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Java 17 implementation</w:t>
      </w:r>
      <w:r w:rsidRPr="00C877B1">
        <w:rPr>
          <w:rFonts w:ascii="Times New Roman" w:hAnsi="Times New Roman" w:cs="Times New Roman"/>
          <w:color w:val="000000" w:themeColor="text1"/>
        </w:rPr>
        <w:t xml:space="preserve"> with pluggable, configurable policy modules</w:t>
      </w:r>
    </w:p>
    <w:p w:rsidR="00C877B1" w:rsidRPr="00C877B1" w:rsidRDefault="00C877B1" w:rsidP="00C877B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Empirical validation</w:t>
      </w:r>
      <w:r w:rsidRPr="00C877B1">
        <w:rPr>
          <w:rFonts w:ascii="Times New Roman" w:hAnsi="Times New Roman" w:cs="Times New Roman"/>
          <w:color w:val="000000" w:themeColor="text1"/>
        </w:rPr>
        <w:t xml:space="preserve"> using 12 loan-approval scenarios showing 95% detection accuracy</w:t>
      </w:r>
    </w:p>
    <w:p w:rsidR="00C877B1" w:rsidRPr="00C877B1" w:rsidRDefault="00C877B1" w:rsidP="00C877B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Practical deployment blueprint</w:t>
      </w:r>
      <w:r w:rsidRPr="00C877B1">
        <w:rPr>
          <w:rFonts w:ascii="Times New Roman" w:hAnsi="Times New Roman" w:cs="Times New Roman"/>
          <w:color w:val="000000" w:themeColor="text1"/>
        </w:rPr>
        <w:t xml:space="preserve"> for production AI systems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II. Background and Related Work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A. Responsible AI Frameworks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Multiple organizations have proposed RAI principles. The European Commission's Ethics Guidelines emphasize lawful, ethical, and robust AI [5]. IEEE's Ethically Aligned Design highlights transparency and accountability [11]. The NIST AI Risk Management Framework provides structured risk identification [12]. </w:t>
      </w:r>
      <w:proofErr w:type="spellStart"/>
      <w:r w:rsidRPr="00C877B1">
        <w:rPr>
          <w:color w:val="000000" w:themeColor="text1"/>
        </w:rPr>
        <w:t>Papagiannidis</w:t>
      </w:r>
      <w:proofErr w:type="spellEnd"/>
      <w:r w:rsidRPr="00C877B1">
        <w:rPr>
          <w:color w:val="000000" w:themeColor="text1"/>
        </w:rPr>
        <w:t xml:space="preserve"> et al. [4] propose a seven-dimensional framework for organizational RAI governance.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However, these frameworks predominantly remain conceptual. </w:t>
      </w:r>
      <w:proofErr w:type="spellStart"/>
      <w:r w:rsidRPr="00C877B1">
        <w:rPr>
          <w:color w:val="000000" w:themeColor="text1"/>
        </w:rPr>
        <w:t>Jobin</w:t>
      </w:r>
      <w:proofErr w:type="spellEnd"/>
      <w:r w:rsidRPr="00C877B1">
        <w:rPr>
          <w:color w:val="000000" w:themeColor="text1"/>
        </w:rPr>
        <w:t xml:space="preserve"> et al. [6] found strong convergence on core values but significant divergence in operational guidance.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lastRenderedPageBreak/>
        <w:t>B. Technical RAI Tools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Fairness Tools:</w:t>
      </w:r>
      <w:r w:rsidRPr="00C877B1">
        <w:rPr>
          <w:color w:val="000000" w:themeColor="text1"/>
        </w:rPr>
        <w:t xml:space="preserve"> IBM's AI Fairness 360 [13] and Microsoft's </w:t>
      </w:r>
      <w:proofErr w:type="spellStart"/>
      <w:r w:rsidRPr="00C877B1">
        <w:rPr>
          <w:color w:val="000000" w:themeColor="text1"/>
        </w:rPr>
        <w:t>Fairlearn</w:t>
      </w:r>
      <w:proofErr w:type="spellEnd"/>
      <w:r w:rsidRPr="00C877B1">
        <w:rPr>
          <w:color w:val="000000" w:themeColor="text1"/>
        </w:rPr>
        <w:t xml:space="preserve"> [14] provide bias detection metrics. However, they operate during training or offline analysis, not at runtime [15].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spellStart"/>
      <w:r w:rsidRPr="00C877B1">
        <w:rPr>
          <w:rStyle w:val="Strong"/>
          <w:color w:val="000000" w:themeColor="text1"/>
        </w:rPr>
        <w:t>Explainability</w:t>
      </w:r>
      <w:proofErr w:type="spellEnd"/>
      <w:r w:rsidRPr="00C877B1">
        <w:rPr>
          <w:rStyle w:val="Strong"/>
          <w:color w:val="000000" w:themeColor="text1"/>
        </w:rPr>
        <w:t xml:space="preserve"> Tools:</w:t>
      </w:r>
      <w:r w:rsidRPr="00C877B1">
        <w:rPr>
          <w:color w:val="000000" w:themeColor="text1"/>
        </w:rPr>
        <w:t xml:space="preserve"> LIME [16], SHAP [17], and Google's What-If Tool [18] enable post-hoc interpretation but don't enforce mandatory explanations before decision deployment.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Governance Platforms:</w:t>
      </w:r>
      <w:r w:rsidRPr="00C877B1">
        <w:rPr>
          <w:color w:val="000000" w:themeColor="text1"/>
        </w:rPr>
        <w:t xml:space="preserve"> </w:t>
      </w:r>
      <w:proofErr w:type="spellStart"/>
      <w:r w:rsidRPr="00C877B1">
        <w:rPr>
          <w:color w:val="000000" w:themeColor="text1"/>
        </w:rPr>
        <w:t>MLflow</w:t>
      </w:r>
      <w:proofErr w:type="spellEnd"/>
      <w:r w:rsidRPr="00C877B1">
        <w:rPr>
          <w:color w:val="000000" w:themeColor="text1"/>
        </w:rPr>
        <w:t xml:space="preserve"> [19] and Model Cards [20] facilitate documentation and lifecycle management but serve as metadata tools rather than runtime enforcers.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C. Research Gap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Existing tools address individual dimensions in isolation and lack runtime enforcement capabilities. No general-purpose framework integrates multiple governance constraints, blocks violations in real-time, and escalates ambiguous cases to human reviewers. RAIG-Java fills this gap.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III. Operational RAI Principles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We map seven RAI principles to computational mechanisms: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Accountability:</w:t>
      </w:r>
      <w:r w:rsidRPr="00C877B1">
        <w:rPr>
          <w:color w:val="000000" w:themeColor="text1"/>
        </w:rPr>
        <w:t xml:space="preserve"> Decisions are traceable through structured contexts, immutable logs, and provenance tracking.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Fairness:</w:t>
      </w:r>
      <w:r w:rsidRPr="00C877B1">
        <w:rPr>
          <w:color w:val="000000" w:themeColor="text1"/>
        </w:rPr>
        <w:t xml:space="preserve"> Group-based statistical metrics (demographic parity, equalized odds) enforce equal treatment. Violations trigger blocking or escalation.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Transparency:</w:t>
      </w:r>
      <w:r w:rsidRPr="00C877B1">
        <w:rPr>
          <w:color w:val="000000" w:themeColor="text1"/>
        </w:rPr>
        <w:t xml:space="preserve"> Decisions must include interpretable explanations. Missing or incomplete explanations prevent execution.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Privacy:</w:t>
      </w:r>
      <w:r w:rsidRPr="00C877B1">
        <w:rPr>
          <w:color w:val="000000" w:themeColor="text1"/>
        </w:rPr>
        <w:t xml:space="preserve"> Data minimization, consent verification, and access control are enforced. Violations immediately halt the pipeline.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Robustness:</w:t>
      </w:r>
      <w:r w:rsidRPr="00C877B1">
        <w:rPr>
          <w:color w:val="000000" w:themeColor="text1"/>
        </w:rPr>
        <w:t xml:space="preserve"> Anomaly detection, confidence thresholding, and fail-safe </w:t>
      </w:r>
      <w:proofErr w:type="spellStart"/>
      <w:r w:rsidRPr="00C877B1">
        <w:rPr>
          <w:color w:val="000000" w:themeColor="text1"/>
        </w:rPr>
        <w:t>behaviors</w:t>
      </w:r>
      <w:proofErr w:type="spellEnd"/>
      <w:r w:rsidRPr="00C877B1">
        <w:rPr>
          <w:color w:val="000000" w:themeColor="text1"/>
        </w:rPr>
        <w:t xml:space="preserve"> ensure reliable operation under uncertainty.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Human Oversight:</w:t>
      </w:r>
      <w:r w:rsidRPr="00C877B1">
        <w:rPr>
          <w:color w:val="000000" w:themeColor="text1"/>
        </w:rPr>
        <w:t xml:space="preserve"> Human-in-the-loop mechanisms route ambiguous or high-stakes decisions to reviewers.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Societal Impact:</w:t>
      </w:r>
      <w:r w:rsidRPr="00C877B1">
        <w:rPr>
          <w:color w:val="000000" w:themeColor="text1"/>
        </w:rPr>
        <w:t xml:space="preserve"> Custom domain-specific rules ensure alignment with organizational and societal values.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IV. System Architecture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RAIG-Java follows a modular, interception-based pipeline architecture (Figure 1):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lastRenderedPageBreak/>
        <w:t>AI Model → Decision Output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spellStart"/>
      <w:r w:rsidRPr="00C877B1">
        <w:rPr>
          <w:color w:val="000000" w:themeColor="text1"/>
        </w:rPr>
        <w:t>EthicsContext</w:t>
      </w:r>
      <w:proofErr w:type="spellEnd"/>
      <w:r w:rsidRPr="00C877B1">
        <w:rPr>
          <w:color w:val="000000" w:themeColor="text1"/>
        </w:rPr>
        <w:t xml:space="preserve"> Constructor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spellStart"/>
      <w:r w:rsidRPr="00C877B1">
        <w:rPr>
          <w:color w:val="000000" w:themeColor="text1"/>
        </w:rPr>
        <w:t>EthicsEngine</w:t>
      </w:r>
      <w:proofErr w:type="spellEnd"/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┌─────────┴─────────┐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 ↓ 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Fairness Privacy Transparency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 ↓ 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Robustness Accountability Societal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 ↓ 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└─────────┬─────────┘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Compliance Aggregator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Enforcement Action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/ | \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APPROVE BLOCK ESCALATE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↓ ↓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Downstream Human Review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Figure 1:</w:t>
      </w:r>
      <w:r w:rsidRPr="00C877B1">
        <w:rPr>
          <w:color w:val="000000" w:themeColor="text1"/>
        </w:rPr>
        <w:t xml:space="preserve"> RAIG-Java Architecture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Core Components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 xml:space="preserve">1. </w:t>
      </w:r>
      <w:proofErr w:type="spellStart"/>
      <w:r w:rsidRPr="00C877B1">
        <w:rPr>
          <w:rStyle w:val="Strong"/>
          <w:color w:val="000000" w:themeColor="text1"/>
        </w:rPr>
        <w:t>EthicsContext</w:t>
      </w:r>
      <w:proofErr w:type="spellEnd"/>
      <w:r w:rsidRPr="00C877B1">
        <w:rPr>
          <w:rStyle w:val="Strong"/>
          <w:color w:val="000000" w:themeColor="text1"/>
        </w:rPr>
        <w:t>:</w:t>
      </w:r>
      <w:r w:rsidRPr="00C877B1">
        <w:rPr>
          <w:color w:val="000000" w:themeColor="text1"/>
        </w:rPr>
        <w:t xml:space="preserve"> Encapsulates decision metadata including model inputs/outputs, prediction confidence, protected attributes, explanations, and timestamps.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 xml:space="preserve">2. </w:t>
      </w:r>
      <w:proofErr w:type="spellStart"/>
      <w:r w:rsidRPr="00C877B1">
        <w:rPr>
          <w:rStyle w:val="Strong"/>
          <w:color w:val="000000" w:themeColor="text1"/>
        </w:rPr>
        <w:t>EthicsEngine</w:t>
      </w:r>
      <w:proofErr w:type="spellEnd"/>
      <w:r w:rsidRPr="00C877B1">
        <w:rPr>
          <w:rStyle w:val="Strong"/>
          <w:color w:val="000000" w:themeColor="text1"/>
        </w:rPr>
        <w:t>:</w:t>
      </w:r>
      <w:r w:rsidRPr="00C877B1">
        <w:rPr>
          <w:color w:val="000000" w:themeColor="text1"/>
        </w:rPr>
        <w:t xml:space="preserve"> Orchestrates evaluation across policy modules, aggregates results, and determines enforcement actions.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3. Policy Modules:</w:t>
      </w:r>
      <w:r w:rsidRPr="00C877B1">
        <w:rPr>
          <w:color w:val="000000" w:themeColor="text1"/>
        </w:rPr>
        <w:t xml:space="preserve"> Independent, pluggable modules implementing each governance dimension. Each module exposes an </w:t>
      </w:r>
      <w:proofErr w:type="gramStart"/>
      <w:r w:rsidRPr="00C877B1">
        <w:rPr>
          <w:color w:val="000000" w:themeColor="text1"/>
        </w:rPr>
        <w:t>evaluate(</w:t>
      </w:r>
      <w:proofErr w:type="spellStart"/>
      <w:proofErr w:type="gramEnd"/>
      <w:r w:rsidRPr="00C877B1">
        <w:rPr>
          <w:color w:val="000000" w:themeColor="text1"/>
        </w:rPr>
        <w:t>EthicsContext</w:t>
      </w:r>
      <w:proofErr w:type="spellEnd"/>
      <w:r w:rsidRPr="00C877B1">
        <w:rPr>
          <w:color w:val="000000" w:themeColor="text1"/>
        </w:rPr>
        <w:t>) method returning APPROVE, BLOCK, or ESCALATE.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4. Compliance Aggregator:</w:t>
      </w:r>
      <w:r w:rsidRPr="00C877B1">
        <w:rPr>
          <w:color w:val="000000" w:themeColor="text1"/>
        </w:rPr>
        <w:t xml:space="preserve"> Implements fail-fast logic: any BLOCK immediately halts execution; any ESCALATE triggers human review; only all APPROVE proceeds.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5. Human Oversight Workflow:</w:t>
      </w:r>
      <w:r w:rsidRPr="00C877B1">
        <w:rPr>
          <w:color w:val="000000" w:themeColor="text1"/>
        </w:rPr>
        <w:t xml:space="preserve"> Manages escalated decisions through event-driven workflows, generating review reports and routing to appropriate reviewers.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lastRenderedPageBreak/>
        <w:t>V. Implementation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A. Technology Stack</w:t>
      </w:r>
    </w:p>
    <w:p w:rsidR="00C877B1" w:rsidRPr="00C877B1" w:rsidRDefault="00C877B1" w:rsidP="00C877B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Language:</w:t>
      </w:r>
      <w:r w:rsidRPr="00C877B1">
        <w:rPr>
          <w:rFonts w:ascii="Times New Roman" w:hAnsi="Times New Roman" w:cs="Times New Roman"/>
          <w:color w:val="000000" w:themeColor="text1"/>
        </w:rPr>
        <w:t xml:space="preserve"> Java 17 with modern features</w:t>
      </w:r>
    </w:p>
    <w:p w:rsidR="00C877B1" w:rsidRPr="00C877B1" w:rsidRDefault="00C877B1" w:rsidP="00C877B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Build:</w:t>
      </w:r>
      <w:r w:rsidRPr="00C877B1">
        <w:rPr>
          <w:rFonts w:ascii="Times New Roman" w:hAnsi="Times New Roman" w:cs="Times New Roman"/>
          <w:color w:val="000000" w:themeColor="text1"/>
        </w:rPr>
        <w:t xml:space="preserve"> Apache Maven 3.8+</w:t>
      </w:r>
    </w:p>
    <w:p w:rsidR="00C877B1" w:rsidRPr="00C877B1" w:rsidRDefault="00C877B1" w:rsidP="00C877B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Logging:</w:t>
      </w:r>
      <w:r w:rsidRPr="00C877B1">
        <w:rPr>
          <w:rFonts w:ascii="Times New Roman" w:hAnsi="Times New Roman" w:cs="Times New Roman"/>
          <w:color w:val="000000" w:themeColor="text1"/>
        </w:rPr>
        <w:t xml:space="preserve"> SLF4J with </w:t>
      </w:r>
      <w:proofErr w:type="spellStart"/>
      <w:r w:rsidRPr="00C877B1">
        <w:rPr>
          <w:rFonts w:ascii="Times New Roman" w:hAnsi="Times New Roman" w:cs="Times New Roman"/>
          <w:color w:val="000000" w:themeColor="text1"/>
        </w:rPr>
        <w:t>Logback</w:t>
      </w:r>
      <w:proofErr w:type="spellEnd"/>
      <w:r w:rsidRPr="00C877B1">
        <w:rPr>
          <w:rFonts w:ascii="Times New Roman" w:hAnsi="Times New Roman" w:cs="Times New Roman"/>
          <w:color w:val="000000" w:themeColor="text1"/>
        </w:rPr>
        <w:t xml:space="preserve"> for audit trails</w:t>
      </w:r>
    </w:p>
    <w:p w:rsidR="00C877B1" w:rsidRPr="00C877B1" w:rsidRDefault="00C877B1" w:rsidP="00C877B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Configuration:</w:t>
      </w:r>
      <w:r w:rsidRPr="00C877B1">
        <w:rPr>
          <w:rFonts w:ascii="Times New Roman" w:hAnsi="Times New Roman" w:cs="Times New Roman"/>
          <w:color w:val="000000" w:themeColor="text1"/>
        </w:rPr>
        <w:t xml:space="preserve"> YAML-based policy definitions</w:t>
      </w:r>
    </w:p>
    <w:p w:rsidR="00C877B1" w:rsidRPr="00C877B1" w:rsidRDefault="00C877B1" w:rsidP="00C877B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Testing:</w:t>
      </w:r>
      <w:r w:rsidRPr="00C877B1">
        <w:rPr>
          <w:rFonts w:ascii="Times New Roman" w:hAnsi="Times New Roman" w:cs="Times New Roman"/>
          <w:color w:val="000000" w:themeColor="text1"/>
        </w:rPr>
        <w:t xml:space="preserve"> JUnit 5, </w:t>
      </w:r>
      <w:proofErr w:type="spellStart"/>
      <w:r w:rsidRPr="00C877B1">
        <w:rPr>
          <w:rFonts w:ascii="Times New Roman" w:hAnsi="Times New Roman" w:cs="Times New Roman"/>
          <w:color w:val="000000" w:themeColor="text1"/>
        </w:rPr>
        <w:t>Mockito</w:t>
      </w:r>
      <w:proofErr w:type="spellEnd"/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B. Core Algorithms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 xml:space="preserve">Algorithm 1: </w:t>
      </w:r>
      <w:proofErr w:type="spellStart"/>
      <w:r w:rsidRPr="00C877B1">
        <w:rPr>
          <w:rStyle w:val="Strong"/>
          <w:color w:val="000000" w:themeColor="text1"/>
        </w:rPr>
        <w:t>EthicsEngine</w:t>
      </w:r>
      <w:proofErr w:type="spellEnd"/>
      <w:r w:rsidRPr="00C877B1">
        <w:rPr>
          <w:rStyle w:val="Strong"/>
          <w:color w:val="000000" w:themeColor="text1"/>
        </w:rPr>
        <w:t xml:space="preserve"> Evaluation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gramStart"/>
      <w:r w:rsidRPr="00C877B1">
        <w:rPr>
          <w:color w:val="000000" w:themeColor="text1"/>
        </w:rPr>
        <w:t>function</w:t>
      </w:r>
      <w:proofErr w:type="gramEnd"/>
      <w:r w:rsidRPr="00C877B1">
        <w:rPr>
          <w:color w:val="000000" w:themeColor="text1"/>
        </w:rPr>
        <w:t xml:space="preserve"> </w:t>
      </w:r>
      <w:proofErr w:type="spellStart"/>
      <w:r w:rsidRPr="00C877B1">
        <w:rPr>
          <w:color w:val="000000" w:themeColor="text1"/>
        </w:rPr>
        <w:t>evaluateDecision</w:t>
      </w:r>
      <w:proofErr w:type="spellEnd"/>
      <w:r w:rsidRPr="00C877B1">
        <w:rPr>
          <w:color w:val="000000" w:themeColor="text1"/>
        </w:rPr>
        <w:t>(context):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for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each module in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activeModules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result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module.evaluate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(context)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log(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module, result, context)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result == BLOCK: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any result == ESCALATE: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routeToHuman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context)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ESCALATE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APPROVE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Algorithm 2: Fairness Module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gramStart"/>
      <w:r w:rsidRPr="00C877B1">
        <w:rPr>
          <w:color w:val="000000" w:themeColor="text1"/>
        </w:rPr>
        <w:t>function</w:t>
      </w:r>
      <w:proofErr w:type="gramEnd"/>
      <w:r w:rsidRPr="00C877B1">
        <w:rPr>
          <w:color w:val="000000" w:themeColor="text1"/>
        </w:rPr>
        <w:t xml:space="preserve"> </w:t>
      </w:r>
      <w:proofErr w:type="spellStart"/>
      <w:r w:rsidRPr="00C877B1">
        <w:rPr>
          <w:color w:val="000000" w:themeColor="text1"/>
        </w:rPr>
        <w:t>evaluateFairness</w:t>
      </w:r>
      <w:proofErr w:type="spellEnd"/>
      <w:r w:rsidRPr="00C877B1">
        <w:rPr>
          <w:color w:val="000000" w:themeColor="text1"/>
        </w:rPr>
        <w:t>(context):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historicalData</w:t>
      </w:r>
      <w:proofErr w:type="spellEnd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fetchRecentDecisions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</w:t>
      </w:r>
      <w:proofErr w:type="spellEnd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computeApprovalRates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historicalData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protectedAttribute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disparity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max(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 - min(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disparity &gt; threshold: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disparity &gt;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warningThreshold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ESCALATE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APPROVE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Java Implementation Example: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public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FairnessModule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implements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EthicsModule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{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@Override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public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EthicsResult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evaluate(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EthicsContext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context) {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List&lt;Decision&gt;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historicalData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fetchRecentDecisions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Map&lt;String, Double&gt;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computeApprovalRates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historicalData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protectedAttribute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double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disparity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Collections.max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groupMetrics.values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()) -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                  </w:t>
      </w: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Collections.min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groupMetrics.values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());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(disparity &gt; threshold) return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EthicsResult.BLOCK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(disparity &gt;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warningThreshold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) return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EthicsResult.ESCALATE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EthicsResult.APPROVE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;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}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>}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Algorithm 3: Privacy Module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gramStart"/>
      <w:r w:rsidRPr="00C877B1">
        <w:rPr>
          <w:color w:val="000000" w:themeColor="text1"/>
        </w:rPr>
        <w:t>function</w:t>
      </w:r>
      <w:proofErr w:type="gramEnd"/>
      <w:r w:rsidRPr="00C877B1">
        <w:rPr>
          <w:color w:val="000000" w:themeColor="text1"/>
        </w:rPr>
        <w:t xml:space="preserve"> </w:t>
      </w:r>
      <w:proofErr w:type="spellStart"/>
      <w:r w:rsidRPr="00C877B1">
        <w:rPr>
          <w:color w:val="000000" w:themeColor="text1"/>
        </w:rPr>
        <w:t>evaluatePrivacy</w:t>
      </w:r>
      <w:proofErr w:type="spellEnd"/>
      <w:r w:rsidRPr="00C877B1">
        <w:rPr>
          <w:color w:val="000000" w:themeColor="text1"/>
        </w:rPr>
        <w:t>(context):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not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context.hasConsent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():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usedFeatures</w:t>
      </w:r>
      <w:proofErr w:type="spellEnd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context.getFeatures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necessaryFeatures</w:t>
      </w:r>
      <w:proofErr w:type="spellEnd"/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determineNecessary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context.purpose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usedFeatures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exceeds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necessaryFeatures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APPROVE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Algorithm 4: Transparency Module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gramStart"/>
      <w:r w:rsidRPr="00C877B1">
        <w:rPr>
          <w:color w:val="000000" w:themeColor="text1"/>
        </w:rPr>
        <w:t>function</w:t>
      </w:r>
      <w:proofErr w:type="gramEnd"/>
      <w:r w:rsidRPr="00C877B1">
        <w:rPr>
          <w:color w:val="000000" w:themeColor="text1"/>
        </w:rPr>
        <w:t xml:space="preserve"> </w:t>
      </w:r>
      <w:proofErr w:type="spellStart"/>
      <w:r w:rsidRPr="00C877B1">
        <w:rPr>
          <w:color w:val="000000" w:themeColor="text1"/>
        </w:rPr>
        <w:t>evaluateTransparency</w:t>
      </w:r>
      <w:proofErr w:type="spellEnd"/>
      <w:r w:rsidRPr="00C877B1">
        <w:rPr>
          <w:color w:val="000000" w:themeColor="text1"/>
        </w:rPr>
        <w:t>(context):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explanation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context.getExplanation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()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explanation is null: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if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explanation.features.count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&lt;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minRequired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BLOCK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return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APPROVE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C. Configuration Example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spellStart"/>
      <w:r w:rsidRPr="00C877B1">
        <w:rPr>
          <w:color w:val="000000" w:themeColor="text1"/>
        </w:rPr>
        <w:t>ethics_engine</w:t>
      </w:r>
      <w:proofErr w:type="spellEnd"/>
      <w:r w:rsidRPr="00C877B1">
        <w:rPr>
          <w:color w:val="000000" w:themeColor="text1"/>
        </w:rPr>
        <w:t>: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proofErr w:type="gramStart"/>
      <w:r w:rsidRPr="00C877B1">
        <w:rPr>
          <w:color w:val="000000" w:themeColor="text1"/>
        </w:rPr>
        <w:t>modules</w:t>
      </w:r>
      <w:proofErr w:type="gramEnd"/>
      <w:r w:rsidRPr="00C877B1">
        <w:rPr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name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fairness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enabled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true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parameters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protected_attributes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\[race, gender, age\]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metric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demographic_parity</w:t>
      </w:r>
      <w:proofErr w:type="spellEnd"/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threshold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0.05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name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privacy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enabled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true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parameters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require_consent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true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data_minimization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true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lastRenderedPageBreak/>
        <w:t xml:space="preserve">-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name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transparency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enabled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true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  <w:proofErr w:type="gram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parameters</w:t>
      </w:r>
      <w:proofErr w:type="gram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</w:t>
      </w:r>
    </w:p>
    <w:p w:rsidR="00C877B1" w:rsidRPr="00C877B1" w:rsidRDefault="00C877B1" w:rsidP="00C877B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color w:val="000000" w:themeColor="text1"/>
        </w:rPr>
      </w:pPr>
      <w:r w:rsidRPr="00C877B1">
        <w:rPr>
          <w:rStyle w:val="HTMLCode"/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877B1">
        <w:rPr>
          <w:rStyle w:val="HTMLCode"/>
          <w:rFonts w:ascii="Times New Roman" w:hAnsi="Times New Roman" w:cs="Times New Roman"/>
          <w:color w:val="000000" w:themeColor="text1"/>
        </w:rPr>
        <w:t>min_features_explained</w:t>
      </w:r>
      <w:proofErr w:type="spellEnd"/>
      <w:r w:rsidRPr="00C877B1">
        <w:rPr>
          <w:rStyle w:val="HTMLCode"/>
          <w:rFonts w:ascii="Times New Roman" w:hAnsi="Times New Roman" w:cs="Times New Roman"/>
          <w:color w:val="000000" w:themeColor="text1"/>
        </w:rPr>
        <w:t>: 3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D. Deployment Options</w:t>
      </w:r>
    </w:p>
    <w:p w:rsidR="00C877B1" w:rsidRPr="00C877B1" w:rsidRDefault="00C877B1" w:rsidP="00C877B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Embedded Library:</w:t>
      </w:r>
      <w:r w:rsidRPr="00C877B1">
        <w:rPr>
          <w:rFonts w:ascii="Times New Roman" w:hAnsi="Times New Roman" w:cs="Times New Roman"/>
          <w:color w:val="000000" w:themeColor="text1"/>
        </w:rPr>
        <w:t xml:space="preserve"> JAR dependency in application code</w:t>
      </w:r>
    </w:p>
    <w:p w:rsidR="00C877B1" w:rsidRPr="00C877B1" w:rsidRDefault="00C877B1" w:rsidP="00C877B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 xml:space="preserve">REST </w:t>
      </w:r>
      <w:proofErr w:type="spellStart"/>
      <w:r w:rsidRPr="00C877B1">
        <w:rPr>
          <w:rStyle w:val="Strong"/>
          <w:rFonts w:ascii="Times New Roman" w:hAnsi="Times New Roman" w:cs="Times New Roman"/>
          <w:color w:val="000000" w:themeColor="text1"/>
        </w:rPr>
        <w:t>Microservice</w:t>
      </w:r>
      <w:proofErr w:type="spellEnd"/>
      <w:r w:rsidRPr="00C877B1">
        <w:rPr>
          <w:rStyle w:val="Strong"/>
          <w:rFonts w:ascii="Times New Roman" w:hAnsi="Times New Roman" w:cs="Times New Roman"/>
          <w:color w:val="000000" w:themeColor="text1"/>
        </w:rPr>
        <w:t>:</w:t>
      </w:r>
      <w:r w:rsidRPr="00C877B1">
        <w:rPr>
          <w:rFonts w:ascii="Times New Roman" w:hAnsi="Times New Roman" w:cs="Times New Roman"/>
          <w:color w:val="000000" w:themeColor="text1"/>
        </w:rPr>
        <w:t xml:space="preserve"> Standalone HTTP API</w:t>
      </w:r>
    </w:p>
    <w:p w:rsidR="00C877B1" w:rsidRPr="00C877B1" w:rsidRDefault="00C877B1" w:rsidP="00C877B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Message Queue Interceptor:</w:t>
      </w:r>
      <w:r w:rsidRPr="00C877B1">
        <w:rPr>
          <w:rFonts w:ascii="Times New Roman" w:hAnsi="Times New Roman" w:cs="Times New Roman"/>
          <w:color w:val="000000" w:themeColor="text1"/>
        </w:rPr>
        <w:t xml:space="preserve"> Kafka/</w:t>
      </w:r>
      <w:proofErr w:type="spellStart"/>
      <w:r w:rsidRPr="00C877B1">
        <w:rPr>
          <w:rFonts w:ascii="Times New Roman" w:hAnsi="Times New Roman" w:cs="Times New Roman"/>
          <w:color w:val="000000" w:themeColor="text1"/>
        </w:rPr>
        <w:t>RabbitMQ</w:t>
      </w:r>
      <w:proofErr w:type="spellEnd"/>
      <w:r w:rsidRPr="00C877B1">
        <w:rPr>
          <w:rFonts w:ascii="Times New Roman" w:hAnsi="Times New Roman" w:cs="Times New Roman"/>
          <w:color w:val="000000" w:themeColor="text1"/>
        </w:rPr>
        <w:t xml:space="preserve"> integration</w:t>
      </w:r>
    </w:p>
    <w:p w:rsidR="00C877B1" w:rsidRPr="00C877B1" w:rsidRDefault="00C877B1" w:rsidP="00C877B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Container Sidecar:</w:t>
      </w:r>
      <w:r w:rsidRPr="00C877B1">
        <w:rPr>
          <w:rFonts w:ascii="Times New Roman" w:hAnsi="Times New Roman" w:cs="Times New Roman"/>
          <w:color w:val="000000" w:themeColor="text1"/>
        </w:rPr>
        <w:t xml:space="preserve"> Kubernetes sidecar pattern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VI. Experimental Evaluation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A. Research Questions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RQ1:</w:t>
      </w:r>
      <w:r w:rsidRPr="00C877B1">
        <w:rPr>
          <w:color w:val="000000" w:themeColor="text1"/>
        </w:rPr>
        <w:t xml:space="preserve"> Can RAIG-Java accurately detect RAI violations?</w:t>
      </w:r>
      <w:r w:rsidRPr="00C877B1">
        <w:rPr>
          <w:color w:val="000000" w:themeColor="text1"/>
        </w:rPr>
        <w:br/>
      </w:r>
      <w:r w:rsidRPr="00C877B1">
        <w:rPr>
          <w:rStyle w:val="Strong"/>
          <w:color w:val="000000" w:themeColor="text1"/>
        </w:rPr>
        <w:t>RQ2:</w:t>
      </w:r>
      <w:r w:rsidRPr="00C877B1">
        <w:rPr>
          <w:color w:val="000000" w:themeColor="text1"/>
        </w:rPr>
        <w:t xml:space="preserve"> What is the computational overhead?</w:t>
      </w:r>
      <w:r w:rsidRPr="00C877B1">
        <w:rPr>
          <w:color w:val="000000" w:themeColor="text1"/>
        </w:rPr>
        <w:br/>
      </w:r>
      <w:r w:rsidRPr="00C877B1">
        <w:rPr>
          <w:rStyle w:val="Strong"/>
          <w:color w:val="000000" w:themeColor="text1"/>
        </w:rPr>
        <w:t>RQ3:</w:t>
      </w:r>
      <w:r w:rsidRPr="00C877B1">
        <w:rPr>
          <w:color w:val="000000" w:themeColor="text1"/>
        </w:rPr>
        <w:t xml:space="preserve"> How frequently are decisions escalated?</w:t>
      </w:r>
      <w:r w:rsidRPr="00C877B1">
        <w:rPr>
          <w:color w:val="000000" w:themeColor="text1"/>
        </w:rPr>
        <w:br/>
      </w:r>
      <w:r w:rsidRPr="00C877B1">
        <w:rPr>
          <w:rStyle w:val="Strong"/>
          <w:color w:val="000000" w:themeColor="text1"/>
        </w:rPr>
        <w:t>RQ4:</w:t>
      </w:r>
      <w:r w:rsidRPr="00C877B1">
        <w:rPr>
          <w:color w:val="000000" w:themeColor="text1"/>
        </w:rPr>
        <w:t xml:space="preserve"> What is the false positive rate?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B. Scenario Design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We designed 12 loan-approval scenarios representing common ethical failures: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Fairness (3 scenarios):</w:t>
      </w:r>
    </w:p>
    <w:p w:rsidR="00C877B1" w:rsidRPr="00C877B1" w:rsidRDefault="00C877B1" w:rsidP="00C877B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Demographic disparity in approval rates</w:t>
      </w:r>
    </w:p>
    <w:p w:rsidR="00C877B1" w:rsidRPr="00C877B1" w:rsidRDefault="00C877B1" w:rsidP="00C877B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Gender-based loan amount discrimination</w:t>
      </w:r>
    </w:p>
    <w:p w:rsidR="00C877B1" w:rsidRPr="00C877B1" w:rsidRDefault="00C877B1" w:rsidP="00C877B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Age-based rejection bias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Privacy (3 scenarios):</w:t>
      </w:r>
    </w:p>
    <w:p w:rsidR="00C877B1" w:rsidRPr="00C877B1" w:rsidRDefault="00C877B1" w:rsidP="00C877B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Missing user consent</w:t>
      </w:r>
    </w:p>
    <w:p w:rsidR="00C877B1" w:rsidRPr="00C877B1" w:rsidRDefault="00C877B1" w:rsidP="00C877B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Excessive data collection</w:t>
      </w:r>
    </w:p>
    <w:p w:rsidR="00C877B1" w:rsidRPr="00C877B1" w:rsidRDefault="00C877B1" w:rsidP="00C877B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Purpose mismatch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Transparency (3 scenarios):</w:t>
      </w:r>
    </w:p>
    <w:p w:rsidR="00C877B1" w:rsidRPr="00C877B1" w:rsidRDefault="00C877B1" w:rsidP="00C877B1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No explanation provided</w:t>
      </w:r>
    </w:p>
    <w:p w:rsidR="00C877B1" w:rsidRPr="00C877B1" w:rsidRDefault="00C877B1" w:rsidP="00C877B1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Incomplete explanation</w:t>
      </w:r>
    </w:p>
    <w:p w:rsidR="00C877B1" w:rsidRPr="00C877B1" w:rsidRDefault="00C877B1" w:rsidP="00C877B1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Low-quality explanation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Robustness (3 scenarios):</w:t>
      </w:r>
    </w:p>
    <w:p w:rsidR="00C877B1" w:rsidRPr="00C877B1" w:rsidRDefault="00C877B1" w:rsidP="00C877B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Out-of-distribution input</w:t>
      </w:r>
    </w:p>
    <w:p w:rsidR="00C877B1" w:rsidRPr="00C877B1" w:rsidRDefault="00C877B1" w:rsidP="00C877B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Low confidence prediction</w:t>
      </w:r>
    </w:p>
    <w:p w:rsidR="00C877B1" w:rsidRPr="00C877B1" w:rsidRDefault="00C877B1" w:rsidP="00C877B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Adversarial perturbation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C. Evaluation Metrics</w:t>
      </w:r>
    </w:p>
    <w:p w:rsidR="00C877B1" w:rsidRPr="00C877B1" w:rsidRDefault="00C877B1" w:rsidP="00C877B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Detection Rate:</w:t>
      </w:r>
      <w:r w:rsidRPr="00C877B1">
        <w:rPr>
          <w:rFonts w:ascii="Times New Roman" w:hAnsi="Times New Roman" w:cs="Times New Roman"/>
          <w:color w:val="000000" w:themeColor="text1"/>
        </w:rPr>
        <w:t xml:space="preserve"> Proportion of violations correctly identified</w:t>
      </w:r>
    </w:p>
    <w:p w:rsidR="00C877B1" w:rsidRPr="00C877B1" w:rsidRDefault="00C877B1" w:rsidP="00C877B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False Positive Rate:</w:t>
      </w:r>
      <w:r w:rsidRPr="00C877B1">
        <w:rPr>
          <w:rFonts w:ascii="Times New Roman" w:hAnsi="Times New Roman" w:cs="Times New Roman"/>
          <w:color w:val="000000" w:themeColor="text1"/>
        </w:rPr>
        <w:t xml:space="preserve"> Compliant decisions incorrectly blocked</w:t>
      </w:r>
    </w:p>
    <w:p w:rsidR="00C877B1" w:rsidRPr="00C877B1" w:rsidRDefault="00C877B1" w:rsidP="00C877B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Latency Overhead:</w:t>
      </w:r>
      <w:r w:rsidRPr="00C877B1">
        <w:rPr>
          <w:rFonts w:ascii="Times New Roman" w:hAnsi="Times New Roman" w:cs="Times New Roman"/>
          <w:color w:val="000000" w:themeColor="text1"/>
        </w:rPr>
        <w:t xml:space="preserve"> Additional processing time</w:t>
      </w:r>
    </w:p>
    <w:p w:rsidR="00C877B1" w:rsidRPr="00C877B1" w:rsidRDefault="00C877B1" w:rsidP="00C877B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lastRenderedPageBreak/>
        <w:t>Escalation Rate:</w:t>
      </w:r>
      <w:r w:rsidRPr="00C877B1">
        <w:rPr>
          <w:rFonts w:ascii="Times New Roman" w:hAnsi="Times New Roman" w:cs="Times New Roman"/>
          <w:color w:val="000000" w:themeColor="text1"/>
        </w:rPr>
        <w:t xml:space="preserve"> Proportion requiring human review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D. Experimental Setup</w:t>
      </w:r>
    </w:p>
    <w:p w:rsidR="00C877B1" w:rsidRPr="00C877B1" w:rsidRDefault="00C877B1" w:rsidP="00C877B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Hardware:</w:t>
      </w:r>
      <w:r w:rsidRPr="00C877B1">
        <w:rPr>
          <w:rFonts w:ascii="Times New Roman" w:hAnsi="Times New Roman" w:cs="Times New Roman"/>
          <w:color w:val="000000" w:themeColor="text1"/>
        </w:rPr>
        <w:t xml:space="preserve"> Intel Xeon E5-2680 v4, 64GB RAM</w:t>
      </w:r>
    </w:p>
    <w:p w:rsidR="00C877B1" w:rsidRPr="00C877B1" w:rsidRDefault="00C877B1" w:rsidP="00C877B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Software:</w:t>
      </w:r>
      <w:r w:rsidRPr="00C877B1">
        <w:rPr>
          <w:rFonts w:ascii="Times New Roman" w:hAnsi="Times New Roman" w:cs="Times New Roman"/>
          <w:color w:val="000000" w:themeColor="text1"/>
        </w:rPr>
        <w:t xml:space="preserve"> Java 17, Ubuntu 20.04</w:t>
      </w:r>
    </w:p>
    <w:p w:rsidR="00C877B1" w:rsidRPr="00C877B1" w:rsidRDefault="00C877B1" w:rsidP="00C877B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Repetitions:</w:t>
      </w:r>
      <w:r w:rsidRPr="00C877B1">
        <w:rPr>
          <w:rFonts w:ascii="Times New Roman" w:hAnsi="Times New Roman" w:cs="Times New Roman"/>
          <w:color w:val="000000" w:themeColor="text1"/>
        </w:rPr>
        <w:t xml:space="preserve"> 100 iterations per scenario</w:t>
      </w:r>
    </w:p>
    <w:p w:rsidR="00C877B1" w:rsidRPr="00C877B1" w:rsidRDefault="00C877B1" w:rsidP="00C877B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Ground Truth:</w:t>
      </w:r>
      <w:r w:rsidRPr="00C877B1">
        <w:rPr>
          <w:rFonts w:ascii="Times New Roman" w:hAnsi="Times New Roman" w:cs="Times New Roman"/>
          <w:color w:val="000000" w:themeColor="text1"/>
        </w:rPr>
        <w:t xml:space="preserve"> Expert annotation (3 researchers, κ=0.89)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VII. Results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A. Overall Performance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Table I: RAIG-Java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48"/>
        <w:gridCol w:w="786"/>
        <w:gridCol w:w="733"/>
        <w:gridCol w:w="937"/>
      </w:tblGrid>
      <w:tr w:rsidR="00C877B1" w:rsidRPr="00C877B1" w:rsidTr="00C87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Detection Rate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Latency (</w:t>
            </w:r>
            <w:proofErr w:type="spellStart"/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Escalation Rate</w:t>
            </w:r>
          </w:p>
        </w:tc>
      </w:tr>
      <w:tr w:rsidR="00C877B1" w:rsidRPr="00C877B1" w:rsidTr="00C87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8%</w:t>
            </w:r>
          </w:p>
        </w:tc>
      </w:tr>
      <w:tr w:rsidR="00C877B1" w:rsidRPr="00C877B1" w:rsidTr="00C87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2%</w:t>
            </w:r>
          </w:p>
        </w:tc>
      </w:tr>
      <w:tr w:rsidR="00C877B1" w:rsidRPr="00C877B1" w:rsidTr="00C87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6%</w:t>
            </w:r>
          </w:p>
        </w:tc>
      </w:tr>
      <w:tr w:rsidR="00C877B1" w:rsidRPr="00C877B1" w:rsidTr="00C87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Fonts w:ascii="Times New Roman" w:hAnsi="Times New Roman" w:cs="Times New Roman"/>
                <w:color w:val="000000" w:themeColor="text1"/>
              </w:rPr>
              <w:t>11%</w:t>
            </w:r>
          </w:p>
        </w:tc>
      </w:tr>
      <w:tr w:rsidR="00C877B1" w:rsidRPr="00C877B1" w:rsidTr="00C87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877B1" w:rsidRPr="00C877B1" w:rsidRDefault="00C877B1" w:rsidP="00C877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877B1">
              <w:rPr>
                <w:rStyle w:val="Strong"/>
                <w:rFonts w:ascii="Times New Roman" w:hAnsi="Times New Roman" w:cs="Times New Roman"/>
                <w:color w:val="000000" w:themeColor="text1"/>
              </w:rPr>
              <w:t>7%</w:t>
            </w:r>
          </w:p>
        </w:tc>
      </w:tr>
    </w:tbl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B. Key Findings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RQ1 (Accuracy):</w:t>
      </w:r>
      <w:r w:rsidRPr="00C877B1">
        <w:rPr>
          <w:color w:val="000000" w:themeColor="text1"/>
        </w:rPr>
        <w:t xml:space="preserve"> RAIG-Java achieved 95% overall detection rate, successfully identifying most policy violations.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RQ2 (Overhead):</w:t>
      </w:r>
      <w:r w:rsidRPr="00C877B1">
        <w:rPr>
          <w:color w:val="000000" w:themeColor="text1"/>
        </w:rPr>
        <w:t xml:space="preserve"> Average latency overhead of 15ms represents &lt;2% increase for typical loan systems (1-2 second response times).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RQ3 (Escalations):</w:t>
      </w:r>
      <w:r w:rsidRPr="00C877B1">
        <w:rPr>
          <w:color w:val="000000" w:themeColor="text1"/>
        </w:rPr>
        <w:t xml:space="preserve"> 7% escalation rate remains manageable for most organizations.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RQ4 (False Positives):</w:t>
      </w:r>
      <w:r w:rsidRPr="00C877B1">
        <w:rPr>
          <w:color w:val="000000" w:themeColor="text1"/>
        </w:rPr>
        <w:t xml:space="preserve"> 4% false positive rate indicates the framework doesn't overly restrict legitimate decisions.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C. Statistical Analysis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Paired t-tests showed all modules performed significantly better than random baseline (p &lt; 0.001). Privacy achieved highest accuracy (99%) due to deterministic checks. Robustness had lowest accuracy (91%) reflecting difficulty of detecting adversarial inputs.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lastRenderedPageBreak/>
        <w:t>D. Throughput Analysis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System maintained linear scalability up to 1,000 requests/second. Beyond this, escalation queue management became a bottleneck, suggesting need for distributed architectures in high-throughput environments.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VIII. Discussion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A. Implications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RAIG-Java demonstrates that runtime governance is feasible and practical. The minimal latency (15ms) and low false positive rate (4%) enable integration without significantly impacting user experience. The framework offers:</w:t>
      </w:r>
    </w:p>
    <w:p w:rsidR="00C877B1" w:rsidRPr="00C877B1" w:rsidRDefault="00C877B1" w:rsidP="00C877B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Immediate compliance</w:t>
      </w:r>
      <w:r w:rsidRPr="00C877B1">
        <w:rPr>
          <w:rFonts w:ascii="Times New Roman" w:hAnsi="Times New Roman" w:cs="Times New Roman"/>
          <w:color w:val="000000" w:themeColor="text1"/>
        </w:rPr>
        <w:t xml:space="preserve"> before decisions take effect</w:t>
      </w:r>
    </w:p>
    <w:p w:rsidR="00C877B1" w:rsidRPr="00C877B1" w:rsidRDefault="00C877B1" w:rsidP="00C877B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Auditability</w:t>
      </w:r>
      <w:r w:rsidRPr="00C877B1">
        <w:rPr>
          <w:rFonts w:ascii="Times New Roman" w:hAnsi="Times New Roman" w:cs="Times New Roman"/>
          <w:color w:val="000000" w:themeColor="text1"/>
        </w:rPr>
        <w:t xml:space="preserve"> through comprehensive logging</w:t>
      </w:r>
    </w:p>
    <w:p w:rsidR="00C877B1" w:rsidRPr="00C877B1" w:rsidRDefault="00C877B1" w:rsidP="00C877B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Flexibility</w:t>
      </w:r>
      <w:r w:rsidRPr="00C877B1">
        <w:rPr>
          <w:rFonts w:ascii="Times New Roman" w:hAnsi="Times New Roman" w:cs="Times New Roman"/>
          <w:color w:val="000000" w:themeColor="text1"/>
        </w:rPr>
        <w:t xml:space="preserve"> via configurable policies</w:t>
      </w:r>
    </w:p>
    <w:p w:rsidR="00C877B1" w:rsidRPr="00C877B1" w:rsidRDefault="00C877B1" w:rsidP="00C877B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Model agnostic</w:t>
      </w:r>
      <w:r w:rsidRPr="00C877B1">
        <w:rPr>
          <w:rFonts w:ascii="Times New Roman" w:hAnsi="Times New Roman" w:cs="Times New Roman"/>
          <w:color w:val="000000" w:themeColor="text1"/>
        </w:rPr>
        <w:t xml:space="preserve"> design working with any prediction system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B. Limitations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Synthetic Scenarios:</w:t>
      </w:r>
      <w:r w:rsidRPr="00C877B1">
        <w:rPr>
          <w:color w:val="000000" w:themeColor="text1"/>
        </w:rPr>
        <w:t xml:space="preserve"> Evaluation uses constructed scenarios, not production data. Real-world validation is needed.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Domain Specificity:</w:t>
      </w:r>
      <w:r w:rsidRPr="00C877B1">
        <w:rPr>
          <w:color w:val="000000" w:themeColor="text1"/>
        </w:rPr>
        <w:t xml:space="preserve"> Results from loan approval may not generalize to other domains (hiring, healthcare) without adaptation.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Threshold Sensitivity:</w:t>
      </w:r>
      <w:r w:rsidRPr="00C877B1">
        <w:rPr>
          <w:color w:val="000000" w:themeColor="text1"/>
        </w:rPr>
        <w:t xml:space="preserve"> Performance depends on policy threshold calibration, which varies by organization.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Explanation Quality:</w:t>
      </w:r>
      <w:r w:rsidRPr="00C877B1">
        <w:rPr>
          <w:color w:val="000000" w:themeColor="text1"/>
        </w:rPr>
        <w:t xml:space="preserve"> Automated assessment captures completeness but not semantic adequacy---an open research problem.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Human Resources:</w:t>
      </w:r>
      <w:r w:rsidRPr="00C877B1">
        <w:rPr>
          <w:color w:val="000000" w:themeColor="text1"/>
        </w:rPr>
        <w:t xml:space="preserve"> 7% escalation rate requires sufficient reviewer capacity.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C. Threats to Validity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Internal:</w:t>
      </w:r>
      <w:r w:rsidRPr="00C877B1">
        <w:rPr>
          <w:color w:val="000000" w:themeColor="text1"/>
        </w:rPr>
        <w:t xml:space="preserve"> Synthetic scenarios may not capture full operational complexity.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External:</w:t>
      </w:r>
      <w:r w:rsidRPr="00C877B1">
        <w:rPr>
          <w:color w:val="000000" w:themeColor="text1"/>
        </w:rPr>
        <w:t xml:space="preserve"> Loan scenarios may not generalize to all decision contexts.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Construct:</w:t>
      </w:r>
      <w:r w:rsidRPr="00C877B1">
        <w:rPr>
          <w:color w:val="000000" w:themeColor="text1"/>
        </w:rPr>
        <w:t xml:space="preserve"> Demographic parity approximates fairness; other definitions may yield different results.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Reliability:</w:t>
      </w:r>
      <w:r w:rsidRPr="00C877B1">
        <w:rPr>
          <w:color w:val="000000" w:themeColor="text1"/>
        </w:rPr>
        <w:t xml:space="preserve"> Evolving regulations may require policy updates.</w:t>
      </w:r>
    </w:p>
    <w:p w:rsidR="00C877B1" w:rsidRPr="00C877B1" w:rsidRDefault="00C877B1" w:rsidP="00C877B1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lastRenderedPageBreak/>
        <w:t>D. Ethical Considerations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Over-blocking Risk:</w:t>
      </w:r>
      <w:r w:rsidRPr="00C877B1">
        <w:rPr>
          <w:color w:val="000000" w:themeColor="text1"/>
        </w:rPr>
        <w:t xml:space="preserve"> Conservative policies may reduce service access, potentially harming vulnerable populations.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Reviewer Bias:</w:t>
      </w:r>
      <w:r w:rsidRPr="00C877B1">
        <w:rPr>
          <w:color w:val="000000" w:themeColor="text1"/>
        </w:rPr>
        <w:t xml:space="preserve"> Human oversight introduces human biases requiring training and monitoring.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rStyle w:val="Strong"/>
          <w:color w:val="000000" w:themeColor="text1"/>
        </w:rPr>
        <w:t>Power Concentration:</w:t>
      </w:r>
      <w:r w:rsidRPr="00C877B1">
        <w:rPr>
          <w:color w:val="000000" w:themeColor="text1"/>
        </w:rPr>
        <w:t xml:space="preserve"> Policy designers wield significant influence; participatory governance involving diverse stakeholders is essential.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IX. Future Work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Several research directions emerge: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Advanced Fairness Metrics:</w:t>
      </w:r>
      <w:r w:rsidRPr="00C877B1">
        <w:rPr>
          <w:rFonts w:ascii="Times New Roman" w:hAnsi="Times New Roman" w:cs="Times New Roman"/>
          <w:color w:val="000000" w:themeColor="text1"/>
        </w:rPr>
        <w:t xml:space="preserve"> Incorporate individual fairness, counterfactual fairness, and causal definitions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Explanation Quality:</w:t>
      </w:r>
      <w:r w:rsidRPr="00C877B1">
        <w:rPr>
          <w:rFonts w:ascii="Times New Roman" w:hAnsi="Times New Roman" w:cs="Times New Roman"/>
          <w:color w:val="000000" w:themeColor="text1"/>
        </w:rPr>
        <w:t xml:space="preserve"> Integrate NLP techniques for semantic explanation assessment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Adaptive Policies:</w:t>
      </w:r>
      <w:r w:rsidRPr="00C877B1">
        <w:rPr>
          <w:rFonts w:ascii="Times New Roman" w:hAnsi="Times New Roman" w:cs="Times New Roman"/>
          <w:color w:val="000000" w:themeColor="text1"/>
        </w:rPr>
        <w:t xml:space="preserve"> Machine learning for automatic threshold tuning based on historical patterns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Reinforcement Learning:</w:t>
      </w:r>
      <w:r w:rsidRPr="00C877B1">
        <w:rPr>
          <w:rFonts w:ascii="Times New Roman" w:hAnsi="Times New Roman" w:cs="Times New Roman"/>
          <w:color w:val="000000" w:themeColor="text1"/>
        </w:rPr>
        <w:t xml:space="preserve"> Extend framework to sequential decision-making contexts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Field Studies:</w:t>
      </w:r>
      <w:r w:rsidRPr="00C877B1">
        <w:rPr>
          <w:rFonts w:ascii="Times New Roman" w:hAnsi="Times New Roman" w:cs="Times New Roman"/>
          <w:color w:val="000000" w:themeColor="text1"/>
        </w:rPr>
        <w:t xml:space="preserve"> Real-world deployment validation in production environments</w:t>
      </w:r>
    </w:p>
    <w:p w:rsidR="00C877B1" w:rsidRPr="00C877B1" w:rsidRDefault="00C877B1" w:rsidP="00C877B1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Style w:val="Strong"/>
          <w:rFonts w:ascii="Times New Roman" w:hAnsi="Times New Roman" w:cs="Times New Roman"/>
          <w:color w:val="000000" w:themeColor="text1"/>
        </w:rPr>
        <w:t>Regulatory Mapping:</w:t>
      </w:r>
      <w:r w:rsidRPr="00C877B1">
        <w:rPr>
          <w:rFonts w:ascii="Times New Roman" w:hAnsi="Times New Roman" w:cs="Times New Roman"/>
          <w:color w:val="000000" w:themeColor="text1"/>
        </w:rPr>
        <w:t xml:space="preserve"> Explicit connections to GDPR, EU AI Act requirements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X. Conclusion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This paper presented RAIG-Java, a modular framework for operationalizing Responsible AI governance through runtime enforcement. By treating governance as a computational concern, RAIG-Java bridges the gap between high-level RAI principles and practical implementation.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Our evaluation demonstrated that runtime governance achieves 95% detection accuracy with only 15ms latency overhead. The framework successfully intercepts violations before harm occurs, escalates ambiguous cases for human review, and maintains comprehensive audit trails.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The modular architecture supports extensibility and adaptation as ethical standards and regulations evolve. By providing a concrete implementation blueprint, this work contributes a systems-oriented perspective to Responsible AI research, shifting governance from </w:t>
      </w:r>
      <w:r w:rsidRPr="00C877B1">
        <w:rPr>
          <w:color w:val="000000" w:themeColor="text1"/>
        </w:rPr>
        <w:lastRenderedPageBreak/>
        <w:t>aspirational guidelines to enforceable runtime mechanisms.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As AI deployment accelerates in high-stakes domains, frameworks like RAIG-Java will become essential infrastructure for ensuring trustworthy, accountable, and socially beneficial AI systems.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Code Availability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RAIG-Java implementation and evaluation materials available upon acceptance.</w:t>
      </w:r>
      <w:r w:rsidRPr="00C877B1">
        <w:rPr>
          <w:color w:val="000000" w:themeColor="text1"/>
        </w:rPr>
        <w:br/>
        <w:t>Planned License: Apache 2.0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Acknowledgments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We thank [Advisor Name] for guidance, and [University Name] for computational resources.</w:t>
      </w:r>
    </w:p>
    <w:p w:rsidR="00C877B1" w:rsidRPr="00C877B1" w:rsidRDefault="00C877B1" w:rsidP="00C877B1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C877B1">
        <w:rPr>
          <w:rFonts w:ascii="Times New Roman" w:hAnsi="Times New Roman" w:cs="Times New Roman"/>
          <w:color w:val="000000" w:themeColor="text1"/>
        </w:rPr>
        <w:t>References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[1] S. </w:t>
      </w:r>
      <w:proofErr w:type="spellStart"/>
      <w:r w:rsidRPr="00C877B1">
        <w:rPr>
          <w:color w:val="000000" w:themeColor="text1"/>
        </w:rPr>
        <w:t>Barocas</w:t>
      </w:r>
      <w:proofErr w:type="spellEnd"/>
      <w:r w:rsidRPr="00C877B1">
        <w:rPr>
          <w:color w:val="000000" w:themeColor="text1"/>
        </w:rPr>
        <w:t xml:space="preserve"> and A. D. </w:t>
      </w:r>
      <w:proofErr w:type="spellStart"/>
      <w:r w:rsidRPr="00C877B1">
        <w:rPr>
          <w:color w:val="000000" w:themeColor="text1"/>
        </w:rPr>
        <w:t>Selbst</w:t>
      </w:r>
      <w:proofErr w:type="spellEnd"/>
      <w:r w:rsidRPr="00C877B1">
        <w:rPr>
          <w:color w:val="000000" w:themeColor="text1"/>
        </w:rPr>
        <w:t>, "Big data's disparate impact," California Law Review, vol. 104, pp. 671-732, 2016.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[2] C. O'Neil, Weapons of Math Destruction. Crown, 2016.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[3] J. </w:t>
      </w:r>
      <w:proofErr w:type="spellStart"/>
      <w:r w:rsidRPr="00C877B1">
        <w:rPr>
          <w:color w:val="000000" w:themeColor="text1"/>
        </w:rPr>
        <w:t>Angwin</w:t>
      </w:r>
      <w:proofErr w:type="spellEnd"/>
      <w:r w:rsidRPr="00C877B1">
        <w:rPr>
          <w:color w:val="000000" w:themeColor="text1"/>
        </w:rPr>
        <w:t xml:space="preserve"> et al., "Machine bias," </w:t>
      </w:r>
      <w:proofErr w:type="spellStart"/>
      <w:r w:rsidRPr="00C877B1">
        <w:rPr>
          <w:color w:val="000000" w:themeColor="text1"/>
        </w:rPr>
        <w:t>ProPublica</w:t>
      </w:r>
      <w:proofErr w:type="spellEnd"/>
      <w:r w:rsidRPr="00C877B1">
        <w:rPr>
          <w:color w:val="000000" w:themeColor="text1"/>
        </w:rPr>
        <w:t>, May 2016.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[4] E. </w:t>
      </w:r>
      <w:proofErr w:type="spellStart"/>
      <w:r w:rsidRPr="00C877B1">
        <w:rPr>
          <w:color w:val="000000" w:themeColor="text1"/>
        </w:rPr>
        <w:t>Papagiannidis</w:t>
      </w:r>
      <w:proofErr w:type="spellEnd"/>
      <w:r w:rsidRPr="00C877B1">
        <w:rPr>
          <w:color w:val="000000" w:themeColor="text1"/>
        </w:rPr>
        <w:t xml:space="preserve">, P. </w:t>
      </w:r>
      <w:proofErr w:type="spellStart"/>
      <w:r w:rsidRPr="00C877B1">
        <w:rPr>
          <w:color w:val="000000" w:themeColor="text1"/>
        </w:rPr>
        <w:t>Mikalef</w:t>
      </w:r>
      <w:proofErr w:type="spellEnd"/>
      <w:r w:rsidRPr="00C877B1">
        <w:rPr>
          <w:color w:val="000000" w:themeColor="text1"/>
        </w:rPr>
        <w:t xml:space="preserve">, and K. </w:t>
      </w:r>
      <w:proofErr w:type="spellStart"/>
      <w:r w:rsidRPr="00C877B1">
        <w:rPr>
          <w:color w:val="000000" w:themeColor="text1"/>
        </w:rPr>
        <w:t>Conboy</w:t>
      </w:r>
      <w:proofErr w:type="spellEnd"/>
      <w:r w:rsidRPr="00C877B1">
        <w:rPr>
          <w:color w:val="000000" w:themeColor="text1"/>
        </w:rPr>
        <w:t>, "Responsible artificial intelligence governance," Journal of Strategic Information Systems, vol. 34, 2025.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[5] European Commission, "Ethics guidelines for trustworthy AI,"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[6] A. </w:t>
      </w:r>
      <w:proofErr w:type="spellStart"/>
      <w:r w:rsidRPr="00C877B1">
        <w:rPr>
          <w:color w:val="000000" w:themeColor="text1"/>
        </w:rPr>
        <w:t>Jobin</w:t>
      </w:r>
      <w:proofErr w:type="spellEnd"/>
      <w:r w:rsidRPr="00C877B1">
        <w:rPr>
          <w:color w:val="000000" w:themeColor="text1"/>
        </w:rPr>
        <w:t xml:space="preserve">, M. </w:t>
      </w:r>
      <w:proofErr w:type="spellStart"/>
      <w:r w:rsidRPr="00C877B1">
        <w:rPr>
          <w:color w:val="000000" w:themeColor="text1"/>
        </w:rPr>
        <w:t>Ienca</w:t>
      </w:r>
      <w:proofErr w:type="spellEnd"/>
      <w:r w:rsidRPr="00C877B1">
        <w:rPr>
          <w:color w:val="000000" w:themeColor="text1"/>
        </w:rPr>
        <w:t xml:space="preserve">, and E. </w:t>
      </w:r>
      <w:proofErr w:type="spellStart"/>
      <w:r w:rsidRPr="00C877B1">
        <w:rPr>
          <w:color w:val="000000" w:themeColor="text1"/>
        </w:rPr>
        <w:t>Vayena</w:t>
      </w:r>
      <w:proofErr w:type="spellEnd"/>
      <w:r w:rsidRPr="00C877B1">
        <w:rPr>
          <w:color w:val="000000" w:themeColor="text1"/>
        </w:rPr>
        <w:t>, "The global landscape of AI ethics guidelines," Nature Machine Intelligence, vol. 1, pp. 389-399,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[7] B. </w:t>
      </w:r>
      <w:proofErr w:type="spellStart"/>
      <w:r w:rsidRPr="00C877B1">
        <w:rPr>
          <w:color w:val="000000" w:themeColor="text1"/>
        </w:rPr>
        <w:t>Mittelstadt</w:t>
      </w:r>
      <w:proofErr w:type="spellEnd"/>
      <w:r w:rsidRPr="00C877B1">
        <w:rPr>
          <w:color w:val="000000" w:themeColor="text1"/>
        </w:rPr>
        <w:t>, "Principles alone cannot guarantee ethical AI," Nature Machine Intelligence, vol. 1, pp. 501-507,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[8] A. </w:t>
      </w:r>
      <w:proofErr w:type="spellStart"/>
      <w:r w:rsidRPr="00C877B1">
        <w:rPr>
          <w:color w:val="000000" w:themeColor="text1"/>
        </w:rPr>
        <w:t>Selbst</w:t>
      </w:r>
      <w:proofErr w:type="spellEnd"/>
      <w:r w:rsidRPr="00C877B1">
        <w:rPr>
          <w:color w:val="000000" w:themeColor="text1"/>
        </w:rPr>
        <w:t xml:space="preserve"> et al., "Fairness and abstraction in sociotechnical systems," in Proc. ACM FAT*,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[9] D. </w:t>
      </w:r>
      <w:proofErr w:type="spellStart"/>
      <w:r w:rsidRPr="00C877B1">
        <w:rPr>
          <w:color w:val="000000" w:themeColor="text1"/>
        </w:rPr>
        <w:t>Sculley</w:t>
      </w:r>
      <w:proofErr w:type="spellEnd"/>
      <w:r w:rsidRPr="00C877B1">
        <w:rPr>
          <w:color w:val="000000" w:themeColor="text1"/>
        </w:rPr>
        <w:t xml:space="preserve"> et al., "Hidden technical debt in machine learning systems," in Proc. NIPS, 2015.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[10] I. D. </w:t>
      </w:r>
      <w:proofErr w:type="spellStart"/>
      <w:r w:rsidRPr="00C877B1">
        <w:rPr>
          <w:color w:val="000000" w:themeColor="text1"/>
        </w:rPr>
        <w:t>Raji</w:t>
      </w:r>
      <w:proofErr w:type="spellEnd"/>
      <w:r w:rsidRPr="00C877B1">
        <w:rPr>
          <w:color w:val="000000" w:themeColor="text1"/>
        </w:rPr>
        <w:t xml:space="preserve"> et al., "Closing the AI accountability gap," in Proc. ACM FAT*, 2020.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[11] IEEE, "Ethically aligned design," IEEE Standards Association,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lastRenderedPageBreak/>
        <w:t>[12] NIST, "AI Risk Management Framework," U.S. Dept. of Commerce, 2023.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[13] R. K. E. Bellamy et al., "AI Fairness 360," IBM Journal of Research and Development, vol. 63, no. 4/5, 2019.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[14] H. Bird et al., "</w:t>
      </w:r>
      <w:proofErr w:type="spellStart"/>
      <w:r w:rsidRPr="00C877B1">
        <w:rPr>
          <w:color w:val="000000" w:themeColor="text1"/>
        </w:rPr>
        <w:t>Fairlearn</w:t>
      </w:r>
      <w:proofErr w:type="spellEnd"/>
      <w:r w:rsidRPr="00C877B1">
        <w:rPr>
          <w:color w:val="000000" w:themeColor="text1"/>
        </w:rPr>
        <w:t>: A toolkit for assessing fairness in AI," Microsoft Research, 2020.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[15] M. B. Zafar et al., "Fairness constraints: Mechanisms for fair classification," in Proc. AISTATS, 2017.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[16] M. T. Ribeiro et al., "'Why should I trust you?'" in Proc. ACM SIGKDD, 2016.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[17] S. M. Lundberg and S.-I. Lee, "A unified approach to interpreting model predictions," in Proc. NIPS, 2017.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[18] J. Wexler et al., "The What-If Tool," IEEE TVCG, vol. 26, no. 1, 2020.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 xml:space="preserve">[19] M. </w:t>
      </w:r>
      <w:proofErr w:type="spellStart"/>
      <w:r w:rsidRPr="00C877B1">
        <w:rPr>
          <w:color w:val="000000" w:themeColor="text1"/>
        </w:rPr>
        <w:t>Zaharia</w:t>
      </w:r>
      <w:proofErr w:type="spellEnd"/>
      <w:r w:rsidRPr="00C877B1">
        <w:rPr>
          <w:color w:val="000000" w:themeColor="text1"/>
        </w:rPr>
        <w:t xml:space="preserve"> et al., "Accelerating the ML lifecycle with </w:t>
      </w:r>
      <w:proofErr w:type="spellStart"/>
      <w:r w:rsidRPr="00C877B1">
        <w:rPr>
          <w:color w:val="000000" w:themeColor="text1"/>
        </w:rPr>
        <w:t>MLflow</w:t>
      </w:r>
      <w:proofErr w:type="spellEnd"/>
      <w:r w:rsidRPr="00C877B1">
        <w:rPr>
          <w:color w:val="000000" w:themeColor="text1"/>
        </w:rPr>
        <w:t>," IEEE Data Engineering Bulletin, 2018.</w:t>
      </w:r>
    </w:p>
    <w:p w:rsidR="00C877B1" w:rsidRPr="00C877B1" w:rsidRDefault="00C877B1" w:rsidP="00C877B1">
      <w:pPr>
        <w:pStyle w:val="NormalWeb"/>
        <w:spacing w:line="360" w:lineRule="auto"/>
        <w:rPr>
          <w:color w:val="000000" w:themeColor="text1"/>
        </w:rPr>
      </w:pPr>
      <w:r w:rsidRPr="00C877B1">
        <w:rPr>
          <w:color w:val="000000" w:themeColor="text1"/>
        </w:rPr>
        <w:t>[20] M. Mitchell et al., "Model cards for model reporting," in Proc. ACM FAT*, 2019.</w:t>
      </w:r>
    </w:p>
    <w:p w:rsidR="00BD35A9" w:rsidRPr="00C877B1" w:rsidRDefault="00BD35A9" w:rsidP="00C877B1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sectPr w:rsidR="00BD35A9" w:rsidRPr="00C877B1" w:rsidSect="00C877B1">
      <w:footnotePr>
        <w:numRestart w:val="eachSect"/>
      </w:footnotePr>
      <w:pgSz w:w="12240" w:h="15840"/>
      <w:pgMar w:top="1440" w:right="1440" w:bottom="1440" w:left="1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428ECC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04AF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E5728C"/>
    <w:multiLevelType w:val="multilevel"/>
    <w:tmpl w:val="74C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34F2F"/>
    <w:multiLevelType w:val="multilevel"/>
    <w:tmpl w:val="0652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43934"/>
    <w:multiLevelType w:val="multilevel"/>
    <w:tmpl w:val="8F1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018"/>
    <w:multiLevelType w:val="multilevel"/>
    <w:tmpl w:val="385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11397"/>
    <w:multiLevelType w:val="multilevel"/>
    <w:tmpl w:val="7FD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41100"/>
    <w:multiLevelType w:val="multilevel"/>
    <w:tmpl w:val="A712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9349F9"/>
    <w:multiLevelType w:val="multilevel"/>
    <w:tmpl w:val="4CF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E3C0C"/>
    <w:multiLevelType w:val="multilevel"/>
    <w:tmpl w:val="C46A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7406D"/>
    <w:multiLevelType w:val="multilevel"/>
    <w:tmpl w:val="B76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530D7"/>
    <w:multiLevelType w:val="multilevel"/>
    <w:tmpl w:val="DB4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36059"/>
    <w:multiLevelType w:val="multilevel"/>
    <w:tmpl w:val="017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47C4F"/>
    <w:multiLevelType w:val="multilevel"/>
    <w:tmpl w:val="9010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14359"/>
    <w:multiLevelType w:val="multilevel"/>
    <w:tmpl w:val="CB5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D752A"/>
    <w:multiLevelType w:val="multilevel"/>
    <w:tmpl w:val="6070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BB35A8"/>
    <w:multiLevelType w:val="multilevel"/>
    <w:tmpl w:val="63B4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B7E3D"/>
    <w:multiLevelType w:val="multilevel"/>
    <w:tmpl w:val="5C74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34EC8"/>
    <w:multiLevelType w:val="multilevel"/>
    <w:tmpl w:val="2304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B036EA"/>
    <w:multiLevelType w:val="multilevel"/>
    <w:tmpl w:val="E0FA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F6DD8"/>
    <w:multiLevelType w:val="multilevel"/>
    <w:tmpl w:val="928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C7AEF"/>
    <w:multiLevelType w:val="multilevel"/>
    <w:tmpl w:val="E5C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0528F"/>
    <w:multiLevelType w:val="multilevel"/>
    <w:tmpl w:val="E28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66433"/>
    <w:multiLevelType w:val="multilevel"/>
    <w:tmpl w:val="900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87698"/>
    <w:multiLevelType w:val="multilevel"/>
    <w:tmpl w:val="D572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E223FE"/>
    <w:multiLevelType w:val="multilevel"/>
    <w:tmpl w:val="197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13D9A"/>
    <w:multiLevelType w:val="multilevel"/>
    <w:tmpl w:val="172076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035F1F"/>
    <w:multiLevelType w:val="multilevel"/>
    <w:tmpl w:val="F22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713A7"/>
    <w:multiLevelType w:val="multilevel"/>
    <w:tmpl w:val="28905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A724A"/>
    <w:multiLevelType w:val="multilevel"/>
    <w:tmpl w:val="A2668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F879C1"/>
    <w:multiLevelType w:val="multilevel"/>
    <w:tmpl w:val="67F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75A89"/>
    <w:multiLevelType w:val="multilevel"/>
    <w:tmpl w:val="225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1373F"/>
    <w:multiLevelType w:val="multilevel"/>
    <w:tmpl w:val="6508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002CDC"/>
    <w:multiLevelType w:val="multilevel"/>
    <w:tmpl w:val="5E3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73293"/>
    <w:multiLevelType w:val="multilevel"/>
    <w:tmpl w:val="C86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76"/>
    <w:multiLevelType w:val="multilevel"/>
    <w:tmpl w:val="493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80B5D"/>
    <w:multiLevelType w:val="multilevel"/>
    <w:tmpl w:val="32EC07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A53759"/>
    <w:multiLevelType w:val="multilevel"/>
    <w:tmpl w:val="307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30E1D"/>
    <w:multiLevelType w:val="multilevel"/>
    <w:tmpl w:val="66E2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504D7A"/>
    <w:multiLevelType w:val="multilevel"/>
    <w:tmpl w:val="FF0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462B2"/>
    <w:multiLevelType w:val="multilevel"/>
    <w:tmpl w:val="41AE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2"/>
  </w:num>
  <w:num w:numId="4">
    <w:abstractNumId w:val="17"/>
  </w:num>
  <w:num w:numId="5">
    <w:abstractNumId w:val="4"/>
  </w:num>
  <w:num w:numId="6">
    <w:abstractNumId w:val="14"/>
  </w:num>
  <w:num w:numId="7">
    <w:abstractNumId w:val="7"/>
  </w:num>
  <w:num w:numId="8">
    <w:abstractNumId w:val="5"/>
  </w:num>
  <w:num w:numId="9">
    <w:abstractNumId w:val="8"/>
  </w:num>
  <w:num w:numId="10">
    <w:abstractNumId w:val="16"/>
  </w:num>
  <w:num w:numId="11">
    <w:abstractNumId w:val="18"/>
  </w:num>
  <w:num w:numId="12">
    <w:abstractNumId w:val="29"/>
  </w:num>
  <w:num w:numId="13">
    <w:abstractNumId w:val="36"/>
  </w:num>
  <w:num w:numId="14">
    <w:abstractNumId w:val="26"/>
  </w:num>
  <w:num w:numId="15">
    <w:abstractNumId w:val="3"/>
  </w:num>
  <w:num w:numId="16">
    <w:abstractNumId w:val="39"/>
  </w:num>
  <w:num w:numId="17">
    <w:abstractNumId w:val="40"/>
  </w:num>
  <w:num w:numId="18">
    <w:abstractNumId w:val="24"/>
  </w:num>
  <w:num w:numId="19">
    <w:abstractNumId w:val="38"/>
  </w:num>
  <w:num w:numId="20">
    <w:abstractNumId w:val="13"/>
  </w:num>
  <w:num w:numId="21">
    <w:abstractNumId w:val="23"/>
  </w:num>
  <w:num w:numId="22">
    <w:abstractNumId w:val="19"/>
  </w:num>
  <w:num w:numId="23">
    <w:abstractNumId w:val="12"/>
  </w:num>
  <w:num w:numId="24">
    <w:abstractNumId w:val="37"/>
  </w:num>
  <w:num w:numId="25">
    <w:abstractNumId w:val="2"/>
  </w:num>
  <w:num w:numId="26">
    <w:abstractNumId w:val="10"/>
  </w:num>
  <w:num w:numId="27">
    <w:abstractNumId w:val="33"/>
  </w:num>
  <w:num w:numId="28">
    <w:abstractNumId w:val="30"/>
  </w:num>
  <w:num w:numId="29">
    <w:abstractNumId w:val="27"/>
  </w:num>
  <w:num w:numId="30">
    <w:abstractNumId w:val="15"/>
  </w:num>
  <w:num w:numId="31">
    <w:abstractNumId w:val="28"/>
  </w:num>
  <w:num w:numId="32">
    <w:abstractNumId w:val="25"/>
  </w:num>
  <w:num w:numId="33">
    <w:abstractNumId w:val="22"/>
  </w:num>
  <w:num w:numId="34">
    <w:abstractNumId w:val="20"/>
  </w:num>
  <w:num w:numId="35">
    <w:abstractNumId w:val="6"/>
  </w:num>
  <w:num w:numId="36">
    <w:abstractNumId w:val="11"/>
  </w:num>
  <w:num w:numId="37">
    <w:abstractNumId w:val="35"/>
  </w:num>
  <w:num w:numId="38">
    <w:abstractNumId w:val="34"/>
  </w:num>
  <w:num w:numId="39">
    <w:abstractNumId w:val="31"/>
  </w:num>
  <w:num w:numId="40">
    <w:abstractNumId w:val="21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D35A9"/>
    <w:rsid w:val="001C2000"/>
    <w:rsid w:val="002E1936"/>
    <w:rsid w:val="007D5871"/>
    <w:rsid w:val="00AE10EF"/>
    <w:rsid w:val="00BD35A9"/>
    <w:rsid w:val="00C877B1"/>
    <w:rsid w:val="00CA28FC"/>
    <w:rsid w:val="00F0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7E4175-FF55-4E4E-9DAC-40F31940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E10E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AE10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10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0EF"/>
    <w:rPr>
      <w:rFonts w:ascii="Courier New" w:eastAsia="Times New Roman" w:hAnsi="Courier New" w:cs="Courier New"/>
      <w:sz w:val="20"/>
      <w:szCs w:val="20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2562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Sunithashri</cp:lastModifiedBy>
  <cp:revision>8</cp:revision>
  <dcterms:created xsi:type="dcterms:W3CDTF">2026-01-14T18:39:00Z</dcterms:created>
  <dcterms:modified xsi:type="dcterms:W3CDTF">2026-01-14T19:34:00Z</dcterms:modified>
</cp:coreProperties>
</file>