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00"/>
        <w:jc w:val="center"/>
      </w:pPr>
      <w:r>
        <w:rPr>
          <w:rFonts w:ascii="David Libre" w:cs="David Libre" w:eastAsia="David Libre" w:hAnsi="David Libre"/>
          <w:b/>
          <w:bCs/>
          <w:sz w:val="36"/>
          <w:szCs w:val="36"/>
          <w:rtl/>
        </w:rPr>
        <w:t xml:space="preserve">טיוטה: ערר על החלטה — פיצוי מלחמה מסלול אדום — החלטת רשות המסים — מסלול אדום</w:t>
      </w:r>
    </w:p>
    <w:p>
      <w:pPr>
        <w:bidi/>
        <w:spacing w:after="200"/>
        <w:jc w:val="center"/>
      </w:pPr>
      <w:r>
        <w:rPr>
          <w:rFonts w:ascii="David Libre" w:cs="David Libre" w:eastAsia="David Libre" w:hAnsi="David Libre"/>
          <w:color w:val="64748B"/>
          <w:sz w:val="20"/>
          <w:szCs w:val="20"/>
          <w:rtl/>
        </w:rPr>
        <w:t xml:space="preserve">תאריך: 3 באפריל 2026</w:t>
      </w:r>
    </w:p>
    <w:p>
      <w:pPr>
        <w:pBdr>
          <w:bottom w:val="single" w:color="C9A84C" w:sz="6"/>
        </w:pBdr>
        <w:spacing w:after="200"/>
      </w:pPr>
    </w:p>
    <w:p>
      <w:pPr>
        <w:bidi/>
        <w:spacing w:after="80"/>
      </w:pPr>
      <w:r>
        <w:rPr>
          <w:rFonts w:ascii="Calibri" w:cs="Calibri" w:eastAsia="Calibri" w:hAnsi="Calibri"/>
          <w:b w:val="false"/>
          <w:bCs w:val="false"/>
          <w:sz w:val="21"/>
          <w:szCs w:val="21"/>
          <w:rtl w:val="false"/>
        </w:rPr>
        <w:t xml:space="preserve">*** </w:t>
      </w:r>
      <w:r>
        <w:rPr>
          <w:rFonts w:ascii="David Libre" w:cs="David Libre" w:eastAsia="David Libre" w:hAnsi="David Libre"/>
          <w:b w:val="false"/>
          <w:bCs w:val="false"/>
          <w:sz w:val="21"/>
          <w:szCs w:val="21"/>
          <w:rtl/>
        </w:rPr>
        <w:t xml:space="preserve">טיוטה בלבד — לא מאושר להגשה </w:t>
      </w:r>
      <w:r>
        <w:rPr>
          <w:rFonts w:ascii="Calibri" w:cs="Calibri" w:eastAsia="Calibri" w:hAnsi="Calibri"/>
          <w:b w:val="false"/>
          <w:bCs w:val="false"/>
          <w:sz w:val="21"/>
          <w:szCs w:val="21"/>
          <w:rtl w:val="false"/>
        </w:rPr>
        <w:t xml:space="preserve">***</w:t>
      </w:r>
    </w:p>
    <w:p>
      <w:pPr>
        <w:bidi/>
        <w:spacing w:after="80"/>
      </w:pPr>
      <w:r>
        <w:rPr>
          <w:rFonts w:ascii="David Libre" w:cs="David Libre" w:eastAsia="David Libre" w:hAnsi="David Libre"/>
          <w:b w:val="false"/>
          <w:bCs w:val="false"/>
          <w:sz w:val="21"/>
          <w:szCs w:val="21"/>
          <w:rtl/>
        </w:rPr>
        <w:t xml:space="preserve">────────────────────────────</w:t>
      </w:r>
    </w:p>
    <w:p>
      <w:pPr>
        <w:bidi/>
        <w:spacing w:after="80"/>
      </w:pPr>
      <w:r>
        <w:rPr>
          <w:rFonts w:ascii="Calibri" w:cs="Calibri" w:eastAsia="Calibri" w:hAnsi="Calibri"/>
          <w:b w:val="false"/>
          <w:bCs w:val="false"/>
          <w:sz w:val="21"/>
          <w:szCs w:val="21"/>
          <w:rtl w:val="false"/>
        </w:rPr>
        <w:t xml:space="preserve"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pPr>
        <w:spacing w:before="300"/>
      </w:pPr>
      <w:r>
        <w:t xml:space="preserve"/>
      </w:r>
    </w:p>
    <w:tbl>
      <w:tblPr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</w:tblGrid>
      <w:tr>
        <w:tc>
          <w:tcPr>
            <w:tcW w:type="pct" w:w="100%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pBdr>
                <w:bottom w:val="dashed" w:color="374151" w:sz="1"/>
              </w:pBdr>
              <w:spacing w:after="0"/>
              <w:jc w:val="center"/>
            </w:pPr>
            <w:r>
              <w:rPr>
                <w:rFonts w:ascii="David Libre" w:cs="David Libre" w:eastAsia="David Libre" w:hAnsi="David Libre"/>
                <w:sz w:val="20"/>
                <w:szCs w:val="20"/>
              </w:rPr>
              <w:t xml:space="preserve">                              </w:t>
            </w:r>
          </w:p>
          <w:p>
            <w:pPr>
              <w:bidi/>
              <w:spacing w:after="0"/>
              <w:jc w:val="center"/>
            </w:pPr>
            <w:r>
              <w:rPr>
                <w:rFonts w:ascii="David Libre" w:cs="David Libre" w:eastAsia="David Libre" w:hAnsi="David Libre"/>
                <w:b/>
                <w:bCs/>
                <w:sz w:val="20"/>
                <w:szCs w:val="20"/>
                <w:rtl/>
              </w:rPr>
              <w:t xml:space="preserve">אלדד ברגר</w:t>
            </w:r>
          </w:p>
          <w:p>
            <w:pPr>
              <w:bidi/>
              <w:jc w:val="center"/>
            </w:pPr>
            <w:r>
              <w:rPr>
                <w:rFonts w:ascii="Calibri" w:cs="Calibri" w:eastAsia="Calibri" w:hAnsi="Calibri"/>
                <w:color w:val="64748B"/>
                <w:sz w:val="16"/>
                <w:szCs w:val="16"/>
              </w:rPr>
              <w:t xml:space="preserve">רו"ח — מייצג מורשה (בטיוטה)</w:t>
            </w:r>
          </w:p>
        </w:tc>
      </w:tr>
    </w:tbl>
    <w:sectPr>
      <w:headerReference w:type="default" r:id="rId7"/>
      <w:footerReference w:type="default" r:id="rId8"/>
      <w:type w:val="continuous"/>
      <w:pgSz w:w="11906" w:h="16838" w:orient="portrait"/>
      <w:pgMar w:top="1000" w:right="1200" w:bottom="1200" w:left="1200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2"/>
      </w:pBdr>
      <w:spacing w:before="100"/>
    </w:pPr>
  </w:p>
  <w:p>
    <w:pPr>
      <w:bidi/>
      <w:jc w:val="center"/>
    </w:pPr>
    <w:r>
      <w:rPr>
        <w:rFonts w:ascii="David Libre" w:cs="David Libre" w:eastAsia="David Libre" w:hAnsi="David Libre"/>
        <w:color w:val="94A3B8"/>
        <w:sz w:val="14"/>
        <w:szCs w:val="14"/>
        <w:rtl/>
      </w:rPr>
      <w:t xml:space="preserve">סניף ראשל"צ | מאירוביץ 55 | טל': 03-9661234 | </w:t>
    </w:r>
    <w:r>
      <w:rPr>
        <w:rFonts w:ascii="Calibri" w:cs="Calibri" w:eastAsia="Calibri" w:hAnsi="Calibri"/>
        <w:color w:val="5B7FA5"/>
        <w:sz w:val="14"/>
        <w:szCs w:val="14"/>
      </w:rPr>
      <w:t xml:space="preserve">eldad@robium.net</w:t>
    </w:r>
  </w:p>
  <w:p>
    <w:pPr>
      <w:bidi/>
      <w:jc w:val="center"/>
    </w:pPr>
    <w:r>
      <w:rPr>
        <w:rFonts w:ascii="David Libre" w:cs="David Libre" w:eastAsia="David Libre" w:hAnsi="David Libre"/>
        <w:color w:val="94A3B8"/>
        <w:sz w:val="14"/>
        <w:szCs w:val="14"/>
        <w:rtl/>
      </w:rPr>
      <w:t xml:space="preserve">3 באפריל 2026 | עמוד </w:t>
    </w:r>
    <w:r>
      <w:rPr>
        <w:rFonts w:ascii="Calibri" w:cs="Calibri" w:eastAsia="Calibri" w:hAnsi="Calibri"/>
        <w:color w:val="94A3B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bidi/>
      <w:spacing w:after="40"/>
      <w:jc w:val="center"/>
    </w:pPr>
    <w:r>
      <w:rPr>
        <w:rFonts w:ascii="David Libre" w:cs="David Libre" w:eastAsia="David Libre" w:hAnsi="David Libre"/>
        <w:b/>
        <w:bCs/>
        <w:color w:val="1E3A5F"/>
        <w:sz w:val="20"/>
        <w:szCs w:val="20"/>
        <w:rtl/>
      </w:rPr>
      <w:t xml:space="preserve">ניהול דוד אלדד רו"ח</w:t>
    </w:r>
    <w:r>
      <w:rPr>
        <w:rFonts w:ascii="Calibri" w:cs="Calibri" w:eastAsia="Calibri" w:hAnsi="Calibri"/>
        <w:color w:val="5B7FA5"/>
        <w:sz w:val="16"/>
        <w:szCs w:val="16"/>
      </w:rPr>
      <w:t xml:space="preserve">  |  DAVID ELDAD CPA MANAGEMENT</w:t>
    </w:r>
  </w:p>
  <w:p>
    <w:pPr>
      <w:pBdr>
        <w:bottom w:val="single" w:color="C9A84C" w:sz="6"/>
      </w:pBdr>
      <w:spacing w:after="10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avid Libre" w:cs="David Libre" w:eastAsia="David Libre" w:hAnsi="David Libre"/>
        <w:sz w:val="22"/>
        <w:szCs w:val="22"/>
        <w:rtl/>
      </w:rPr>
    </w:rPrDefault>
    <w:pPrDefault>
      <w:pPr>
        <w:jc w:val="righ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2026-04-03T16:09:50.905Z</dcterms:created>
  <dcterms:modified xsi:type="dcterms:W3CDTF">2026-04-03T16:09:50.905Z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