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David Libre" w:cs="David Libre" w:eastAsia="David Libre" w:hAnsi="David Libre"/>
          <w:b/>
          <w:bCs/>
          <w:sz w:val="24"/>
          <w:szCs w:val="24"/>
          <w:rtl/>
        </w:rPr>
        <w:t xml:space="preserve">לכבוד</w:t>
      </w:r>
    </w:p>
    <w:p>
      <w:pPr>
        <w:bidi/>
        <w:spacing w:after="40"/>
        <w:jc w:val="right"/>
      </w:pPr>
      <w:r>
        <w:rPr>
          <w:rFonts w:ascii="David Libre" w:cs="David Libre" w:eastAsia="David Libre" w:hAnsi="David Libre"/>
          <w:b/>
          <w:bCs/>
          <w:sz w:val="24"/>
          <w:szCs w:val="24"/>
          <w:rtl/>
        </w:rPr>
        <w:t xml:space="preserve">ועדת הערר</w:t>
      </w:r>
    </w:p>
    <w:p>
      <w:pPr>
        <w:bidi/>
        <w:spacing w:after="40"/>
        <w:jc w:val="right"/>
      </w:pPr>
      <w:r>
        <w:rPr>
          <w:rFonts w:ascii="David Libre" w:cs="David Libre" w:eastAsia="David Libre" w:hAnsi="David Libre"/>
          <w:b/>
          <w:bCs/>
          <w:sz w:val="24"/>
          <w:szCs w:val="24"/>
          <w:rtl/>
        </w:rPr>
        <w:t xml:space="preserve">קרן הפיצויים — מס רכוש וקרן פיצויים</w:t>
      </w:r>
    </w:p>
    <w:p>
      <w:pPr>
        <w:bidi/>
        <w:spacing w:after="40"/>
        <w:jc w:val="right"/>
      </w:pPr>
      <w:r>
        <w:rPr>
          <w:rFonts w:ascii="David Libre" w:cs="David Libre" w:eastAsia="David Libre" w:hAnsi="David Libre"/>
          <w:b/>
          <w:bCs/>
          <w:sz w:val="24"/>
          <w:szCs w:val="24"/>
          <w:rtl/>
        </w:rPr>
        <w:t xml:space="preserve">רשות המסים בישראל</w:t>
      </w:r>
    </w:p>
    <w:p>
      <w:pPr>
        <w:spacing w:after="80"/>
      </w:pPr>
      <w:r>
        <w:t xml:space="preserve"/>
      </w:r>
    </w:p>
    <w:p>
      <w:pPr>
        <w:bidi/>
        <w:spacing w:after="40"/>
      </w:pPr>
      <w:r>
        <w:rPr>
          <w:rFonts w:ascii="David Libre" w:cs="David Libre" w:eastAsia="David Libre" w:hAnsi="David Libre"/>
          <w:b/>
          <w:bCs/>
          <w:sz w:val="22"/>
          <w:szCs w:val="22"/>
          <w:rtl/>
        </w:rPr>
        <w:t xml:space="preserve">הנדון: ערר על החלטת דחייה מיום 25.02.2026</w:t>
      </w:r>
    </w:p>
    <w:p>
      <w:pPr>
        <w:bidi/>
        <w:spacing w:after="40"/>
      </w:pPr>
      <w:r>
        <w:rPr>
          <w:rFonts w:ascii="David Libre" w:cs="David Libre" w:eastAsia="David Libre" w:hAnsi="David Libre"/>
          <w:b/>
          <w:bCs/>
          <w:sz w:val="22"/>
          <w:szCs w:val="22"/>
          <w:rtl/>
        </w:rPr>
        <w:t xml:space="preserve">מספר בקשה: 58749955</w:t>
      </w:r>
    </w:p>
    <w:p>
      <w:pPr>
        <w:bidi/>
        <w:spacing w:after="40"/>
      </w:pPr>
      <w:r>
        <w:rPr>
          <w:rFonts w:ascii="David Libre" w:cs="David Libre" w:eastAsia="David Libre" w:hAnsi="David Libre"/>
          <w:b/>
          <w:bCs/>
          <w:sz w:val="22"/>
          <w:szCs w:val="22"/>
          <w:rtl/>
        </w:rPr>
        <w:t xml:space="preserve">המערער: דימה רודניצקי</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א. פתח דבר</w:t>
      </w:r>
    </w:p>
    <w:p>
      <w:pPr>
        <w:spacing w:after="80"/>
      </w:pPr>
      <w:r>
        <w:t xml:space="preserve"/>
      </w:r>
    </w:p>
    <w:p>
      <w:pPr>
        <w:bidi/>
        <w:spacing w:after="80"/>
      </w:pPr>
      <w:r>
        <w:rPr>
          <w:rFonts w:ascii="David Libre" w:cs="David Libre" w:eastAsia="David Libre" w:hAnsi="David Libre"/>
          <w:b w:val="false"/>
          <w:bCs w:val="false"/>
          <w:sz w:val="21"/>
          <w:szCs w:val="21"/>
          <w:rtl/>
        </w:rPr>
        <w:t xml:space="preserve">מר דימה רודניצקי הוא מתווך נדל"ן מורשה הפועל מאשקלון. ביום 25.02.2026 נדחתה בקשתו לפיצוי במסלול האדום, על אף שמלוא המסמכים הנדרשים הוגשו במועד.</w:t>
      </w:r>
    </w:p>
    <w:p>
      <w:pPr>
        <w:spacing w:after="80"/>
      </w:pPr>
      <w:r>
        <w:t xml:space="preserve"/>
      </w:r>
    </w:p>
    <w:p>
      <w:pPr>
        <w:bidi/>
        <w:spacing w:after="80"/>
      </w:pPr>
      <w:r>
        <w:rPr>
          <w:rFonts w:ascii="David Libre" w:cs="David Libre" w:eastAsia="David Libre" w:hAnsi="David Libre"/>
          <w:b w:val="false"/>
          <w:bCs w:val="false"/>
          <w:sz w:val="21"/>
          <w:szCs w:val="21"/>
          <w:rtl/>
        </w:rPr>
        <w:t xml:space="preserve">הערר שלפניכם מבקש לבחון מחדש את ההחלטה, מהנימוקים הבאים:</w:t>
      </w:r>
    </w:p>
    <w:p>
      <w:pPr>
        <w:bidi/>
        <w:spacing w:after="80"/>
      </w:pPr>
      <w:r>
        <w:rPr>
          <w:rFonts w:ascii="David Libre" w:cs="David Libre" w:eastAsia="David Libre" w:hAnsi="David Libre"/>
          <w:b w:val="false"/>
          <w:bCs w:val="false"/>
          <w:sz w:val="21"/>
          <w:szCs w:val="21"/>
          <w:rtl/>
        </w:rPr>
        <w:t xml:space="preserve">1. ההחלטה התעלמה מראיות מהותיות שהוגשו לתיק.</w:t>
      </w:r>
    </w:p>
    <w:p>
      <w:pPr>
        <w:bidi/>
        <w:spacing w:after="80"/>
      </w:pPr>
      <w:r>
        <w:rPr>
          <w:rFonts w:ascii="David Libre" w:cs="David Libre" w:eastAsia="David Libre" w:hAnsi="David Libre"/>
          <w:b w:val="false"/>
          <w:bCs w:val="false"/>
          <w:sz w:val="21"/>
          <w:szCs w:val="21"/>
          <w:rtl/>
        </w:rPr>
        <w:t xml:space="preserve">2. ההחלטה נשענה על קביעה עובדתית שגויה — שעסקת רחוב התלמוד "יצאה לפועל" — בעוד שבפועל עסקת המכירה בוטלה, ומה שהתקיים הייתה השכרה נפרדת.</w:t>
      </w:r>
    </w:p>
    <w:p>
      <w:pPr>
        <w:bidi/>
        <w:spacing w:after="80"/>
      </w:pPr>
      <w:r>
        <w:rPr>
          <w:rFonts w:ascii="David Libre" w:cs="David Libre" w:eastAsia="David Libre" w:hAnsi="David Libre"/>
          <w:b w:val="false"/>
          <w:bCs w:val="false"/>
          <w:sz w:val="21"/>
          <w:szCs w:val="21"/>
          <w:rtl/>
        </w:rPr>
        <w:t xml:space="preserve">3. ההחלטה לא הפרידה בין שתי עסקאות עצמאיות ושונות.</w:t>
      </w:r>
    </w:p>
    <w:p>
      <w:pPr>
        <w:bidi/>
        <w:spacing w:after="80"/>
      </w:pPr>
      <w:r>
        <w:rPr>
          <w:rFonts w:ascii="David Libre" w:cs="David Libre" w:eastAsia="David Libre" w:hAnsi="David Libre"/>
          <w:b w:val="false"/>
          <w:bCs w:val="false"/>
          <w:sz w:val="21"/>
          <w:szCs w:val="21"/>
          <w:rtl/>
        </w:rPr>
        <w:t xml:space="preserve">4. ההליך פגום: ההחלטה הקדימה את עצמה, ונומקה ב"אי הגעה להסכמות" — שאינה עילת דחייה בדין.</w:t>
      </w:r>
    </w:p>
    <w:p>
      <w:pPr>
        <w:bidi/>
        <w:spacing w:after="80"/>
      </w:pPr>
      <w:r>
        <w:rPr>
          <w:rFonts w:ascii="David Libre" w:cs="David Libre" w:eastAsia="David Libre" w:hAnsi="David Libre"/>
          <w:b w:val="false"/>
          <w:bCs w:val="false"/>
          <w:sz w:val="21"/>
          <w:szCs w:val="21"/>
          <w:rtl/>
        </w:rPr>
        <w:t xml:space="preserve">5. הקשר הסיבתי בין המלחמה למניעת הפעילות העסקית של מתווך מקומי באשקלון — ישיר, מתועד, ואינו ניתן לעקיפה.</w:t>
      </w:r>
    </w:p>
    <w:p>
      <w:pPr>
        <w:spacing w:after="80"/>
      </w:pPr>
      <w:r>
        <w:t xml:space="preserve"/>
      </w:r>
    </w:p>
    <w:p>
      <w:pPr>
        <w:bidi/>
        <w:spacing w:after="80"/>
      </w:pPr>
      <w:r>
        <w:rPr>
          <w:rFonts w:ascii="David Libre" w:cs="David Libre" w:eastAsia="David Libre" w:hAnsi="David Libre"/>
          <w:b w:val="false"/>
          <w:bCs w:val="false"/>
          <w:sz w:val="21"/>
          <w:szCs w:val="21"/>
          <w:rtl/>
        </w:rPr>
        <w:t xml:space="preserve">סכום הנזק הנתבע: 77,080 ₪ כולל מע"מ.</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ב. המסגרת הנורמטיבית</w:t>
      </w:r>
    </w:p>
    <w:p>
      <w:pPr>
        <w:spacing w:after="80"/>
      </w:pPr>
      <w:r>
        <w:t xml:space="preserve"/>
      </w:r>
    </w:p>
    <w:p>
      <w:pPr>
        <w:bidi/>
        <w:spacing w:after="80"/>
      </w:pPr>
      <w:r>
        <w:rPr>
          <w:rFonts w:ascii="David Libre" w:cs="David Libre" w:eastAsia="David Libre" w:hAnsi="David Libre"/>
          <w:b w:val="false"/>
          <w:bCs w:val="false"/>
          <w:sz w:val="21"/>
          <w:szCs w:val="21"/>
          <w:rtl/>
        </w:rPr>
        <w:t xml:space="preserve">הערר מוגש מכוח חוק מס רכוש וקרן פיצויים, תשכ"א–1961, ותקנות מס רכוש וקרן פיצויים (תשלום פיצויים) (נזק מלחמה ונזק עקיף), התשע"ד–2014, כפי שתוקנו בעקבות מבצע "חרבות ברזל".</w:t>
      </w:r>
    </w:p>
    <w:p>
      <w:pPr>
        <w:spacing w:after="80"/>
      </w:pPr>
      <w:r>
        <w:t xml:space="preserve"/>
      </w:r>
    </w:p>
    <w:p>
      <w:pPr>
        <w:bidi/>
        <w:spacing w:after="80"/>
      </w:pPr>
      <w:r>
        <w:rPr>
          <w:rFonts w:ascii="David Libre" w:cs="David Libre" w:eastAsia="David Libre" w:hAnsi="David Libre"/>
          <w:b w:val="false"/>
          <w:bCs w:val="false"/>
          <w:sz w:val="21"/>
          <w:szCs w:val="21"/>
          <w:rtl/>
        </w:rPr>
        <w:t xml:space="preserve">המסלול האדום נועד לפצות עוסקים ביישובי ספר שנפגעו מהלחימה. תנאי הזכאות:</w:t>
      </w:r>
    </w:p>
    <w:p>
      <w:pPr>
        <w:bidi/>
        <w:spacing w:after="80"/>
      </w:pPr>
      <w:r>
        <w:rPr>
          <w:rFonts w:ascii="David Libre" w:cs="David Libre" w:eastAsia="David Libre" w:hAnsi="David Libre"/>
          <w:b w:val="false"/>
          <w:bCs w:val="false"/>
          <w:sz w:val="21"/>
          <w:szCs w:val="21"/>
          <w:rtl/>
        </w:rPr>
        <w:t xml:space="preserve">- תושבות או מיקום עסק ביישוב ספר מוכרז</w:t>
      </w:r>
    </w:p>
    <w:p>
      <w:pPr>
        <w:bidi/>
        <w:spacing w:after="80"/>
      </w:pPr>
      <w:r>
        <w:rPr>
          <w:rFonts w:ascii="David Libre" w:cs="David Libre" w:eastAsia="David Libre" w:hAnsi="David Libre"/>
          <w:b w:val="false"/>
          <w:bCs w:val="false"/>
          <w:sz w:val="21"/>
          <w:szCs w:val="21"/>
          <w:rtl/>
        </w:rPr>
        <w:t xml:space="preserve">- פעילות עסקית לפני פרוץ המלחמה</w:t>
      </w:r>
    </w:p>
    <w:p>
      <w:pPr>
        <w:bidi/>
        <w:spacing w:after="80"/>
      </w:pPr>
      <w:r>
        <w:rPr>
          <w:rFonts w:ascii="David Libre" w:cs="David Libre" w:eastAsia="David Libre" w:hAnsi="David Libre"/>
          <w:b w:val="false"/>
          <w:bCs w:val="false"/>
          <w:sz w:val="21"/>
          <w:szCs w:val="21"/>
          <w:rtl/>
        </w:rPr>
        <w:t xml:space="preserve">- נזק עקיף — ירידת הכנסות, אובדן עסקאות, או מניעת פעילות בשל הלחימה</w:t>
      </w:r>
    </w:p>
    <w:p>
      <w:pPr>
        <w:spacing w:after="80"/>
      </w:pPr>
      <w:r>
        <w:t xml:space="preserve"/>
      </w:r>
    </w:p>
    <w:p>
      <w:pPr>
        <w:bidi/>
        <w:spacing w:after="80"/>
      </w:pPr>
      <w:r>
        <w:rPr>
          <w:rFonts w:ascii="David Libre" w:cs="David Libre" w:eastAsia="David Libre" w:hAnsi="David Libre"/>
          <w:b w:val="false"/>
          <w:bCs w:val="false"/>
          <w:sz w:val="21"/>
          <w:szCs w:val="21"/>
          <w:rtl/>
        </w:rPr>
        <w:t xml:space="preserve">עיר אשקלון הוכרזה כיישוב ספר בתקופת מבצע "חרבות ברזל".</w:t>
      </w:r>
    </w:p>
    <w:p>
      <w:pPr>
        <w:spacing w:after="80"/>
      </w:pPr>
      <w:r>
        <w:t xml:space="preserve"/>
      </w:r>
    </w:p>
    <w:p>
      <w:pPr>
        <w:bidi/>
        <w:spacing w:after="80"/>
      </w:pPr>
      <w:r>
        <w:rPr>
          <w:rFonts w:ascii="David Libre" w:cs="David Libre" w:eastAsia="David Libre" w:hAnsi="David Libre"/>
          <w:b w:val="false"/>
          <w:bCs w:val="false"/>
          <w:sz w:val="21"/>
          <w:szCs w:val="21"/>
          <w:rtl/>
        </w:rPr>
        <w:t xml:space="preserve">לעניין הקשר הסיבתי — ההלכה הפסוקה קובעת כי המבחן הוא אובייקטיבי-כלכלי:</w:t>
      </w:r>
    </w:p>
    <w:p>
      <w:pPr>
        <w:bidi/>
        <w:spacing w:after="80"/>
      </w:pPr>
      <w:r>
        <w:rPr>
          <w:rFonts w:ascii="David Libre" w:cs="David Libre" w:eastAsia="David Libre" w:hAnsi="David Libre"/>
          <w:b w:val="false"/>
          <w:bCs w:val="false"/>
          <w:sz w:val="21"/>
          <w:szCs w:val="21"/>
          <w:rtl/>
        </w:rPr>
        <w:t xml:space="preserve">ע"א 749/87 מוסך המרכז בע"מ נ' צרפתי — יש לבחון את שאלת ביטול העסקאות בימי אבל במלחמה על פי מבחן "האדם הסביר" ולא לפסול עסקאות רק משום מניע פנימי או סיבה סובייקטיבית שללקוח הייתה בנוסף טרגדיה. המבחן הכלכלי גובר: אדם סביר אכן היה נמנע מקיום עסקת נדל"ן בעיר מופגזת תחת מניעה צבאית.</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ג. הרקע העובדתי</w:t>
      </w:r>
    </w:p>
    <w:p>
      <w:pPr>
        <w:spacing w:after="80"/>
      </w:pPr>
      <w:r>
        <w:t xml:space="preserve"/>
      </w:r>
    </w:p>
    <w:p>
      <w:pPr>
        <w:bidi/>
        <w:spacing w:after="80"/>
      </w:pPr>
      <w:r>
        <w:rPr>
          <w:rFonts w:ascii="David Libre" w:cs="David Libre" w:eastAsia="David Libre" w:hAnsi="David Libre"/>
          <w:b w:val="false"/>
          <w:bCs w:val="false"/>
          <w:sz w:val="21"/>
          <w:szCs w:val="21"/>
          <w:rtl/>
        </w:rPr>
        <w:t xml:space="preserve">מר דימה רודניצקי, תושב אשקלון, מתווך נדל"ן מורשה מאז 19.3.2014 (ותק של למעלה מ-12 שנה). משרדו ממוקם באשקלון.</w:t>
      </w:r>
    </w:p>
    <w:p>
      <w:pPr>
        <w:spacing w:after="80"/>
      </w:pPr>
      <w:r>
        <w:t xml:space="preserve"/>
      </w:r>
    </w:p>
    <w:p>
      <w:pPr>
        <w:bidi/>
        <w:spacing w:after="80"/>
      </w:pPr>
      <w:r>
        <w:rPr>
          <w:rFonts w:ascii="David Libre" w:cs="David Libre" w:eastAsia="David Libre" w:hAnsi="David Libre"/>
          <w:b w:val="false"/>
          <w:bCs w:val="false"/>
          <w:sz w:val="21"/>
          <w:szCs w:val="21"/>
          <w:rtl/>
        </w:rPr>
        <w:t xml:space="preserve">בשנת 2023, מר רודניצקי עבר משכיר לעצמאי. עסק התיווך נפתח בחודש ספטמבר 2023 — שבועות ספורים בלבד לפני פרוץ המלחמה. בחודש זה נוצרה פעילות עסקית רגילה, אשר תועדה בספר העסקאות מיום 21.9.2023 באמצעות חשבונית מס 1001 (מול הלקוח "אלכס תיווך"), פעילות המעידה על מהלך עסקים שוטף וחי ערב המלחמה.</w:t>
      </w:r>
    </w:p>
    <w:p>
      <w:pPr>
        <w:bidi/>
        <w:spacing w:after="80"/>
      </w:pPr>
      <w:r>
        <w:rPr>
          <w:rFonts w:ascii="David Libre" w:cs="David Libre" w:eastAsia="David Libre" w:hAnsi="David Libre"/>
          <w:b w:val="false"/>
          <w:bCs w:val="false"/>
          <w:sz w:val="21"/>
          <w:szCs w:val="21"/>
          <w:rtl/>
        </w:rPr>
        <w:t xml:space="preserve">בחודש העוקב פרצה המלחמה, ושתי עסקאות גדולות עליהן עמל המתווך — בוטלו לחלוטין:</w:t>
      </w:r>
    </w:p>
    <w:p>
      <w:pPr>
        <w:spacing w:after="80"/>
      </w:pPr>
      <w:r>
        <w:t xml:space="preserve"/>
      </w:r>
    </w:p>
    <w:p>
      <w:pPr>
        <w:bidi/>
        <w:spacing w:after="80"/>
      </w:pPr>
      <w:r>
        <w:rPr>
          <w:rFonts w:ascii="David Libre" w:cs="David Libre" w:eastAsia="David Libre" w:hAnsi="David Libre"/>
          <w:b w:val="false"/>
          <w:bCs w:val="false"/>
          <w:sz w:val="21"/>
          <w:szCs w:val="21"/>
          <w:rtl/>
        </w:rPr>
        <w:t xml:space="preserve">עסקה א' — רחוב התלמוד, אשקלון (עסקת מכירה)</w:t>
      </w:r>
    </w:p>
    <w:p>
      <w:pPr>
        <w:bidi/>
        <w:spacing w:after="80"/>
      </w:pPr>
      <w:r>
        <w:rPr>
          <w:rFonts w:ascii="David Libre" w:cs="David Libre" w:eastAsia="David Libre" w:hAnsi="David Libre"/>
          <w:b w:val="false"/>
          <w:bCs w:val="false"/>
          <w:sz w:val="21"/>
          <w:szCs w:val="21"/>
          <w:rtl/>
        </w:rPr>
        <w:t xml:space="preserve">מר רודניצקי ליווה והוביל עסקת מכירת נכס ברחוב התלמוד טרם המלחמה. העסקה התבטלה לאור פרוץ האירועים הביטחוניים באשקלון. העמלה הצפויה למתווך על ביצועה המלא עמדה על: 51,480 ₪ כולל מע"מ.</w:t>
      </w:r>
    </w:p>
    <w:p>
      <w:pPr>
        <w:bidi/>
        <w:spacing w:after="80"/>
      </w:pPr>
      <w:r>
        <w:rPr>
          <w:rFonts w:ascii="David Libre" w:cs="David Libre" w:eastAsia="David Libre" w:hAnsi="David Libre"/>
          <w:b w:val="false"/>
          <w:bCs w:val="false"/>
          <w:sz w:val="21"/>
          <w:szCs w:val="21"/>
          <w:rtl/>
        </w:rPr>
        <w:t xml:space="preserve">מה שהרשות מזהה שגוית כ"עסקה שיצאה לפועל" בנובמבר 2023 הייתה עסקת השכרה שביצע הבעלים לאחר ביטול עסקת המכירה — השכרה פרטית שלדימה לא היה בה יד והוא לא תיווך בה ולא הפיק ממנה שקל.</w:t>
      </w:r>
    </w:p>
    <w:p>
      <w:pPr>
        <w:spacing w:after="80"/>
      </w:pPr>
      <w:r>
        <w:t xml:space="preserve"/>
      </w:r>
    </w:p>
    <w:p>
      <w:pPr>
        <w:bidi/>
        <w:spacing w:after="80"/>
      </w:pPr>
      <w:r>
        <w:rPr>
          <w:rFonts w:ascii="David Libre" w:cs="David Libre" w:eastAsia="David Libre" w:hAnsi="David Libre"/>
          <w:b w:val="false"/>
          <w:bCs w:val="false"/>
          <w:sz w:val="21"/>
          <w:szCs w:val="21"/>
          <w:rtl/>
        </w:rPr>
        <w:t xml:space="preserve">עסקה ב' — רחוב האצ"ל 40, אשקלון (עסקה נפרדת)</w:t>
      </w:r>
    </w:p>
    <w:p>
      <w:pPr>
        <w:bidi/>
        <w:spacing w:after="80"/>
      </w:pPr>
      <w:r>
        <w:rPr>
          <w:rFonts w:ascii="David Libre" w:cs="David Libre" w:eastAsia="David Libre" w:hAnsi="David Libre"/>
          <w:b w:val="false"/>
          <w:bCs w:val="false"/>
          <w:sz w:val="21"/>
          <w:szCs w:val="21"/>
          <w:rtl/>
        </w:rPr>
        <w:t xml:space="preserve">עסקה נפרדת ועצמאית בנכס שונה. המגעים הבשילו לכדי סגירה והעסקה הייתה בסף חתימה לפני ה-07.10. עם פרוץ הלחימה והשיתוק, בוטלה העסקה. העמלה הצפויה: 25,600 ₪ כולל מע"מ.</w:t>
      </w:r>
    </w:p>
    <w:p>
      <w:pPr>
        <w:spacing w:after="80"/>
      </w:pPr>
      <w:r>
        <w:t xml:space="preserve"/>
      </w:r>
    </w:p>
    <w:p>
      <w:pPr>
        <w:spacing w:after="80"/>
      </w:pPr>
      <w:r>
        <w:t xml:space="preserve"/>
      </w:r>
    </w:p>
    <w:p>
      <w:pPr>
        <w:bidi/>
        <w:spacing w:after="80"/>
      </w:pPr>
      <w:r>
        <w:rPr>
          <w:rFonts w:ascii="David Libre" w:cs="David Libre" w:eastAsia="David Libre" w:hAnsi="David Libre"/>
          <w:b w:val="false"/>
          <w:bCs w:val="false"/>
          <w:sz w:val="21"/>
          <w:szCs w:val="21"/>
          <w:rtl/>
        </w:rPr>
        <w:t xml:space="preserve">הוראות פיקוד העורף והשיתוק העסקי</w:t>
      </w:r>
    </w:p>
    <w:p>
      <w:pPr>
        <w:bidi/>
        <w:spacing w:after="80"/>
      </w:pPr>
      <w:r>
        <w:rPr>
          <w:rFonts w:ascii="David Libre" w:cs="David Libre" w:eastAsia="David Libre" w:hAnsi="David Libre"/>
          <w:b w:val="false"/>
          <w:bCs w:val="false"/>
          <w:sz w:val="21"/>
          <w:szCs w:val="21"/>
          <w:rtl/>
        </w:rPr>
        <w:t xml:space="preserve">עסקת תיווך נדל"ן מחייבת נוכחות פיזית בנכסים באשקלון ופגישות במשרד. בשל הוראות הרשויות המאיימות והמגבילות באשקלון בחודשים דנן — נמנעה כל אפשרות חוקית ואנכית להמשך הליכים אלו, ולכן העסקאות שותקו.</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ד. התשתית הראייתית והחישוב</w:t>
      </w:r>
    </w:p>
    <w:p>
      <w:pPr>
        <w:spacing w:after="80"/>
      </w:pPr>
      <w:r>
        <w:t xml:space="preserve"/>
      </w:r>
    </w:p>
    <w:p>
      <w:pPr>
        <w:bidi/>
        <w:spacing w:after="80"/>
      </w:pPr>
      <w:r>
        <w:rPr>
          <w:rFonts w:ascii="David Libre" w:cs="David Libre" w:eastAsia="David Libre" w:hAnsi="David Libre"/>
          <w:b w:val="false"/>
          <w:bCs w:val="false"/>
          <w:sz w:val="21"/>
          <w:szCs w:val="21"/>
          <w:rtl/>
        </w:rPr>
        <w:t xml:space="preserve">סכום המניעה והנזק הנתבע:</w:t>
      </w:r>
    </w:p>
    <w:p>
      <w:pPr>
        <w:bidi/>
        <w:spacing w:after="80"/>
      </w:pPr>
      <w:r>
        <w:rPr>
          <w:rFonts w:ascii="David Libre" w:cs="David Libre" w:eastAsia="David Libre" w:hAnsi="David Libre"/>
          <w:b w:val="false"/>
          <w:bCs w:val="false"/>
          <w:sz w:val="21"/>
          <w:szCs w:val="21"/>
          <w:rtl/>
        </w:rPr>
        <w:t xml:space="preserve">עמלת תיווך — רחוב התלמוד (מכירה שבוטלה): 51,480 ₪ כולל מע"מ</w:t>
      </w:r>
    </w:p>
    <w:p>
      <w:pPr>
        <w:bidi/>
        <w:spacing w:after="80"/>
      </w:pPr>
      <w:r>
        <w:rPr>
          <w:rFonts w:ascii="David Libre" w:cs="David Libre" w:eastAsia="David Libre" w:hAnsi="David Libre"/>
          <w:b w:val="false"/>
          <w:bCs w:val="false"/>
          <w:sz w:val="21"/>
          <w:szCs w:val="21"/>
          <w:rtl/>
        </w:rPr>
        <w:t xml:space="preserve">עמלת תיווך — רחוב האצ"ל 40 (עסקה שנמנעה): 25,600 ₪ כולל מע"מ</w:t>
      </w:r>
    </w:p>
    <w:p>
      <w:pPr>
        <w:bidi/>
        <w:spacing w:after="80"/>
      </w:pPr>
      <w:r>
        <w:rPr>
          <w:rFonts w:ascii="David Libre" w:cs="David Libre" w:eastAsia="David Libre" w:hAnsi="David Libre"/>
          <w:b w:val="false"/>
          <w:bCs w:val="false"/>
          <w:sz w:val="21"/>
          <w:szCs w:val="21"/>
          <w:rtl/>
        </w:rPr>
        <w:t xml:space="preserve">סה"כ נזק עקיף מוכח במסלול האדום: 77,080 ₪ כולל מע"מ</w:t>
      </w:r>
    </w:p>
    <w:p>
      <w:pPr>
        <w:bidi/>
        <w:spacing w:after="80"/>
      </w:pPr>
      <w:r>
        <w:rPr>
          <w:rFonts w:ascii="David Libre" w:cs="David Libre" w:eastAsia="David Libre" w:hAnsi="David Libre"/>
          <w:b w:val="false"/>
          <w:bCs w:val="false"/>
          <w:sz w:val="21"/>
          <w:szCs w:val="21"/>
          <w:rtl/>
        </w:rPr>
        <w:t xml:space="preserve">(כמפורט בתחשיב הנספח מיום 28.08.2025)</w:t>
      </w:r>
    </w:p>
    <w:p>
      <w:pPr>
        <w:spacing w:after="80"/>
      </w:pPr>
      <w:r>
        <w:t xml:space="preserve"/>
      </w:r>
    </w:p>
    <w:p>
      <w:pPr>
        <w:bidi/>
        <w:spacing w:after="80"/>
      </w:pPr>
      <w:r>
        <w:rPr>
          <w:rFonts w:ascii="David Libre" w:cs="David Libre" w:eastAsia="David Libre" w:hAnsi="David Libre"/>
          <w:b w:val="false"/>
          <w:bCs w:val="false"/>
          <w:sz w:val="21"/>
          <w:szCs w:val="21"/>
          <w:rtl/>
        </w:rPr>
        <w:t xml:space="preserve">ראיות שהוגשו כדין:</w:t>
      </w:r>
    </w:p>
    <w:p>
      <w:pPr>
        <w:bidi/>
        <w:spacing w:after="80"/>
      </w:pPr>
      <w:r>
        <w:rPr>
          <w:rFonts w:ascii="David Libre" w:cs="David Libre" w:eastAsia="David Libre" w:hAnsi="David Libre"/>
          <w:b w:val="false"/>
          <w:bCs w:val="false"/>
          <w:sz w:val="21"/>
          <w:szCs w:val="21"/>
          <w:rtl/>
        </w:rPr>
        <w:t xml:space="preserve">1. רישיון מתווך מקורי (19.3.2014) — הוכחת ותק 12 שנה.</w:t>
      </w:r>
    </w:p>
    <w:p>
      <w:pPr>
        <w:bidi/>
        <w:spacing w:after="80"/>
      </w:pPr>
      <w:r>
        <w:rPr>
          <w:rFonts w:ascii="David Libre" w:cs="David Libre" w:eastAsia="David Libre" w:hAnsi="David Libre"/>
          <w:b w:val="false"/>
          <w:bCs w:val="false"/>
          <w:sz w:val="21"/>
          <w:szCs w:val="21"/>
          <w:rtl/>
        </w:rPr>
        <w:t xml:space="preserve">2. רישיון מתווך מחודש (2025) — עסק פעיל ורציף.</w:t>
      </w:r>
    </w:p>
    <w:p>
      <w:pPr>
        <w:bidi/>
        <w:spacing w:after="80"/>
      </w:pPr>
      <w:r>
        <w:rPr>
          <w:rFonts w:ascii="David Libre" w:cs="David Libre" w:eastAsia="David Libre" w:hAnsi="David Libre"/>
          <w:b w:val="false"/>
          <w:bCs w:val="false"/>
          <w:sz w:val="21"/>
          <w:szCs w:val="21"/>
          <w:rtl/>
        </w:rPr>
        <w:t xml:space="preserve">3. חישוב הפסד מלחמת חרבות ברזל (</w:t>
      </w:r>
      <w:r>
        <w:rPr>
          <w:rFonts w:ascii="Calibri" w:cs="Calibri" w:eastAsia="Calibri" w:hAnsi="Calibri"/>
          <w:b w:val="false"/>
          <w:bCs w:val="false"/>
          <w:sz w:val="21"/>
          <w:szCs w:val="21"/>
          <w:rtl w:val="false"/>
        </w:rPr>
        <w:t xml:space="preserve">XLS).</w:t>
      </w:r>
    </w:p>
    <w:p>
      <w:pPr>
        <w:bidi/>
        <w:spacing w:after="80"/>
      </w:pPr>
      <w:r>
        <w:rPr>
          <w:rFonts w:ascii="David Libre" w:cs="David Libre" w:eastAsia="David Libre" w:hAnsi="David Libre"/>
          <w:b w:val="false"/>
          <w:bCs w:val="false"/>
          <w:sz w:val="21"/>
          <w:szCs w:val="21"/>
          <w:rtl/>
        </w:rPr>
        <w:t xml:space="preserve">4. ספר עסקאות ליום 21.9.23.</w:t>
      </w:r>
    </w:p>
    <w:p>
      <w:pPr>
        <w:bidi/>
        <w:spacing w:after="80"/>
      </w:pPr>
      <w:r>
        <w:rPr>
          <w:rFonts w:ascii="David Libre" w:cs="David Libre" w:eastAsia="David Libre" w:hAnsi="David Libre"/>
          <w:b w:val="false"/>
          <w:bCs w:val="false"/>
          <w:sz w:val="21"/>
          <w:szCs w:val="21"/>
          <w:rtl/>
        </w:rPr>
        <w:t xml:space="preserve">5. מכתב תגובה רשמי (7 סעיפים) — מענה מלא לכל דרישות המפקחת, הוגש ביום 04.12.2025.</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ה. פגמים בהחלטת הרשות</w:t>
      </w:r>
    </w:p>
    <w:p>
      <w:pPr>
        <w:spacing w:after="80"/>
      </w:pPr>
      <w:r>
        <w:t xml:space="preserve"/>
      </w:r>
    </w:p>
    <w:p>
      <w:pPr>
        <w:bidi/>
        <w:spacing w:after="80"/>
      </w:pPr>
      <w:r>
        <w:rPr>
          <w:rFonts w:ascii="David Libre" w:cs="David Libre" w:eastAsia="David Libre" w:hAnsi="David Libre"/>
          <w:b w:val="false"/>
          <w:bCs w:val="false"/>
          <w:sz w:val="21"/>
          <w:szCs w:val="21"/>
          <w:rtl/>
        </w:rPr>
        <w:t xml:space="preserve">ה.1 — חריגה מסמכות ואי מתן משקל לראיות</w:t>
      </w:r>
    </w:p>
    <w:p>
      <w:pPr>
        <w:bidi/>
        <w:spacing w:after="80"/>
      </w:pPr>
      <w:r>
        <w:rPr>
          <w:rFonts w:ascii="David Libre" w:cs="David Libre" w:eastAsia="David Libre" w:hAnsi="David Libre"/>
          <w:b w:val="false"/>
          <w:bCs w:val="false"/>
          <w:sz w:val="21"/>
          <w:szCs w:val="21"/>
          <w:rtl/>
        </w:rPr>
        <w:t xml:space="preserve">ביום 08.02.2026 הודיעה המפקחת כי "לא הצלחנו להגיע להסכמות". נזכיר - ההליך המנהלי אינו מותנה ב"הסכמה". חלה על המפקח חובה לדון בראיות המוצגות. ההחלטה התעלמה כליל מחישוב ההפסד ומתיעוד הלקוח ("אלכס") שבספר העסקאות, תוך הפרה של חובת ההנמקה וההלכה. עקרון קטיף עצמו דורש עיון ולא דחייה על הסף.</w:t>
      </w:r>
    </w:p>
    <w:p>
      <w:pPr>
        <w:spacing w:after="80"/>
      </w:pPr>
      <w:r>
        <w:t xml:space="preserve"/>
      </w:r>
    </w:p>
    <w:p>
      <w:pPr>
        <w:bidi/>
        <w:spacing w:after="80"/>
      </w:pPr>
      <w:r>
        <w:rPr>
          <w:rFonts w:ascii="David Libre" w:cs="David Libre" w:eastAsia="David Libre" w:hAnsi="David Libre"/>
          <w:b w:val="false"/>
          <w:bCs w:val="false"/>
          <w:sz w:val="21"/>
          <w:szCs w:val="21"/>
          <w:rtl/>
        </w:rPr>
        <w:t xml:space="preserve">ה.2 — טענה חלופית — מסלול מחזורים</w:t>
      </w:r>
    </w:p>
    <w:p>
      <w:pPr>
        <w:bidi/>
        <w:spacing w:after="80"/>
      </w:pPr>
      <w:r>
        <w:rPr>
          <w:rFonts w:ascii="David Libre" w:cs="David Libre" w:eastAsia="David Libre" w:hAnsi="David Libre"/>
          <w:b w:val="false"/>
          <w:bCs w:val="false"/>
          <w:sz w:val="21"/>
          <w:szCs w:val="21"/>
          <w:rtl/>
        </w:rPr>
        <w:t xml:space="preserve">למען הזהירות בלבד, יודגש כי גם לו באופן תיאורטי היה נשלל תוקפן של העסקאות הספציפיות, לאור העובדה שהעסק פועל באזור ספר ואבדה לו הכנסה, הוא מקיים זכאות לפחות לחלופת "מסלול מחזורים" נוכח הירידה המוחלטת במחזור בין התקופות הרלוונטיות. אנו עומדים על עקרון המסלול האדום, אך מזכירים חובה זו של הקופה הציבורית.</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ו. מענה משפטי-עובדתי לטענות הרשות</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1:</w:t>
      </w:r>
    </w:p>
    <w:p>
      <w:pPr>
        <w:bidi/>
        <w:spacing w:after="80"/>
      </w:pPr>
      <w:r>
        <w:rPr>
          <w:rFonts w:ascii="David Libre" w:cs="David Libre" w:eastAsia="David Libre" w:hAnsi="David Libre"/>
          <w:b w:val="false"/>
          <w:bCs w:val="false"/>
          <w:sz w:val="21"/>
          <w:szCs w:val="21"/>
          <w:rtl/>
        </w:rPr>
        <w:t xml:space="preserve">סעיף 1: תביעתך הוגשה בנוגע לעסקך בתחום התיווך שכתובתו רשומה באשקלון...</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אנו מאשרים את מסגרת הערר: כתובת העסק באשקלון, והתביעה מוגשת למסלול האדום בגין נזק עקיף לתקופת אוקטובר-דצמבר 2023 עקב מלחמת "חרבות ברזל".</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2:</w:t>
      </w:r>
    </w:p>
    <w:p>
      <w:pPr>
        <w:bidi/>
        <w:spacing w:after="80"/>
      </w:pPr>
      <w:r>
        <w:rPr>
          <w:rFonts w:ascii="David Libre" w:cs="David Libre" w:eastAsia="David Libre" w:hAnsi="David Libre"/>
          <w:b w:val="false"/>
          <w:bCs w:val="false"/>
          <w:sz w:val="21"/>
          <w:szCs w:val="21"/>
          <w:rtl/>
        </w:rPr>
        <w:t xml:space="preserve">סעיף 2-3: "נזק עקיף" מוגדר בחוק מס רכוש...</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אכן, נזק עקיף כולל קודם כל "מניעת רווח" ביישוב ספר עקב המלחמה. תביעתנו כולה מתבססת על מניעת הרווח מעסקאות התיווך שעמדו בסף סגירה (בסך 77,080 ₪) ולא יצאו לפועל בשל המצב הביטחוני במדינה.</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3:</w:t>
      </w:r>
    </w:p>
    <w:p>
      <w:pPr>
        <w:bidi/>
        <w:spacing w:after="80"/>
      </w:pPr>
      <w:r>
        <w:rPr>
          <w:rFonts w:ascii="David Libre" w:cs="David Libre" w:eastAsia="David Libre" w:hAnsi="David Libre"/>
          <w:b w:val="false"/>
          <w:bCs w:val="false"/>
          <w:sz w:val="21"/>
          <w:szCs w:val="21"/>
          <w:rtl/>
        </w:rPr>
        <w:t xml:space="preserve">סעיף 4: תנאי לזכאות לפיצוי...</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מוסכם. התנאים המצטברים לזכאות פיצוי יישוב ספר, כאמור בתקנות מס רכוש, חלים במלואם על העוסק: עסק פעיל ערב המלחמה, הממוקם ביישוב ספר (אשקלון), שניזוק באופן ישיר בשל הלחימה.</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4:</w:t>
      </w:r>
    </w:p>
    <w:p>
      <w:pPr>
        <w:bidi/>
        <w:spacing w:after="80"/>
      </w:pPr>
      <w:r>
        <w:rPr>
          <w:rFonts w:ascii="David Libre" w:cs="David Libre" w:eastAsia="David Libre" w:hAnsi="David Libre"/>
          <w:b w:val="false"/>
          <w:bCs w:val="false"/>
          <w:sz w:val="21"/>
          <w:szCs w:val="21"/>
          <w:rtl/>
        </w:rPr>
        <w:t xml:space="preserve">סעיף 5: נטל ההוכחה...</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הרשות נשענת על שלוש הלכות שונות לעניין נטל ההוכחה (קטיף, עמק איילון ובקעות). להלן ניתוח חלוקת ההלכות אשר ממחיש את שגיאתה היסודית של הרשות ביישומן:</w:t>
      </w:r>
    </w:p>
    <w:p>
      <w:pPr>
        <w:spacing w:after="80"/>
      </w:pPr>
      <w:r>
        <w:t xml:space="preserve"/>
      </w:r>
    </w:p>
    <w:p>
      <w:pPr>
        <w:bidi/>
        <w:spacing w:after="80"/>
      </w:pPr>
      <w:r>
        <w:rPr>
          <w:rFonts w:ascii="David Libre" w:cs="David Libre" w:eastAsia="David Libre" w:hAnsi="David Libre"/>
          <w:b w:val="false"/>
          <w:bCs w:val="false"/>
          <w:sz w:val="21"/>
          <w:szCs w:val="21"/>
          <w:rtl/>
        </w:rPr>
        <w:t xml:space="preserve">פסקי הדין: רע"א 1942/12 רהיטי עמק איילון ו-ע"א 6904/97 בקעות</w:t>
      </w:r>
    </w:p>
    <w:p>
      <w:pPr>
        <w:bidi/>
        <w:spacing w:after="80"/>
      </w:pPr>
      <w:r>
        <w:rPr>
          <w:rFonts w:ascii="David Libre" w:cs="David Libre" w:eastAsia="David Libre" w:hAnsi="David Libre"/>
          <w:b w:val="false"/>
          <w:bCs w:val="false"/>
          <w:sz w:val="21"/>
          <w:szCs w:val="21"/>
          <w:rtl/>
        </w:rPr>
        <w:t xml:space="preserve">1. עובדות מרכזיות: מחלוקות סביב סף ההוכחה הנדרש להכרה בנזק עקיף בעסקים בזמן לחימה.</w:t>
      </w:r>
    </w:p>
    <w:p>
      <w:pPr>
        <w:bidi/>
        <w:spacing w:after="80"/>
      </w:pPr>
      <w:r>
        <w:rPr>
          <w:rFonts w:ascii="David Libre" w:cs="David Libre" w:eastAsia="David Libre" w:hAnsi="David Libre"/>
          <w:b w:val="false"/>
          <w:bCs w:val="false"/>
          <w:sz w:val="21"/>
          <w:szCs w:val="21"/>
          <w:rtl/>
        </w:rPr>
        <w:t xml:space="preserve">2. ההלכה שנקבעה: הרף ההוכחתי הנדרש אינו "מעבר לכל ספק סביר" פלילי, אלא הרף האזרחי של "מאזן ההסתברויות" (מעל 50% סבירות).</w:t>
      </w:r>
    </w:p>
    <w:p>
      <w:pPr>
        <w:bidi/>
        <w:spacing w:after="80"/>
      </w:pPr>
      <w:r>
        <w:rPr>
          <w:rFonts w:ascii="David Libre" w:cs="David Libre" w:eastAsia="David Libre" w:hAnsi="David Libre"/>
          <w:b w:val="false"/>
          <w:bCs w:val="false"/>
          <w:sz w:val="21"/>
          <w:szCs w:val="21"/>
          <w:rtl/>
        </w:rPr>
        <w:t xml:space="preserve">3. מה הרשות מבקשת ללמוד: שהעוסק בתיקנן לא עמד בנטל ההוכחה שביטול העסקאות נובע מהמלחמה.</w:t>
      </w:r>
    </w:p>
    <w:p>
      <w:pPr>
        <w:bidi/>
        <w:spacing w:after="80"/>
      </w:pPr>
      <w:r>
        <w:rPr>
          <w:rFonts w:ascii="David Libre" w:cs="David Libre" w:eastAsia="David Libre" w:hAnsi="David Libre"/>
          <w:b w:val="false"/>
          <w:bCs w:val="false"/>
          <w:sz w:val="21"/>
          <w:szCs w:val="21"/>
          <w:rtl/>
        </w:rPr>
        <w:t xml:space="preserve">4. ההבחנה ויישומה בתיק: לא זו בלבד שההלכה חלה – היא פועלת לזכותו המלאה של המערער. במאזן הסתברויות אזרחי, קרוב הרבה יותר לוודאי ששיתוקה הפיזי של אשקלון, כולל איסור תנועה, הוא הסיבה המכרעת לנפילת עסקאות הנדל"ן, ולא צירוף מקרים. העוסק הרים את הנטל לחלוטין.</w:t>
      </w:r>
    </w:p>
    <w:p>
      <w:pPr>
        <w:spacing w:after="80"/>
      </w:pPr>
      <w:r>
        <w:t xml:space="preserve"/>
      </w:r>
    </w:p>
    <w:p>
      <w:pPr>
        <w:bidi/>
        <w:spacing w:after="80"/>
      </w:pPr>
      <w:r>
        <w:rPr>
          <w:rFonts w:ascii="David Libre" w:cs="David Libre" w:eastAsia="David Libre" w:hAnsi="David Libre"/>
          <w:b w:val="false"/>
          <w:bCs w:val="false"/>
          <w:sz w:val="21"/>
          <w:szCs w:val="21"/>
          <w:rtl/>
        </w:rPr>
        <w:t xml:space="preserve">פסק דין: רע"א 6948/13 קטיף</w:t>
      </w:r>
    </w:p>
    <w:p>
      <w:pPr>
        <w:bidi/>
        <w:spacing w:after="80"/>
      </w:pPr>
      <w:r>
        <w:rPr>
          <w:rFonts w:ascii="David Libre" w:cs="David Libre" w:eastAsia="David Libre" w:hAnsi="David Libre"/>
          <w:b w:val="false"/>
          <w:bCs w:val="false"/>
          <w:sz w:val="21"/>
          <w:szCs w:val="21"/>
          <w:rtl/>
        </w:rPr>
        <w:t xml:space="preserve">1. עובדות מרכזיות: עסקים שנפגעו מתקופת "אווירה ביטחונית קשה" וביקשו פיצוי גלובלי ללא מסמכים עסקיים פרטניים.</w:t>
      </w:r>
    </w:p>
    <w:p>
      <w:pPr>
        <w:bidi/>
        <w:spacing w:after="80"/>
      </w:pPr>
      <w:r>
        <w:rPr>
          <w:rFonts w:ascii="David Libre" w:cs="David Libre" w:eastAsia="David Libre" w:hAnsi="David Libre"/>
          <w:b w:val="false"/>
          <w:bCs w:val="false"/>
          <w:sz w:val="21"/>
          <w:szCs w:val="21"/>
          <w:rtl/>
        </w:rPr>
        <w:t xml:space="preserve">2. ההלכה שנקבעה: על מנת לקבל פיצוי יש להציג "ראיות פרטניות" לנזק ולא להסתמך רק על טענת האווירה.</w:t>
      </w:r>
    </w:p>
    <w:p>
      <w:pPr>
        <w:bidi/>
        <w:spacing w:after="80"/>
      </w:pPr>
      <w:r>
        <w:rPr>
          <w:rFonts w:ascii="David Libre" w:cs="David Libre" w:eastAsia="David Libre" w:hAnsi="David Libre"/>
          <w:b w:val="false"/>
          <w:bCs w:val="false"/>
          <w:sz w:val="21"/>
          <w:szCs w:val="21"/>
          <w:rtl/>
        </w:rPr>
        <w:t xml:space="preserve">3. מה הרשות מבקשת ללמוד: שהעוסק מפריח טענות עמומות ללא הוכחה פרטנית.</w:t>
      </w:r>
    </w:p>
    <w:p>
      <w:pPr>
        <w:bidi/>
        <w:spacing w:after="80"/>
      </w:pPr>
      <w:r>
        <w:rPr>
          <w:rFonts w:ascii="David Libre" w:cs="David Libre" w:eastAsia="David Libre" w:hAnsi="David Libre"/>
          <w:b w:val="false"/>
          <w:bCs w:val="false"/>
          <w:sz w:val="21"/>
          <w:szCs w:val="21"/>
          <w:rtl/>
        </w:rPr>
        <w:t xml:space="preserve">4. היישום בתיק דימה: בניגוד גמור לעובדות הלכת קטיף, הוגשו במקרה דנן ראיות פרטניות ומדויקות – ספר עסקאות מחודש ספטמבר וחשבוניות תואמות המקבעות מסלול עסקי ברור. התעלמות הרשות מראיות אלו שוגה עובדתית.</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5:</w:t>
      </w:r>
    </w:p>
    <w:p>
      <w:pPr>
        <w:bidi/>
        <w:spacing w:after="80"/>
      </w:pPr>
      <w:r>
        <w:rPr>
          <w:rFonts w:ascii="David Libre" w:cs="David Libre" w:eastAsia="David Libre" w:hAnsi="David Libre"/>
          <w:b w:val="false"/>
          <w:bCs w:val="false"/>
          <w:sz w:val="21"/>
          <w:szCs w:val="21"/>
          <w:rtl/>
        </w:rPr>
        <w:t xml:space="preserve">סעיף 6: בכל המסמכים שהומצאו אין בנמצא אף מסמך...</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הרשות טוענת כי אין מסמך שמקשר בין העסקאות שבוטלו לבין העסק. עסקאות שבוטלו במלחמה קודם חתימה מסודרת — טבעי שלא יבשילו לכלל חוזה חתום סופי, וזהו עוקצו של נזק עקיף (מניעת התקשרות). פעילות העסק הרגילה הוכחה בצורה תקינה מספר העסקאות מספטמבר.</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6:</w:t>
      </w:r>
    </w:p>
    <w:p>
      <w:pPr>
        <w:bidi/>
        <w:spacing w:after="80"/>
      </w:pPr>
      <w:r>
        <w:rPr>
          <w:rFonts w:ascii="David Libre" w:cs="David Libre" w:eastAsia="David Libre" w:hAnsi="David Libre"/>
          <w:b w:val="false"/>
          <w:bCs w:val="false"/>
          <w:sz w:val="21"/>
          <w:szCs w:val="21"/>
          <w:rtl/>
        </w:rPr>
        <w:t xml:space="preserve">סעיף 7: אותה עסקה יחידה שדווחה למע"מ...</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ההאשמה על "תיקון בדיעבד במטרה לקבל מקדמה" הינה שגויה מיסודה. חשבונית מס' 1001 ע"ס 15,000 ₪ משקפת עסקת אמת ודווחה בחודש 09/2023. תשלומי המע"מ בגינה שולמו במועד החוקי (ניתן לאימות במערכות שע"מ). התביעה דנן איננה בגין חשבונית זו, אלא תביעת נזק עקיף בסך 77,080 ₪ בגין העמלות שנמנעו כשהעסקאות העתידיות בוטלו בתקופת הלחימה. הדיווח מנובמבר איננו המצאת עבר, אלא פעולה תקינה.</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7:</w:t>
      </w:r>
    </w:p>
    <w:p>
      <w:pPr>
        <w:bidi/>
        <w:spacing w:after="80"/>
      </w:pPr>
      <w:r>
        <w:rPr>
          <w:rFonts w:ascii="David Libre" w:cs="David Libre" w:eastAsia="David Libre" w:hAnsi="David Libre"/>
          <w:b w:val="false"/>
          <w:bCs w:val="false"/>
          <w:sz w:val="21"/>
          <w:szCs w:val="21"/>
          <w:rtl/>
        </w:rPr>
        <w:t xml:space="preserve">סעיף 8: כלל לא הוכח שהייתה פעילות בעסק...</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הטענה כי לא הוכחה פעילות עסקית טרם המלחמה נסתרת עובדתית. הוכח (באמצעות חשבונית 1001 שעליה חל מע"מ כדין וספר העסקאות מספטמבר) כי בספטמבר 2023, לאחר מעברו של רודניצקי לעצמאות, בוצעה עסקת השכרה שהניבה פרי. קיום מספר עסקאות בקנה (התלמוד והאצ"ל) שהמתינו להבשלה מגבה את מהלך העסקים הרגיל, אשר נגדע באבחה באוקטובר 2023.</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8:</w:t>
      </w:r>
    </w:p>
    <w:p>
      <w:pPr>
        <w:bidi/>
        <w:spacing w:after="80"/>
      </w:pPr>
      <w:r>
        <w:rPr>
          <w:rFonts w:ascii="David Libre" w:cs="David Libre" w:eastAsia="David Libre" w:hAnsi="David Libre"/>
          <w:b w:val="false"/>
          <w:bCs w:val="false"/>
          <w:sz w:val="21"/>
          <w:szCs w:val="21"/>
          <w:rtl/>
        </w:rPr>
        <w:t xml:space="preserve">סעיף 9: בנוגע לשתי העסקאות שנטען שבוטלו...</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קביעת הרשות כי העסקה ברחוב התלמוד "יצאה אל הפועל בנובמבר 2023" הינה שגויה מבחינה עובדתית. עסקת המכירה (העמלה המונעת עליה נסובה התביעה) בוטלה כליל בגלל המלחמה. מה שהתרחש בנובמבר 2023 הינו פעולת השכרה חלופית שביצע הבעלים בעצמו וללא מעורבות מתווך. יציאת עסקת שכירות פרטית לפועל אינה מעידה על ביצוע עסקת המכירה — אשר בוטלה אקטיבית עקב המלחמה, וגרמה נזק לרודניצקי.</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9:</w:t>
      </w:r>
    </w:p>
    <w:p>
      <w:pPr>
        <w:bidi/>
        <w:spacing w:after="80"/>
      </w:pPr>
      <w:r>
        <w:rPr>
          <w:rFonts w:ascii="David Libre" w:cs="David Libre" w:eastAsia="David Libre" w:hAnsi="David Libre"/>
          <w:b w:val="false"/>
          <w:bCs w:val="false"/>
          <w:sz w:val="21"/>
          <w:szCs w:val="21"/>
          <w:rtl/>
        </w:rPr>
        <w:t xml:space="preserve">סעיף 10: בנוגע לעסקה ברחוב האצ"ל 40...</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ביחס לעסקת רחוב האצ"ל 40 (עמלה מונעת של 25,600 ₪), הרשות טוענת כי העסקה נפלה מטרגדיה אישית וסובייקטיבית. טענה זו נסתרת חזיתית על ידי הפסיקה:</w:t>
      </w:r>
    </w:p>
    <w:p>
      <w:pPr>
        <w:spacing w:after="80"/>
      </w:pPr>
      <w:r>
        <w:t xml:space="preserve"/>
      </w:r>
    </w:p>
    <w:p>
      <w:pPr>
        <w:bidi/>
        <w:spacing w:after="80"/>
      </w:pPr>
      <w:r>
        <w:rPr>
          <w:rFonts w:ascii="David Libre" w:cs="David Libre" w:eastAsia="David Libre" w:hAnsi="David Libre"/>
          <w:b w:val="false"/>
          <w:bCs w:val="false"/>
          <w:sz w:val="21"/>
          <w:szCs w:val="21"/>
          <w:rtl/>
        </w:rPr>
        <w:t xml:space="preserve">פסק דין: ע"א 749/87 מוסך המרכז נ' צרפתי</w:t>
      </w:r>
    </w:p>
    <w:p>
      <w:pPr>
        <w:bidi/>
        <w:spacing w:after="80"/>
      </w:pPr>
      <w:r>
        <w:rPr>
          <w:rFonts w:ascii="David Libre" w:cs="David Libre" w:eastAsia="David Libre" w:hAnsi="David Libre"/>
          <w:b w:val="false"/>
          <w:bCs w:val="false"/>
          <w:sz w:val="21"/>
          <w:szCs w:val="21"/>
          <w:rtl/>
        </w:rPr>
        <w:t xml:space="preserve">1. עובדות מרכזיות: מחלוקת על קיומו של סיכול וקשר סיבתי בדיני חוזים תחת נסיבות שבהן נמנעה השלמת התחייבות בשל גורמים חיצוניים.</w:t>
      </w:r>
    </w:p>
    <w:p>
      <w:pPr>
        <w:bidi/>
        <w:spacing w:after="80"/>
      </w:pPr>
      <w:r>
        <w:rPr>
          <w:rFonts w:ascii="David Libre" w:cs="David Libre" w:eastAsia="David Libre" w:hAnsi="David Libre"/>
          <w:b w:val="false"/>
          <w:bCs w:val="false"/>
          <w:sz w:val="21"/>
          <w:szCs w:val="21"/>
          <w:rtl/>
        </w:rPr>
        <w:t xml:space="preserve">2. ההלכה שנקבעה: דיני הקשר הסיבתי האזרחיים נבחנים במבחן הכלכלי-אובייקטיבי של "האדם הסביר", ולא לפי רחשי ליבו ונסיבותיו הסובייקטיביות (או הטרגיות) של הלקוח הבודד.</w:t>
      </w:r>
    </w:p>
    <w:p>
      <w:pPr>
        <w:bidi/>
        <w:spacing w:after="80"/>
      </w:pPr>
      <w:r>
        <w:rPr>
          <w:rFonts w:ascii="David Libre" w:cs="David Libre" w:eastAsia="David Libre" w:hAnsi="David Libre"/>
          <w:b w:val="false"/>
          <w:bCs w:val="false"/>
          <w:sz w:val="21"/>
          <w:szCs w:val="21"/>
          <w:rtl/>
        </w:rPr>
        <w:t xml:space="preserve">3. מה הרשות מבקשת ללמוד: הרשות מתבייתת על תירוץ אישי וסובייקטיבי של הקונה על מנת לנתק את ביטול העסקה מאירועי המלחמה באשקלון.</w:t>
      </w:r>
    </w:p>
    <w:p>
      <w:pPr>
        <w:bidi/>
        <w:spacing w:after="80"/>
      </w:pPr>
      <w:r>
        <w:rPr>
          <w:rFonts w:ascii="David Libre" w:cs="David Libre" w:eastAsia="David Libre" w:hAnsi="David Libre"/>
          <w:b w:val="false"/>
          <w:bCs w:val="false"/>
          <w:sz w:val="21"/>
          <w:szCs w:val="21"/>
          <w:rtl/>
        </w:rPr>
        <w:t xml:space="preserve">4. יישום נכון בתיק: ההלכה מחייבת לקבל את טענותינו. העיר אשקלון הושמה תחת מתקפת טילים שמנעה לחלוטין את פעילות התיווך בעיר. במצב אובייקטיבי זה של עיר תחת כפיית מלחמה – "האדם הסביר" מנקודת מבט כלכלית נרתע מלרכוש שם נכס כדבר שבשגרה. המניע הכלכלי-ביטחוני מצוי שם ומספק את המסגרת לקשר הסיבתי, ובולע בתוכו לחלוטין כל רובד טרגי פרטי שניצת. המציאות מוכיחה נזק ביטחוני עקיף ללא עוררין.</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10:</w:t>
      </w:r>
    </w:p>
    <w:p>
      <w:pPr>
        <w:bidi/>
        <w:spacing w:after="80"/>
      </w:pPr>
      <w:r>
        <w:rPr>
          <w:rFonts w:ascii="David Libre" w:cs="David Libre" w:eastAsia="David Libre" w:hAnsi="David Libre"/>
          <w:b w:val="false"/>
          <w:bCs w:val="false"/>
          <w:sz w:val="21"/>
          <w:szCs w:val="21"/>
          <w:rtl/>
        </w:rPr>
        <w:t xml:space="preserve">סעיף 11: ברע"א 718/01 בית הארחה עין גדי...</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טענת היעדר הקשר הסיבתי של הרשות נשענת על היקש צורם ומופרך להלכת עין גדי. להלן ההבחנה המשפטית החורצת מדוע אשקלון אינה עין גדי, ומהווה הלכה למעשה את המודל של הלכת קיבוץ נירים:</w:t>
      </w:r>
    </w:p>
    <w:p>
      <w:pPr>
        <w:spacing w:after="80"/>
      </w:pPr>
      <w:r>
        <w:t xml:space="preserve"/>
      </w:r>
    </w:p>
    <w:p>
      <w:pPr>
        <w:bidi/>
        <w:spacing w:after="80"/>
      </w:pPr>
      <w:r>
        <w:rPr>
          <w:rFonts w:ascii="David Libre" w:cs="David Libre" w:eastAsia="David Libre" w:hAnsi="David Libre"/>
          <w:b w:val="false"/>
          <w:bCs w:val="false"/>
          <w:sz w:val="21"/>
          <w:szCs w:val="21"/>
          <w:rtl/>
        </w:rPr>
        <w:t xml:space="preserve">פסק דין: רע"א 718/01 בית הארחה עין גדי נ' מנהל קרן פיצויים</w:t>
      </w:r>
    </w:p>
    <w:p>
      <w:pPr>
        <w:bidi/>
        <w:spacing w:after="80"/>
      </w:pPr>
      <w:r>
        <w:rPr>
          <w:rFonts w:ascii="David Libre" w:cs="David Libre" w:eastAsia="David Libre" w:hAnsi="David Libre"/>
          <w:b w:val="false"/>
          <w:bCs w:val="false"/>
          <w:sz w:val="21"/>
          <w:szCs w:val="21"/>
          <w:rtl/>
        </w:rPr>
        <w:t xml:space="preserve">1. עובדות מרכזיות: בעלי בית הארחה מרוחק תבעו על אבדן תיירות עקב חרדות ציבוריות בתקופת מלחמת המפרץ, שעה שעירם כלל לא הותקפה והממשלה לא סגרה את פתחי המלון.</w:t>
      </w:r>
    </w:p>
    <w:p>
      <w:pPr>
        <w:bidi/>
        <w:spacing w:after="80"/>
      </w:pPr>
      <w:r>
        <w:rPr>
          <w:rFonts w:ascii="David Libre" w:cs="David Libre" w:eastAsia="David Libre" w:hAnsi="David Libre"/>
          <w:b w:val="false"/>
          <w:bCs w:val="false"/>
          <w:sz w:val="21"/>
          <w:szCs w:val="21"/>
          <w:rtl/>
        </w:rPr>
        <w:t xml:space="preserve">2. ההלכה שנקבעה: נזק כלכלי שנוצר אך ורק בשל השפעה מוראלית ארצית כללית ו"אווירה לאומית" אינו מקים זכאות לנזק עקיף ללא הגבלה קונקרטית לאותו האזור.</w:t>
      </w:r>
    </w:p>
    <w:p>
      <w:pPr>
        <w:bidi/>
        <w:spacing w:after="80"/>
      </w:pPr>
      <w:r>
        <w:rPr>
          <w:rFonts w:ascii="David Libre" w:cs="David Libre" w:eastAsia="David Libre" w:hAnsi="David Libre"/>
          <w:b w:val="false"/>
          <w:bCs w:val="false"/>
          <w:sz w:val="21"/>
          <w:szCs w:val="21"/>
          <w:rtl/>
        </w:rPr>
        <w:t xml:space="preserve">3. מה הרשות מבקשת ללמוד: שהפסד העסקאות של המערער נובע מאותה "השפעה כללית" אווירתית של מלחמת חרבות ברזל, במקום פגיעה במיקום קונקרטי.</w:t>
      </w:r>
    </w:p>
    <w:p>
      <w:pPr>
        <w:bidi/>
        <w:spacing w:after="80"/>
      </w:pPr>
      <w:r>
        <w:rPr>
          <w:rFonts w:ascii="David Libre" w:cs="David Libre" w:eastAsia="David Libre" w:hAnsi="David Libre"/>
          <w:b w:val="false"/>
          <w:bCs w:val="false"/>
          <w:sz w:val="21"/>
          <w:szCs w:val="21"/>
          <w:rtl/>
        </w:rPr>
        <w:t xml:space="preserve">4. ההבחנה: אשקלון הינה עיר תחת אש בעלת מעמד יישוב ספר, עליה הופעלו בפועל מגבלות התקהלות ותנועה כפויות מפיקוד העורף. הפעילות נחסמה אופרטיבית ולא "אווירתית". הפסיקה הזו אינה דרה בכפיפה אחת עם דמותה של עיר מופגזת במגבלת תנועה.</w:t>
      </w:r>
    </w:p>
    <w:p>
      <w:pPr>
        <w:spacing w:after="80"/>
      </w:pPr>
      <w:r>
        <w:t xml:space="preserve"/>
      </w:r>
    </w:p>
    <w:p>
      <w:pPr>
        <w:bidi/>
        <w:spacing w:after="80"/>
      </w:pPr>
      <w:r>
        <w:rPr>
          <w:rFonts w:ascii="David Libre" w:cs="David Libre" w:eastAsia="David Libre" w:hAnsi="David Libre"/>
          <w:b w:val="false"/>
          <w:bCs w:val="false"/>
          <w:sz w:val="21"/>
          <w:szCs w:val="21"/>
          <w:rtl/>
        </w:rPr>
        <w:t xml:space="preserve">פסק דין: רע"א 5902/12 קרן פיצויים נ' קיבוץ נירים</w:t>
      </w:r>
    </w:p>
    <w:p>
      <w:pPr>
        <w:bidi/>
        <w:spacing w:after="80"/>
      </w:pPr>
      <w:r>
        <w:rPr>
          <w:rFonts w:ascii="David Libre" w:cs="David Libre" w:eastAsia="David Libre" w:hAnsi="David Libre"/>
          <w:b w:val="false"/>
          <w:bCs w:val="false"/>
          <w:sz w:val="21"/>
          <w:szCs w:val="21"/>
          <w:rtl/>
        </w:rPr>
        <w:t xml:space="preserve">1. עובדות מרכזיות: קיבוץ שלא הופצץ ישירות אך בשל הוראות הרשויות שאסרו טיסות ריסוס – נהרסו יבוליו.</w:t>
      </w:r>
    </w:p>
    <w:p>
      <w:pPr>
        <w:bidi/>
        <w:spacing w:after="80"/>
      </w:pPr>
      <w:r>
        <w:rPr>
          <w:rFonts w:ascii="David Libre" w:cs="David Libre" w:eastAsia="David Libre" w:hAnsi="David Libre"/>
          <w:b w:val="false"/>
          <w:bCs w:val="false"/>
          <w:sz w:val="21"/>
          <w:szCs w:val="21"/>
          <w:rtl/>
        </w:rPr>
        <w:t xml:space="preserve">2. ההלכה שנקבעה: "פעולת מניעה" אקטיבית של הרשויות (כגון איסור טיסה או תנועה) מקימה קשר סיבתי לנזק העקיף ומזכה בפיצוי.</w:t>
      </w:r>
    </w:p>
    <w:p>
      <w:pPr>
        <w:bidi/>
        <w:spacing w:after="80"/>
      </w:pPr>
      <w:r>
        <w:rPr>
          <w:rFonts w:ascii="David Libre" w:cs="David Libre" w:eastAsia="David Libre" w:hAnsi="David Libre"/>
          <w:b w:val="false"/>
          <w:bCs w:val="false"/>
          <w:sz w:val="21"/>
          <w:szCs w:val="21"/>
          <w:rtl/>
        </w:rPr>
        <w:t xml:space="preserve">3. היישום בתיק: אשקלון, בניגוד לעין גדי, כופפה על ידי פיקוד העורף להגבלות מוחלטות שמנעו פיזית התכנסות אנושית ותנועה בחופשיות. הנזק נובע מהוראות מניעה צבאיות במסגרת פגיעה קונקרטית ממוקדת בעיר נצורה, ובכך מחבר ומצמיד את הקשר הסיבתי ההדוק הנדרש ממיקומו הפיזי של העסק ביישוב הספר שלנו.</w:t>
      </w:r>
    </w:p>
    <w:p>
      <w:pPr>
        <w:spacing w:after="80"/>
      </w:pPr>
      <w:r>
        <w:t xml:space="preserve"/>
      </w:r>
    </w:p>
    <w:p>
      <w:pPr>
        <w:pStyle w:val="Heading3"/>
        <w:bidi/>
        <w:spacing w:after="80" w:before="200"/>
      </w:pPr>
      <w:r>
        <w:rPr>
          <w:rFonts w:ascii="David Libre" w:cs="David Libre" w:eastAsia="David Libre" w:hAnsi="David Libre"/>
          <w:b/>
          <w:bCs/>
          <w:sz w:val="22"/>
          <w:szCs w:val="22"/>
          <w:rtl/>
        </w:rPr>
        <w:t xml:space="preserve">טענת הרשות 11:</w:t>
      </w:r>
    </w:p>
    <w:p>
      <w:pPr>
        <w:bidi/>
        <w:spacing w:after="80"/>
      </w:pPr>
      <w:r>
        <w:rPr>
          <w:rFonts w:ascii="David Libre" w:cs="David Libre" w:eastAsia="David Libre" w:hAnsi="David Libre"/>
          <w:b w:val="false"/>
          <w:bCs w:val="false"/>
          <w:sz w:val="21"/>
          <w:szCs w:val="21"/>
          <w:rtl/>
        </w:rPr>
        <w:t xml:space="preserve">סעיף 12: על כן ולאור כל האמור לעיל, תביעתך נדחית על הסף.</w:t>
      </w:r>
    </w:p>
    <w:p>
      <w:pPr>
        <w:spacing w:after="80"/>
      </w:pPr>
      <w:r>
        <w:t xml:space="preserve"/>
      </w:r>
    </w:p>
    <w:p>
      <w:pPr>
        <w:bidi/>
        <w:spacing w:after="60" w:before="80"/>
      </w:pPr>
      <w:r>
        <w:rPr>
          <w:rFonts w:ascii="David Libre" w:cs="David Libre" w:eastAsia="David Libre" w:hAnsi="David Libre"/>
          <w:b/>
          <w:bCs/>
          <w:sz w:val="21"/>
          <w:szCs w:val="21"/>
          <w:rtl/>
        </w:rPr>
        <w:t xml:space="preserve">המענה שלנו:</w:t>
      </w:r>
    </w:p>
    <w:p>
      <w:pPr>
        <w:bidi/>
        <w:spacing w:after="80"/>
      </w:pPr>
      <w:r>
        <w:rPr>
          <w:rFonts w:ascii="David Libre" w:cs="David Libre" w:eastAsia="David Libre" w:hAnsi="David Libre"/>
          <w:b w:val="false"/>
          <w:bCs w:val="false"/>
          <w:sz w:val="21"/>
          <w:szCs w:val="21"/>
          <w:rtl/>
        </w:rPr>
        <w:t xml:space="preserve">מסקנת הדחייה על הסף בטעות יסודה. העוסק עומד בכל תנאי החוק והתקנות: מפעיל עסק פעיל ערב המלחמה (שהוכח), במקום עסקו ביישוב ספר מובהק, וספג אובדן עסקאות ישיר כתוצאה ממציאות מלחמתית במאזן הסתברויות מתאים (ואף בראיות פרטניות כנדרש בהלכת קטיף). אין למצוא צידוק בחוק לדחייה שרירותית של נזק עקיף זה.</w:t>
      </w:r>
    </w:p>
    <w:p>
      <w:pPr>
        <w:spacing w:after="80"/>
      </w:pPr>
      <w:r>
        <w:t xml:space="preserve"/>
      </w:r>
    </w:p>
    <w:p>
      <w:pPr>
        <w:spacing w:after="80"/>
      </w:pPr>
      <w:r>
        <w:t xml:space="preserve"/>
      </w:r>
    </w:p>
    <w:p>
      <w:pPr>
        <w:pStyle w:val="Heading2"/>
        <w:pBdr>
          <w:bottom w:val="single" w:color="CBD5E1" w:sz="1"/>
        </w:pBdr>
        <w:bidi/>
        <w:spacing w:after="120" w:before="300"/>
      </w:pPr>
      <w:r>
        <w:rPr>
          <w:rFonts w:ascii="David Libre" w:cs="David Libre" w:eastAsia="David Libre" w:hAnsi="David Libre"/>
          <w:b/>
          <w:bCs/>
          <w:sz w:val="26"/>
          <w:szCs w:val="26"/>
          <w:rtl/>
        </w:rPr>
        <w:t xml:space="preserve">ז. סיכום וסעד מבוקש</w:t>
      </w:r>
    </w:p>
    <w:p>
      <w:pPr>
        <w:spacing w:after="80"/>
      </w:pPr>
      <w:r>
        <w:t xml:space="preserve"/>
      </w:r>
    </w:p>
    <w:p>
      <w:pPr>
        <w:bidi/>
        <w:spacing w:after="80"/>
      </w:pPr>
      <w:r>
        <w:rPr>
          <w:rFonts w:ascii="David Libre" w:cs="David Libre" w:eastAsia="David Libre" w:hAnsi="David Libre"/>
          <w:b w:val="false"/>
          <w:bCs w:val="false"/>
          <w:sz w:val="21"/>
          <w:szCs w:val="21"/>
          <w:rtl/>
        </w:rPr>
        <w:t xml:space="preserve">המסד הראייתי המונח בתיק מצביע באופן חד-משמעי על קיומו של נזק עקיף וישיר כתוצאה ממלחמת חרבות ברזל באשקלון. דחיית התביעה על הסף מבוססת על שרשרת כשלים מצטברת מצד הרשות:</w:t>
      </w:r>
    </w:p>
    <w:p>
      <w:pPr>
        <w:bidi/>
        <w:spacing w:after="80"/>
      </w:pPr>
      <w:r>
        <w:rPr>
          <w:rFonts w:ascii="David Libre" w:cs="David Libre" w:eastAsia="David Libre" w:hAnsi="David Libre"/>
          <w:b w:val="false"/>
          <w:bCs w:val="false"/>
          <w:sz w:val="21"/>
          <w:szCs w:val="21"/>
          <w:rtl/>
        </w:rPr>
        <w:t xml:space="preserve">1. התעלמות מראיות: הרשות התעלמה ממסמכים וראיות פרטניות שהוגשו כדין (אסמכתאות 3-5), המעידים על פעילות עסקית שוטפת שנקטעה עקב המלחמה.</w:t>
      </w:r>
    </w:p>
    <w:p>
      <w:pPr>
        <w:bidi/>
        <w:spacing w:after="80"/>
      </w:pPr>
      <w:r>
        <w:rPr>
          <w:rFonts w:ascii="David Libre" w:cs="David Libre" w:eastAsia="David Libre" w:hAnsi="David Libre"/>
          <w:b w:val="false"/>
          <w:bCs w:val="false"/>
          <w:sz w:val="21"/>
          <w:szCs w:val="21"/>
          <w:rtl/>
        </w:rPr>
        <w:t xml:space="preserve">2. שגיאות עובדתיות: הרשות קבעה כי העסק לא פעל, בניגוד לתיעוד של עסקאות ומגעים שהבשילו ובוטלו בגלל המצב הביטחוני.</w:t>
      </w:r>
    </w:p>
    <w:p>
      <w:pPr>
        <w:bidi/>
        <w:spacing w:after="80"/>
      </w:pPr>
      <w:r>
        <w:rPr>
          <w:rFonts w:ascii="David Libre" w:cs="David Libre" w:eastAsia="David Libre" w:hAnsi="David Libre"/>
          <w:b w:val="false"/>
          <w:bCs w:val="false"/>
          <w:sz w:val="21"/>
          <w:szCs w:val="21"/>
          <w:rtl/>
        </w:rPr>
        <w:t xml:space="preserve">3. שגיאה משפטית ביישום פסיקה: הרשות נשענה על הלכת עין גדי (נזק אווירתי כללי) ועל הלכות קטיף ועמק איילון (נטל ראיה), תוך פרשנות שגויה שהתעלמה מהמבחן הכלכלי האובייקטיבי — לפיו מניעה כפויה (צווי פיקוד העורף) ביישוב ספר מופגז, מקיימת במלואה את דרישת הקשר הסיבתי (הלכת מוסך המרכז נ' צרפתי, הלכת קיבוץ נירים).</w:t>
      </w:r>
    </w:p>
    <w:p>
      <w:pPr>
        <w:spacing w:after="80"/>
      </w:pPr>
      <w:r>
        <w:t xml:space="preserve"/>
      </w:r>
    </w:p>
    <w:p>
      <w:pPr>
        <w:bidi/>
        <w:spacing w:after="80"/>
      </w:pPr>
      <w:r>
        <w:rPr>
          <w:rFonts w:ascii="David Libre" w:cs="David Libre" w:eastAsia="David Libre" w:hAnsi="David Libre"/>
          <w:b w:val="false"/>
          <w:bCs w:val="false"/>
          <w:sz w:val="21"/>
          <w:szCs w:val="21"/>
          <w:rtl/>
        </w:rPr>
        <w:t xml:space="preserve">החלטת הרשות מהווה פגם מנהלי חמור היורד לשורש ההליך. אשר על כן, ועדת הערר הנכבדה מתבקשת להורות כדלקמן:</w:t>
      </w:r>
    </w:p>
    <w:p>
      <w:pPr>
        <w:spacing w:after="80"/>
      </w:pPr>
      <w:r>
        <w:t xml:space="preserve"/>
      </w:r>
    </w:p>
    <w:p>
      <w:pPr>
        <w:bidi/>
        <w:spacing w:after="80" w:before="200"/>
      </w:pPr>
      <w:r>
        <w:rPr>
          <w:rFonts w:ascii="David Libre" w:cs="David Libre" w:eastAsia="David Libre" w:hAnsi="David Libre"/>
          <w:b/>
          <w:bCs/>
          <w:sz w:val="22"/>
          <w:szCs w:val="22"/>
          <w:rtl/>
        </w:rPr>
        <w:t xml:space="preserve">סעד ראשי:</w:t>
      </w:r>
    </w:p>
    <w:p>
      <w:pPr>
        <w:pStyle w:val="Heading2"/>
        <w:pBdr>
          <w:bottom w:val="single" w:color="CBD5E1" w:sz="1"/>
        </w:pBdr>
        <w:bidi/>
        <w:spacing w:after="120" w:before="300"/>
      </w:pPr>
      <w:r>
        <w:rPr>
          <w:rFonts w:ascii="David Libre" w:cs="David Libre" w:eastAsia="David Libre" w:hAnsi="David Libre"/>
          <w:b/>
          <w:bCs/>
          <w:sz w:val="26"/>
          <w:szCs w:val="26"/>
          <w:rtl/>
        </w:rPr>
        <w:t xml:space="preserve">א. לבטל את החלטת הרשות מיום 25.02.2026.</w:t>
      </w:r>
    </w:p>
    <w:p>
      <w:pPr>
        <w:pStyle w:val="Heading2"/>
        <w:pBdr>
          <w:bottom w:val="single" w:color="CBD5E1" w:sz="1"/>
        </w:pBdr>
        <w:bidi/>
        <w:spacing w:after="120" w:before="300"/>
      </w:pPr>
      <w:r>
        <w:rPr>
          <w:rFonts w:ascii="David Libre" w:cs="David Libre" w:eastAsia="David Libre" w:hAnsi="David Libre"/>
          <w:b/>
          <w:bCs/>
          <w:sz w:val="26"/>
          <w:szCs w:val="26"/>
          <w:rtl/>
        </w:rPr>
        <w:t xml:space="preserve">ב. לקבל את התביעה במלואה, לקבוע קשר סיבתי, ולאשר תשלום פיצויים בסך 77,080 ₪ כולל מע"מ.</w:t>
      </w:r>
    </w:p>
    <w:p>
      <w:pPr>
        <w:spacing w:after="80"/>
      </w:pPr>
      <w:r>
        <w:t xml:space="preserve"/>
      </w:r>
    </w:p>
    <w:p>
      <w:pPr>
        <w:bidi/>
        <w:spacing w:after="80" w:before="200"/>
      </w:pPr>
      <w:r>
        <w:rPr>
          <w:rFonts w:ascii="David Libre" w:cs="David Libre" w:eastAsia="David Libre" w:hAnsi="David Libre"/>
          <w:b/>
          <w:bCs/>
          <w:sz w:val="22"/>
          <w:szCs w:val="22"/>
          <w:rtl/>
        </w:rPr>
        <w:t xml:space="preserve">סעד חלופי:</w:t>
      </w:r>
    </w:p>
    <w:p>
      <w:pPr>
        <w:bidi/>
        <w:spacing w:after="80"/>
      </w:pPr>
      <w:r>
        <w:rPr>
          <w:rFonts w:ascii="David Libre" w:cs="David Libre" w:eastAsia="David Libre" w:hAnsi="David Libre"/>
          <w:b w:val="false"/>
          <w:bCs w:val="false"/>
          <w:sz w:val="21"/>
          <w:szCs w:val="21"/>
          <w:rtl/>
        </w:rPr>
        <w:t xml:space="preserve">ככל שהוועדה תמצא כי מתקיים קשר סיבתי אך נותר ספק לעניין התחשיב הכמותי — להשיב את התיק למפקח לבחינה מחודשת ושמאות כלכלית מול נתוני המערער, תוך ביטול הדחייה על הסף.</w:t>
      </w:r>
    </w:p>
    <w:p>
      <w:pPr>
        <w:spacing w:after="80"/>
      </w:pPr>
      <w:r>
        <w:t xml:space="preserve"/>
      </w:r>
    </w:p>
    <w:p>
      <w:pPr>
        <w:bidi/>
        <w:spacing w:after="80"/>
      </w:pPr>
      <w:r>
        <w:rPr>
          <w:rFonts w:ascii="David Libre" w:cs="David Libre" w:eastAsia="David Libre" w:hAnsi="David Libre"/>
          <w:b w:val="false"/>
          <w:bCs w:val="false"/>
          <w:sz w:val="21"/>
          <w:szCs w:val="21"/>
          <w:rtl/>
        </w:rPr>
        <w:t xml:space="preserve">בכבוד רב,</w:t>
      </w:r>
    </w:p>
    <w:p>
      <w:pPr>
        <w:spacing w:after="80"/>
      </w:pPr>
      <w:r>
        <w:t xml:space="preserve"/>
      </w:r>
    </w:p>
    <w:p>
      <w:pPr>
        <w:spacing w:before="200"/>
      </w:pPr>
      <w:r>
        <w:t xml:space="preserve"/>
      </w:r>
    </w:p>
    <w:p>
      <w:pPr>
        <w:bidi/>
        <w:jc w:val="right"/>
      </w:pPr>
      <w:r>
        <w:rPr>
          <w:rFonts w:ascii="David Libre" w:cs="David Libre" w:eastAsia="David Libre" w:hAnsi="David Libre"/>
          <w:sz w:val="22"/>
          <w:szCs w:val="22"/>
        </w:rPr>
        <w:t xml:space="preserve">___________________________</w:t>
      </w:r>
    </w:p>
    <w:p>
      <w:pPr>
        <w:bidi/>
        <w:spacing w:after="80"/>
      </w:pPr>
      <w:r>
        <w:rPr>
          <w:rFonts w:ascii="David Libre" w:cs="David Libre" w:eastAsia="David Libre" w:hAnsi="David Libre"/>
          <w:b w:val="false"/>
          <w:bCs w:val="false"/>
          <w:sz w:val="21"/>
          <w:szCs w:val="21"/>
          <w:rtl/>
        </w:rPr>
        <w:t xml:space="preserve">דימה רודניצקי, המערער</w:t>
      </w:r>
    </w:p>
    <w:p>
      <w:pPr>
        <w:spacing w:after="80"/>
      </w:pPr>
      <w:r>
        <w:t xml:space="preserve"/>
      </w:r>
    </w:p>
    <w:p>
      <w:pPr>
        <w:bidi/>
        <w:spacing w:after="80"/>
      </w:pPr>
      <w:r>
        <w:rPr>
          <w:rFonts w:ascii="David Libre" w:cs="David Libre" w:eastAsia="David Libre" w:hAnsi="David Libre"/>
          <w:b w:val="false"/>
          <w:bCs w:val="false"/>
          <w:sz w:val="21"/>
          <w:szCs w:val="21"/>
          <w:rtl/>
        </w:rPr>
        <w:t xml:space="preserve">(הערר והתחשיבים נערכו בסיוע מקצועי של דוד אלדד, רו"ח)</w:t>
      </w:r>
    </w:p>
    <w:sectPr>
      <w:headerReference w:type="default" r:id="rId7"/>
      <w:footerReference w:type="default" r:id="rId8"/>
      <w:type w:val="continuous"/>
      <w:pgSz w:w="11906" w:h="16838" w:orient="portrait"/>
      <w:pgMar w:top="10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00"/>
    </w:pPr>
  </w:p>
  <w:p>
    <w:pPr>
      <w:bidi/>
      <w:jc w:val="center"/>
    </w:pPr>
    <w:r>
      <w:rPr>
        <w:rFonts w:ascii="David Libre" w:cs="David Libre" w:eastAsia="David Libre" w:hAnsi="David Libre"/>
        <w:color w:val="94A3B8"/>
        <w:sz w:val="14"/>
        <w:szCs w:val="14"/>
        <w:rtl/>
      </w:rPr>
      <w:t xml:space="preserve">6 באפריל 2026 | עמוד </w:t>
    </w:r>
    <w:r>
      <w:rPr>
        <w:rFonts w:ascii="Calibri" w:cs="Calibri" w:eastAsia="Calibri" w:hAnsi="Calibri"/>
        <w:color w:val="94A3B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40"/>
      <w:jc w:val="center"/>
    </w:pPr>
    <w:r>
      <w:rPr>
        <w:rFonts w:ascii="David Libre" w:cs="David Libre" w:eastAsia="David Libre" w:hAnsi="David Libre"/>
        <w:b/>
        <w:bCs/>
        <w:color w:val="1E3A5F"/>
        <w:sz w:val="20"/>
        <w:szCs w:val="20"/>
        <w:rtl/>
      </w:rPr>
      <w:t xml:space="preserve">ניהול דוד אלדד רו"ח</w:t>
    </w:r>
    <w:r>
      <w:rPr>
        <w:rFonts w:ascii="Calibri" w:cs="Calibri" w:eastAsia="Calibri" w:hAnsi="Calibri"/>
        <w:color w:val="5B7FA5"/>
        <w:sz w:val="16"/>
        <w:szCs w:val="16"/>
      </w:rPr>
      <w:t xml:space="preserve">  |  DAVID ELDAD CPA MANAGEMENT</w:t>
    </w:r>
  </w:p>
  <w:p>
    <w:pPr>
      <w:pBdr>
        <w:bottom w:val="single" w:color="C9A84C" w:sz="6"/>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Libre" w:cs="David Libre" w:eastAsia="David Libre" w:hAnsi="David Libre"/>
        <w:sz w:val="22"/>
        <w:szCs w:val="22"/>
        <w:rtl/>
      </w:rPr>
    </w:rPrDefault>
    <w:pPrDefault>
      <w:pPr>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2026-04-06T16:35:04.477Z</dcterms:created>
  <dcterms:modified xsi:type="dcterms:W3CDTF">2026-04-06T16:35:04.477Z</dcterms:modified>
</cp:coreProperties>
</file>

<file path=docProps/custom.xml><?xml version="1.0" encoding="utf-8"?>
<Properties xmlns="http://schemas.openxmlformats.org/officeDocument/2006/custom-properties" xmlns:vt="http://schemas.openxmlformats.org/officeDocument/2006/docPropsVTypes"/>
</file>