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 xml:space="preserve">NR6 Performance Rim Brake </w:t>
      </w:r>
    </w:p>
    <w:p/>
    <w:p>
      <w:r>
        <w:t>THE PURPOSE</w:t>
      </w:r>
    </w:p>
    <w:p>
      <w:r>
        <w:t>The NR6 performance Rim brake wheelsets are designed to be used by all levels of cyclists. They have been tested climbing up the wet and cold roads in Scotland to the very hot and dry descents down Mount Ventoux. These wheels have been made with strength in mind without adding extra weight. Due to this the handling is very Consistent and predictable during varying side wind conditions.    Both the 50mm and 88mm are not only UCI approved but have also passed extra strength testing carried out by CPT in Belgium both sizes passing with the highest marks possible.</w:t>
      </w:r>
    </w:p>
    <w:p>
      <w:r>
        <w:t>O though we do have some stock most of are wheels are made to order allowing the customer to choose their favourite logo colour and to mix and match front and rear wheel sizes.</w:t>
      </w:r>
    </w:p>
    <w:p/>
    <w:p>
      <w:r>
        <w:t>KEY FEATURES</w:t>
      </w:r>
    </w:p>
    <w:p>
      <w:r>
        <w:t>Rims | T800/T1000 Carbon mix tubeless compatible and a high TG  brake track surface for ultimate brake performance. with a 25mm external width rim to give extra strength and better Aero performance with tyre sizes 25-28mm.  These rims are available in 6 different finishes ,UD Matt, UD Gloss, Matt Marble, Gloss Marble, 3k Twill Matt and 3k Twill Gloss</w:t>
      </w:r>
    </w:p>
    <w:p>
      <w:r>
        <w:t>Bearings | Uprated Ceramic bearings as standard to help the wheels spin more freely saving the rider valuable watts.</w:t>
      </w:r>
    </w:p>
    <w:p>
      <w:r>
        <w:t>Hubs| NR6 lightweight Straight pull 24h/24/h Quick release hub suited for Rim brake wheels only</w:t>
      </w:r>
    </w:p>
    <w:p>
      <w:r>
        <w:t>Spokes| Sapim CX-Ray Aero Spokes to give a better aero performance and strength to the wheels.</w:t>
      </w:r>
    </w:p>
    <w:p>
      <w:r>
        <w:t>Included | Rim tape, Brake blocks and light weight Quick release.</w:t>
      </w:r>
    </w:p>
    <w:p>
      <w:r>
        <w:t>Extras | Full tubeless rim, Tubular rim, Brass nipples, Coloured Nipples.</w:t>
      </w:r>
    </w:p>
    <w:p>
      <w:r>
        <w:t xml:space="preserve">Warranty | 2 year warranty on all performance rim wheels. </w:t>
      </w:r>
    </w:p>
    <w:p>
      <w:r>
        <w:t>Prices from</w:t>
      </w:r>
    </w:p>
    <w:p/>
    <w:tbl>
      <w:tblPr>
        <w:tblStyle w:val="3"/>
        <w:tblW w:w="7010" w:type="dxa"/>
        <w:jc w:val="center"/>
        <w:tblLayout w:type="autofit"/>
        <w:tblCellMar>
          <w:top w:w="0" w:type="dxa"/>
          <w:left w:w="108" w:type="dxa"/>
          <w:bottom w:w="0" w:type="dxa"/>
          <w:right w:w="108" w:type="dxa"/>
        </w:tblCellMar>
      </w:tblPr>
      <w:tblGrid>
        <w:gridCol w:w="1340"/>
        <w:gridCol w:w="2250"/>
        <w:gridCol w:w="1800"/>
        <w:gridCol w:w="1620"/>
      </w:tblGrid>
      <w:tr>
        <w:tblPrEx>
          <w:tblCellMar>
            <w:top w:w="0" w:type="dxa"/>
            <w:left w:w="108" w:type="dxa"/>
            <w:bottom w:w="0" w:type="dxa"/>
            <w:right w:w="108" w:type="dxa"/>
          </w:tblCellMar>
        </w:tblPrEx>
        <w:trPr>
          <w:trHeight w:val="300" w:hRule="atLeast"/>
          <w:jc w:val="center"/>
        </w:trPr>
        <w:tc>
          <w:tcPr>
            <w:tcW w:w="1340" w:type="dxa"/>
            <w:tcBorders>
              <w:top w:val="single" w:color="auto" w:sz="8" w:space="0"/>
              <w:left w:val="single" w:color="auto" w:sz="8" w:space="0"/>
              <w:bottom w:val="single" w:color="auto" w:sz="4" w:space="0"/>
              <w:right w:val="single" w:color="auto" w:sz="4" w:space="0"/>
            </w:tcBorders>
            <w:noWrap/>
            <w:vAlign w:val="bottom"/>
          </w:tcPr>
          <w:p>
            <w:pPr>
              <w:rPr>
                <w:lang w:val="en-US"/>
              </w:rPr>
            </w:pPr>
            <w:r>
              <w:rPr>
                <w:lang w:val="en-US"/>
              </w:rPr>
              <w:t xml:space="preserve">RIM </w:t>
            </w:r>
          </w:p>
        </w:tc>
        <w:tc>
          <w:tcPr>
            <w:tcW w:w="2250" w:type="dxa"/>
            <w:tcBorders>
              <w:top w:val="single" w:color="auto" w:sz="8" w:space="0"/>
              <w:left w:val="nil"/>
              <w:bottom w:val="single" w:color="auto" w:sz="4" w:space="0"/>
              <w:right w:val="single" w:color="auto" w:sz="4" w:space="0"/>
            </w:tcBorders>
            <w:noWrap/>
            <w:vAlign w:val="bottom"/>
          </w:tcPr>
          <w:p>
            <w:pPr>
              <w:rPr>
                <w:lang w:val="en-US"/>
              </w:rPr>
            </w:pPr>
            <w:r>
              <w:rPr>
                <w:lang w:val="en-US"/>
              </w:rPr>
              <w:t>HUB</w:t>
            </w:r>
          </w:p>
        </w:tc>
        <w:tc>
          <w:tcPr>
            <w:tcW w:w="1800" w:type="dxa"/>
            <w:tcBorders>
              <w:top w:val="single" w:color="auto" w:sz="8" w:space="0"/>
              <w:left w:val="nil"/>
              <w:bottom w:val="single" w:color="auto" w:sz="4" w:space="0"/>
              <w:right w:val="single" w:color="auto" w:sz="4" w:space="0"/>
            </w:tcBorders>
            <w:noWrap/>
            <w:vAlign w:val="bottom"/>
          </w:tcPr>
          <w:p>
            <w:pPr>
              <w:rPr>
                <w:lang w:val="en-US"/>
              </w:rPr>
            </w:pPr>
            <w:r>
              <w:rPr>
                <w:lang w:val="en-US"/>
              </w:rPr>
              <w:t>WEIGHT +/- 35g</w:t>
            </w:r>
          </w:p>
        </w:tc>
        <w:tc>
          <w:tcPr>
            <w:tcW w:w="1620" w:type="dxa"/>
            <w:tcBorders>
              <w:top w:val="single" w:color="auto" w:sz="8" w:space="0"/>
              <w:left w:val="nil"/>
              <w:bottom w:val="single" w:color="auto" w:sz="4" w:space="0"/>
              <w:right w:val="single" w:color="auto" w:sz="8" w:space="0"/>
            </w:tcBorders>
            <w:noWrap/>
            <w:vAlign w:val="bottom"/>
          </w:tcPr>
          <w:p>
            <w:pPr>
              <w:rPr>
                <w:lang w:val="en-US"/>
              </w:rPr>
            </w:pPr>
            <w:r>
              <w:rPr>
                <w:lang w:val="en-US"/>
              </w:rPr>
              <w:t>PRICE</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25 mm</w:t>
            </w:r>
          </w:p>
        </w:tc>
        <w:tc>
          <w:tcPr>
            <w:tcW w:w="2250" w:type="dxa"/>
            <w:tcBorders>
              <w:top w:val="nil"/>
              <w:left w:val="nil"/>
              <w:bottom w:val="single" w:color="auto" w:sz="4" w:space="0"/>
              <w:right w:val="single" w:color="auto" w:sz="4" w:space="0"/>
            </w:tcBorders>
            <w:noWrap/>
            <w:vAlign w:val="bottom"/>
          </w:tcPr>
          <w:p>
            <w:pPr>
              <w:rPr>
                <w:lang w:val="en-US"/>
              </w:rPr>
            </w:pPr>
            <w:r>
              <w:rPr>
                <w:lang w:val="en-US"/>
              </w:rPr>
              <w:t> Nr6 Ceramic bearing</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1320g</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£635</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30 mm</w:t>
            </w:r>
          </w:p>
        </w:tc>
        <w:tc>
          <w:tcPr>
            <w:tcW w:w="2250" w:type="dxa"/>
            <w:tcBorders>
              <w:top w:val="nil"/>
              <w:left w:val="nil"/>
              <w:bottom w:val="single" w:color="auto" w:sz="4" w:space="0"/>
              <w:right w:val="single" w:color="auto" w:sz="4" w:space="0"/>
            </w:tcBorders>
            <w:noWrap/>
            <w:vAlign w:val="bottom"/>
          </w:tcPr>
          <w:p>
            <w:pPr>
              <w:rPr>
                <w:lang w:val="en-US"/>
              </w:rPr>
            </w:pPr>
            <w:r>
              <w:rPr>
                <w:lang w:val="en-US"/>
              </w:rPr>
              <w:t> Nr6 Ceramic bearing</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1380g</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£625</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38 mm</w:t>
            </w:r>
          </w:p>
        </w:tc>
        <w:tc>
          <w:tcPr>
            <w:tcW w:w="2250" w:type="dxa"/>
            <w:tcBorders>
              <w:top w:val="nil"/>
              <w:left w:val="nil"/>
              <w:bottom w:val="single" w:color="auto" w:sz="4" w:space="0"/>
              <w:right w:val="single" w:color="auto" w:sz="4" w:space="0"/>
            </w:tcBorders>
            <w:noWrap/>
            <w:vAlign w:val="bottom"/>
          </w:tcPr>
          <w:p>
            <w:pPr>
              <w:rPr>
                <w:lang w:val="en-US"/>
              </w:rPr>
            </w:pPr>
            <w:r>
              <w:rPr>
                <w:lang w:val="en-US"/>
              </w:rPr>
              <w:t> Nr6 Ceramic bearing</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1460g</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£635</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50 mm UCI</w:t>
            </w:r>
          </w:p>
        </w:tc>
        <w:tc>
          <w:tcPr>
            <w:tcW w:w="2250" w:type="dxa"/>
            <w:tcBorders>
              <w:top w:val="nil"/>
              <w:left w:val="nil"/>
              <w:bottom w:val="single" w:color="auto" w:sz="4" w:space="0"/>
              <w:right w:val="single" w:color="auto" w:sz="4" w:space="0"/>
            </w:tcBorders>
            <w:noWrap/>
            <w:vAlign w:val="bottom"/>
          </w:tcPr>
          <w:p>
            <w:pPr>
              <w:rPr>
                <w:lang w:val="en-US"/>
              </w:rPr>
            </w:pPr>
            <w:r>
              <w:rPr>
                <w:lang w:val="en-US"/>
              </w:rPr>
              <w:t> Nr6 Ceramic bearing</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1550g</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£665</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60 mm</w:t>
            </w:r>
          </w:p>
        </w:tc>
        <w:tc>
          <w:tcPr>
            <w:tcW w:w="2250" w:type="dxa"/>
            <w:tcBorders>
              <w:top w:val="nil"/>
              <w:left w:val="nil"/>
              <w:bottom w:val="single" w:color="auto" w:sz="4" w:space="0"/>
              <w:right w:val="single" w:color="auto" w:sz="4" w:space="0"/>
            </w:tcBorders>
            <w:noWrap/>
            <w:vAlign w:val="bottom"/>
          </w:tcPr>
          <w:p>
            <w:pPr>
              <w:rPr>
                <w:lang w:val="en-US"/>
              </w:rPr>
            </w:pPr>
            <w:r>
              <w:rPr>
                <w:lang w:val="en-US"/>
              </w:rPr>
              <w:t> Nr6 Ceramic bearing</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1620g</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£735</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88 mm UCI</w:t>
            </w:r>
          </w:p>
        </w:tc>
        <w:tc>
          <w:tcPr>
            <w:tcW w:w="2250" w:type="dxa"/>
            <w:tcBorders>
              <w:top w:val="nil"/>
              <w:left w:val="nil"/>
              <w:bottom w:val="single" w:color="auto" w:sz="4" w:space="0"/>
              <w:right w:val="single" w:color="auto" w:sz="4" w:space="0"/>
            </w:tcBorders>
            <w:noWrap/>
            <w:vAlign w:val="bottom"/>
          </w:tcPr>
          <w:p>
            <w:pPr>
              <w:rPr>
                <w:lang w:val="en-US"/>
              </w:rPr>
            </w:pPr>
            <w:r>
              <w:rPr>
                <w:lang w:val="en-US"/>
              </w:rPr>
              <w:t> Nr6 Ceramic bearing</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1890</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£785</w:t>
            </w:r>
          </w:p>
        </w:tc>
      </w:tr>
      <w:tr>
        <w:tblPrEx>
          <w:tblCellMar>
            <w:top w:w="0" w:type="dxa"/>
            <w:left w:w="108" w:type="dxa"/>
            <w:bottom w:w="0" w:type="dxa"/>
            <w:right w:w="108" w:type="dxa"/>
          </w:tblCellMar>
        </w:tblPrEx>
        <w:trPr>
          <w:trHeight w:val="315" w:hRule="atLeast"/>
          <w:jc w:val="center"/>
        </w:trPr>
        <w:tc>
          <w:tcPr>
            <w:tcW w:w="1340" w:type="dxa"/>
            <w:tcBorders>
              <w:top w:val="nil"/>
              <w:left w:val="single" w:color="auto" w:sz="8" w:space="0"/>
              <w:bottom w:val="single" w:color="auto" w:sz="8" w:space="0"/>
              <w:right w:val="single" w:color="auto" w:sz="4" w:space="0"/>
            </w:tcBorders>
            <w:noWrap/>
            <w:vAlign w:val="bottom"/>
          </w:tcPr>
          <w:p>
            <w:pPr>
              <w:rPr>
                <w:lang w:val="en-US"/>
              </w:rPr>
            </w:pPr>
            <w:r>
              <w:rPr>
                <w:lang w:val="en-US"/>
              </w:rPr>
              <w:t> Rear DISC</w:t>
            </w:r>
          </w:p>
        </w:tc>
        <w:tc>
          <w:tcPr>
            <w:tcW w:w="2250" w:type="dxa"/>
            <w:tcBorders>
              <w:top w:val="nil"/>
              <w:left w:val="nil"/>
              <w:bottom w:val="single" w:color="auto" w:sz="8" w:space="0"/>
              <w:right w:val="single" w:color="auto" w:sz="4" w:space="0"/>
            </w:tcBorders>
            <w:noWrap/>
            <w:vAlign w:val="bottom"/>
          </w:tcPr>
          <w:p>
            <w:pPr>
              <w:rPr>
                <w:lang w:val="en-US"/>
              </w:rPr>
            </w:pPr>
            <w:r>
              <w:rPr>
                <w:lang w:val="en-US"/>
              </w:rPr>
              <w:t> Nr6 Ceramic bearing</w:t>
            </w:r>
          </w:p>
        </w:tc>
        <w:tc>
          <w:tcPr>
            <w:tcW w:w="1800" w:type="dxa"/>
            <w:tcBorders>
              <w:top w:val="nil"/>
              <w:left w:val="nil"/>
              <w:bottom w:val="single" w:color="auto" w:sz="8" w:space="0"/>
              <w:right w:val="single" w:color="auto" w:sz="4" w:space="0"/>
            </w:tcBorders>
            <w:noWrap/>
            <w:vAlign w:val="bottom"/>
          </w:tcPr>
          <w:p>
            <w:pPr>
              <w:rPr>
                <w:lang w:val="en-US"/>
              </w:rPr>
            </w:pPr>
            <w:r>
              <w:rPr>
                <w:lang w:val="en-US"/>
              </w:rPr>
              <w:t> 1300g</w:t>
            </w:r>
          </w:p>
        </w:tc>
        <w:tc>
          <w:tcPr>
            <w:tcW w:w="1620" w:type="dxa"/>
            <w:tcBorders>
              <w:top w:val="nil"/>
              <w:left w:val="nil"/>
              <w:bottom w:val="single" w:color="auto" w:sz="8" w:space="0"/>
              <w:right w:val="single" w:color="auto" w:sz="8" w:space="0"/>
            </w:tcBorders>
            <w:noWrap/>
            <w:vAlign w:val="bottom"/>
          </w:tcPr>
          <w:p>
            <w:pPr>
              <w:rPr>
                <w:lang w:val="en-US"/>
              </w:rPr>
            </w:pPr>
            <w:r>
              <w:rPr>
                <w:lang w:val="en-US"/>
              </w:rPr>
              <w:t> £845</w:t>
            </w:r>
          </w:p>
        </w:tc>
      </w:tr>
    </w:tbl>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58"/>
    <w:rsid w:val="00513701"/>
    <w:rsid w:val="00574158"/>
    <w:rsid w:val="00621CEE"/>
    <w:rsid w:val="00747720"/>
    <w:rsid w:val="00773AA9"/>
    <w:rsid w:val="007E20CB"/>
    <w:rsid w:val="00B136D3"/>
    <w:rsid w:val="00C75EC4"/>
    <w:rsid w:val="00DB7D6E"/>
    <w:rsid w:val="00EF4EFD"/>
    <w:rsid w:val="00FE00FC"/>
    <w:rsid w:val="598249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Amazon Corporate</Company>
  <Pages>1</Pages>
  <Words>299</Words>
  <Characters>1710</Characters>
  <Lines>14</Lines>
  <Paragraphs>4</Paragraphs>
  <TotalTime>0</TotalTime>
  <ScaleCrop>false</ScaleCrop>
  <LinksUpToDate>false</LinksUpToDate>
  <CharactersWithSpaces>2005</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2021-07-05T13:06:00Z</dcterms:created>
  <dc:creator>Woodhouse, Scott</dc:creator>
  <cp:lastModifiedBy>eldan</cp:lastModifiedBy>
  <dcterms:modified xsi:type="dcterms:W3CDTF">2022-01-15T21:10:07Z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2057-11.2.0.10443</vt:lpwstr>
  </property>
  <property fmtid="{D5CDD505-2E9C-101B-9397-08002B2CF9AE}" pid="3" name="ICV">
    <vt:lpwstr>A9DC77F9195B41A1B308C7C8959D282A</vt:lpwstr>
  </property>
</Properties>
</file>