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Пермский национальный исследовательский политехнический университет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Гуманитарный факультет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Кафедра «Менеджмент и маркетинг»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  <w:t xml:space="preserve"> 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ind w:left="4536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ind w:left="4536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center"/>
        <w:outlineLvl w:val="4"/>
        <w:rPr>
          <w:rFonts w:ascii="Times New Roman" w:hAnsi="Times New Roman" w:eastAsia="Times New Roman" w:cs="Times New Roman"/>
          <w:b/>
          <w:b/>
          <w:bCs/>
          <w:i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iCs/>
          <w:caps/>
          <w:color w:val="000000"/>
          <w:sz w:val="28"/>
          <w:szCs w:val="28"/>
          <w:lang w:eastAsia="zh-CN"/>
        </w:rPr>
        <w:t>аналитический отчет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bCs/>
          <w:i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iCs/>
          <w:color w:val="000000"/>
          <w:sz w:val="28"/>
          <w:szCs w:val="28"/>
          <w:lang w:eastAsia="zh-CN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Наименование темы: Сельское хозяйство: растениеводство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ind w:left="2835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Студент     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  <w:t>___________/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4"/>
          <w:lang w:eastAsia="zh-CN"/>
        </w:rPr>
        <w:t xml:space="preserve"> Миннахметов Э.Ю.</w:t>
      </w:r>
    </w:p>
    <w:p>
      <w:pPr>
        <w:pStyle w:val="Normal"/>
        <w:tabs>
          <w:tab w:val="clear" w:pos="708"/>
          <w:tab w:val="left" w:pos="6663" w:leader="none"/>
        </w:tabs>
        <w:spacing w:lineRule="auto" w:line="360" w:before="0" w:after="0"/>
        <w:ind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>(подпись)                          (инициалы, фамилия)</w:t>
      </w:r>
    </w:p>
    <w:p>
      <w:pPr>
        <w:pStyle w:val="Normal"/>
        <w:spacing w:lineRule="auto" w:line="360" w:before="0" w:after="0"/>
        <w:ind w:left="283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Группа           РИС-19-1б</w:t>
      </w:r>
    </w:p>
    <w:p>
      <w:pPr>
        <w:pStyle w:val="Normal"/>
        <w:spacing w:lineRule="auto" w:line="360" w:before="0" w:after="0"/>
        <w:ind w:left="2835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ind w:left="2835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Научный руководитель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  <w:t>_________/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4"/>
          <w:lang w:eastAsia="zh-CN"/>
        </w:rPr>
        <w:t>Климова Е.К.</w:t>
      </w:r>
    </w:p>
    <w:p>
      <w:pPr>
        <w:pStyle w:val="Normal"/>
        <w:spacing w:before="0" w:after="0"/>
        <w:ind w:left="4678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 xml:space="preserve">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>(подпись)</w:t>
        <w:tab/>
        <w:t xml:space="preserve">  (инициалы, фамилия)</w:t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Дата защиты __________ </w:t>
        <w:tab/>
        <w:t>Оценка_____________</w:t>
      </w:r>
    </w:p>
    <w:p>
      <w:pPr>
        <w:pStyle w:val="Normal"/>
        <w:spacing w:before="0" w:after="0"/>
        <w:ind w:left="5103" w:right="-624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4253" w:right="-624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Пермь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cs="Times New Roman"/>
              <w:color w:val="auto"/>
            </w:rPr>
          </w:pPr>
          <w:r>
            <w:rPr>
              <w:rFonts w:cs="Times New Roman"/>
              <w:color w:val="auto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245517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6">
            <w:r>
              <w:rPr>
                <w:webHidden/>
                <w:vanish w:val="false"/>
              </w:rPr>
              <w:t xml:space="preserve">1. </w:t>
            </w:r>
            <w:r>
              <w:rPr/>
              <w:t>Анализ статистических данных растениеводства в России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7">
            <w:r>
              <w:rPr>
                <w:webHidden/>
                <w:vanish w:val="false"/>
              </w:rPr>
              <w:t xml:space="preserve">2. </w:t>
            </w:r>
          </w:hyperlink>
          <w:hyperlink w:anchor="_Toc245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 xml:space="preserve">Анализ статистических данных </w:t>
            </w:r>
            <w:r>
              <w:rPr>
                <w:webHidden/>
              </w:rPr>
              <w:fldChar w:fldCharType="end"/>
            </w:r>
          </w:hyperlink>
          <w:hyperlink w:anchor="_Toc245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растениеводства в</w:t>
            </w:r>
            <w:r>
              <w:rPr>
                <w:webHidden/>
              </w:rPr>
              <w:fldChar w:fldCharType="end"/>
            </w:r>
          </w:hyperlink>
          <w:r>
            <w:rPr/>
            <w:t xml:space="preserve"> Пермском крае и республике Башкортостан</w:t>
          </w:r>
          <w:hyperlink w:anchor="_Toc24551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.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8">
            <w:r>
              <w:rPr>
                <w:webHidden/>
                <w:rFonts w:cs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9">
            <w:r>
              <w:rPr>
                <w:webHidden/>
                <w:rFonts w:cs="Times New Roman"/>
                <w:iCs/>
                <w:vanish w:val="false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</w:r>
    </w:p>
    <w:p>
      <w:pPr>
        <w:pStyle w:val="1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</w:r>
      <w:r>
        <w:br w:type="page"/>
      </w:r>
    </w:p>
    <w:p>
      <w:pPr>
        <w:pStyle w:val="1"/>
        <w:rPr/>
      </w:pPr>
      <w:bookmarkStart w:id="0" w:name="_Toc24551725"/>
      <w:r>
        <w:rPr/>
        <w:t>Введение</w:t>
      </w:r>
      <w:bookmarkEnd w:id="0"/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Что такое «наука и инновации» в современном мире? Прежде всего, это фундамент цифровой стороны общества, который определяет потенциал научного развития государства и возможность комфортного использования технически-продвинутого оборудования.</w:t>
      </w:r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Актуальность анализа статистических данных науки и инноваций напрямую связана с решением многих задач, поставленных страной. Анализ наиболее важный показатель, отражающий эффективность научно-технической политики государства, он находит своё отражение во всех сферах общества.</w:t>
      </w:r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Цель работы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заключается в статистическом анализе и поиске закономерностей в отрасли науки и инновации, через исследование количественных показателей числа научных предприятий, исследователей, исследований, затрат на исследования и разработок новых технологий.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Для реализации цели необходимо решить следующие </w:t>
      </w:r>
      <w:r>
        <w:rPr>
          <w:rFonts w:eastAsia="Calibri" w:cs="Times New Roman" w:ascii="Times New Roman" w:hAnsi="Times New Roman"/>
          <w:b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Найти статистические данные отрасли «науки и инноваций»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Отследить изменение основных показателей за определенный период времени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Проанализировать полученные данные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Произвести оценку данной отрасли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связи с поставленными задачами необходимо отметить ряд использованных методов, таких как графический метод, метод моделирования, анализ статистических данных по средствам таблицы, синтез, а также дедуктивный и индукционный метод.</w:t>
      </w:r>
    </w:p>
    <w:p>
      <w:pPr>
        <w:pStyle w:val="Normal"/>
        <w:spacing w:lineRule="auto" w:line="360" w:before="0" w:after="160"/>
        <w:ind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Данные для анализа были взяты из «Российского статистического ежегодника»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" w:name="_Toc24551726"/>
      <w:r>
        <w:rPr/>
        <w:t xml:space="preserve">1. Анализ статистических данных </w:t>
      </w: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  <w:t xml:space="preserve">растениеводства </w:t>
      </w:r>
      <w:r>
        <w:rPr/>
        <w:t>в России</w:t>
      </w:r>
      <w:bookmarkEnd w:id="1"/>
    </w:p>
    <w:p>
      <w:pPr>
        <w:pStyle w:val="Style25"/>
        <w:rPr/>
      </w:pPr>
      <w:r>
        <w:rPr/>
        <w:t xml:space="preserve">Для анализа статистических данных рассмотрим численность организаций, выполнявших исследования и разработку в период с 2000 г. по 2017 г.: </w:t>
      </w:r>
    </w:p>
    <w:p>
      <w:pPr>
        <w:pStyle w:val="00Zagolovok"/>
        <w:spacing w:lineRule="auto" w:line="240" w:before="240" w:after="60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sz w:val="24"/>
          <w:szCs w:val="24"/>
        </w:rPr>
        <w:t>Таблица 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lang w:eastAsia="ru-RU"/>
        </w:rPr>
        <w:t>Посевные площади основных сельскохозяйственных культур</w:t>
      </w:r>
    </w:p>
    <w:tbl>
      <w:tblPr>
        <w:tblStyle w:val="a4"/>
        <w:tblW w:w="10915" w:type="dxa"/>
        <w:jc w:val="left"/>
        <w:tblInd w:w="-1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40"/>
        <w:gridCol w:w="855"/>
        <w:gridCol w:w="854"/>
        <w:gridCol w:w="841"/>
        <w:gridCol w:w="855"/>
        <w:gridCol w:w="1530"/>
        <w:gridCol w:w="1815"/>
        <w:gridCol w:w="1449"/>
      </w:tblGrid>
      <w:tr>
        <w:trPr>
          <w:trHeight w:val="67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2010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2015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2016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2017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Абсолютное отклонение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Относительное отклонение % 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Темп прироста %</w:t>
            </w:r>
          </w:p>
        </w:tc>
      </w:tr>
      <w:tr>
        <w:trPr>
          <w:trHeight w:val="31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Всего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84670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74861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78635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79312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80048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-4622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94,5%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-5,5%</w:t>
            </w:r>
          </w:p>
        </w:tc>
      </w:tr>
      <w:tr>
        <w:trPr>
          <w:trHeight w:val="31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 том числе: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Зерновые и зернобобовые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45585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43203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46609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47100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47705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2120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104,6%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4,6%</w:t>
            </w:r>
          </w:p>
        </w:tc>
      </w:tr>
      <w:tr>
        <w:trPr>
          <w:trHeight w:val="45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Технические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6458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10909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12722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13618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13959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7501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216,2%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116,2% </w:t>
            </w:r>
          </w:p>
        </w:tc>
      </w:tr>
      <w:tr>
        <w:trPr>
          <w:trHeight w:val="780" w:hRule="atLeast"/>
        </w:trPr>
        <w:tc>
          <w:tcPr>
            <w:tcW w:w="187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Картофель и овощебахчевые культуры</w:t>
            </w:r>
          </w:p>
        </w:tc>
        <w:tc>
          <w:tcPr>
            <w:tcW w:w="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3728</w:t>
            </w:r>
          </w:p>
        </w:tc>
        <w:tc>
          <w:tcPr>
            <w:tcW w:w="85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2704</w:t>
            </w:r>
          </w:p>
        </w:tc>
        <w:tc>
          <w:tcPr>
            <w:tcW w:w="85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2311</w:t>
            </w:r>
          </w:p>
        </w:tc>
        <w:tc>
          <w:tcPr>
            <w:tcW w:w="84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2169</w:t>
            </w:r>
          </w:p>
        </w:tc>
        <w:tc>
          <w:tcPr>
            <w:tcW w:w="85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2042</w:t>
            </w:r>
          </w:p>
        </w:tc>
        <w:tc>
          <w:tcPr>
            <w:tcW w:w="153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-1686</w:t>
            </w:r>
          </w:p>
        </w:tc>
        <w:tc>
          <w:tcPr>
            <w:tcW w:w="181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57,8%</w:t>
            </w:r>
          </w:p>
        </w:tc>
        <w:tc>
          <w:tcPr>
            <w:tcW w:w="144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-42,2% </w:t>
            </w:r>
          </w:p>
        </w:tc>
      </w:tr>
      <w:tr>
        <w:trPr/>
        <w:tc>
          <w:tcPr>
            <w:tcW w:w="18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Кормовые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28899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18045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16993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16425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16342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-12557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56,6%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-43,4%</w:t>
            </w:r>
          </w:p>
        </w:tc>
      </w:tr>
    </w:tbl>
    <w:p>
      <w:pPr>
        <w:pStyle w:val="00Zagolovok"/>
        <w:spacing w:lineRule="auto" w:line="240" w:before="240" w:after="60"/>
        <w:jc w:val="left"/>
        <w:rPr>
          <w:rFonts w:ascii="Times New Roman" w:hAnsi="Times New Roman" w:eastAsia="Calibri" w:eastAsiaTheme="minorHAnsi"/>
          <w:b w:val="false"/>
          <w:b w:val="false"/>
          <w:caps w:val="false"/>
          <w:smallCaps w:val="false"/>
          <w:sz w:val="24"/>
          <w:szCs w:val="24"/>
          <w:lang w:eastAsia="en-US"/>
        </w:rPr>
      </w:pPr>
      <w:r>
        <w:rPr>
          <w:rFonts w:eastAsia="Calibri" w:eastAsiaTheme="minorHAnsi" w:ascii="Times New Roman" w:hAnsi="Times New Roman"/>
          <w:b w:val="false"/>
          <w:caps w:val="false"/>
          <w:smallCaps w:val="false"/>
          <w:sz w:val="24"/>
          <w:szCs w:val="24"/>
          <w:lang w:eastAsia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762625" cy="279082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00Zagolovok"/>
        <w:spacing w:lineRule="auto" w:line="240" w:before="240" w:after="60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sz w:val="24"/>
        </w:rPr>
        <w:t>Рисунок 1</w:t>
      </w:r>
      <w:r>
        <w:rPr>
          <w:rFonts w:ascii="Times New Roman" w:hAnsi="Times New Roman"/>
          <w:sz w:val="24"/>
        </w:rPr>
        <w:t xml:space="preserve"> –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lang w:eastAsia="ru-RU"/>
        </w:rPr>
        <w:t>Посевные площади основных сельскохозяйственных культур</w:t>
      </w:r>
      <w:r>
        <w:rPr>
          <w:rFonts w:ascii="Times New Roman" w:hAnsi="Times New Roman"/>
          <w:b w:val="false"/>
          <w:caps w:val="false"/>
          <w:smallCaps w:val="false"/>
          <w:color w:val="000000"/>
          <w:sz w:val="24"/>
          <w:szCs w:val="24"/>
        </w:rPr>
        <w:t xml:space="preserve"> с 2000 по 2017г.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yle25"/>
        <w:rPr/>
      </w:pPr>
      <w:r>
        <w:rPr/>
        <w:t xml:space="preserve">По данным таблицы 1 и диаграммы 1 видно, что в период с 2015 г. по 2017 г. число организаций, выполнявших исследования и разработки значительно сократилось. Такая ситуация может быть связана с кризисом 2014 года. Наименьшее количество организаций, выполнявших исследования и разработки было в 2010 г. На это мог повлиять кризис 2008 года.  </w:t>
      </w:r>
    </w:p>
    <w:p>
      <w:pPr>
        <w:pStyle w:val="Style25"/>
        <w:rPr/>
      </w:pPr>
      <w:r>
        <w:rPr/>
        <w:t>Исходя из данных таблицы 1 – первое место по численности организаций, выполнявших исследования и разработки занимают научно-исследовательские организации. В числе аутсайдеров фигурируют проектные и проектно-изыскательские организации и опытные заводы.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2. Валовый сбор основных продуктов растениеводства</w:t>
      </w:r>
    </w:p>
    <w:tbl>
      <w:tblPr>
        <w:tblStyle w:val="a4"/>
        <w:tblW w:w="1049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40"/>
        <w:gridCol w:w="1020"/>
        <w:gridCol w:w="915"/>
        <w:gridCol w:w="960"/>
        <w:gridCol w:w="911"/>
        <w:gridCol w:w="1559"/>
        <w:gridCol w:w="1421"/>
        <w:gridCol w:w="991"/>
      </w:tblGrid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2000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2016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Абсолютное отклонение 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Относительное отклонение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Темп прироста</w:t>
            </w:r>
          </w:p>
        </w:tc>
      </w:tr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Всего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123,7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118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191,6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ru-RU" w:bidi="ar-SA"/>
              </w:rPr>
              <w:t>218,7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233,2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109,5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188,6%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88,6%</w:t>
            </w:r>
          </w:p>
        </w:tc>
      </w:tr>
      <w:tr>
        <w:trPr>
          <w:trHeight w:val="42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 том числе: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зерно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65,4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104,7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120,7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135,5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70,1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207,2%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107,2%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Сахарная свекла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14,1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22,2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51,3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51,9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37,8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368,1%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268,1%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Семена подсолнечника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3,9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5,3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9,3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10,5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6,6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269,2%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169,2%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картофель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29,5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18,5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25,4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22,5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21,7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-7,8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73,6%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-26,4%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Овощи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10,8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13,2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13,2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13,6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125%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25%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552440" cy="348170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Численность персонала, занятого исследованиями и разработками, по секторам деятельности.</w:t>
      </w:r>
    </w:p>
    <w:p>
      <w:pPr>
        <w:pStyle w:val="Normal"/>
        <w:keepNext w:val="true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>
          <w:rStyle w:val="Style15"/>
        </w:rPr>
        <w:t>Исходя из данных представленных на таблице 2, можно сделать вывод, что начиная с 2000 года наблюдается рост численности персонала во всех областях, помимо предпринимательской. Возможно, это связано с кризисом 2008 года, т.к. основная цель предпринимателей – получение прибыли, а заниматься научной деятельностью в кризисный период невыгодно. Также стоит отметить темп роста численности персонала в некоммерческих организациях, который составил 557% за 17 лет, это может быть вызвано повышенным спросом у государства на разработки в данной области, т.к. исходя из информации на рисунке 4, видно, что внутренние затраты на исследования и разработки некоммерческих организаций с 2015 года по 2017 год выросли почти в 4 раза.</w:t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Style15"/>
          <w:rFonts w:cs="Times New Roman" w:ascii="Times New Roman" w:hAnsi="Times New Roman"/>
          <w:sz w:val="24"/>
          <w:szCs w:val="24"/>
        </w:rPr>
        <w:t xml:space="preserve">Таблица 2. </w:t>
      </w:r>
      <w:r>
        <w:rPr>
          <w:rStyle w:val="Style15"/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Урожайность</w:t>
      </w:r>
      <w:r>
        <w:rPr>
          <w:rStyle w:val="Style15"/>
          <w:rFonts w:cs="Times New Roman" w:ascii="Times New Roman" w:hAnsi="Times New Roman"/>
          <w:sz w:val="24"/>
          <w:szCs w:val="24"/>
        </w:rPr>
        <w:t xml:space="preserve"> основных продуктов растениеводства</w:t>
      </w:r>
    </w:p>
    <w:tbl>
      <w:tblPr>
        <w:tblStyle w:val="a4"/>
        <w:tblW w:w="1049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39"/>
        <w:gridCol w:w="1021"/>
        <w:gridCol w:w="915"/>
        <w:gridCol w:w="959"/>
        <w:gridCol w:w="912"/>
        <w:gridCol w:w="1558"/>
        <w:gridCol w:w="1422"/>
        <w:gridCol w:w="991"/>
      </w:tblGrid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2000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2016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2017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Абсолютное отклонение </w:t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Относительное отклонение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Темп прироста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зерно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15,6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18,3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23,7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26,2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29,2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13,6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187,2%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87,2%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Сахарная свекла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188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241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388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470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442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254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235,1%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135,1%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Семена подсолнечника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9,6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14,2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15,1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14,5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5,5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161,1%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61,1%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картофель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105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100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164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158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163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58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155,2%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55,2%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Овощи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143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179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226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229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241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98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168,5%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68,5%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2625" cy="279082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2" w:name="_Toc24551727"/>
      <w:r>
        <w:rPr/>
        <w:t>2</w:t>
      </w:r>
      <w:r>
        <w:rPr>
          <w:rStyle w:val="11"/>
          <w:b/>
          <w:bCs/>
        </w:rPr>
        <w:t xml:space="preserve">. Анализ статистических данных </w:t>
      </w:r>
      <w:r>
        <w:rPr>
          <w:rStyle w:val="11"/>
          <w:rFonts w:eastAsia="" w:cs="" w:cstheme="majorBidi" w:eastAsiaTheme="majorEastAsia"/>
          <w:b/>
          <w:bCs/>
          <w:color w:val="000000" w:themeColor="text1"/>
          <w:sz w:val="28"/>
          <w:szCs w:val="28"/>
        </w:rPr>
        <w:t xml:space="preserve">растениеводства </w:t>
      </w:r>
      <w:r>
        <w:rPr>
          <w:rStyle w:val="11"/>
          <w:b/>
          <w:bCs/>
        </w:rPr>
        <w:t xml:space="preserve">в Пермском крае и </w:t>
      </w:r>
      <w:r>
        <w:rPr>
          <w:rStyle w:val="11"/>
          <w:rFonts w:eastAsia="" w:cs="" w:cstheme="majorBidi" w:eastAsiaTheme="majorEastAsia"/>
          <w:b/>
          <w:bCs/>
          <w:color w:val="000000" w:themeColor="text1"/>
          <w:kern w:val="0"/>
          <w:sz w:val="28"/>
          <w:szCs w:val="28"/>
          <w:lang w:val="ru-RU" w:eastAsia="en-US" w:bidi="ar-SA"/>
        </w:rPr>
        <w:t>республике Башкортостан</w:t>
      </w:r>
      <w:bookmarkEnd w:id="2"/>
    </w:p>
    <w:p>
      <w:pPr>
        <w:pStyle w:val="Normal"/>
        <w:rPr/>
      </w:pPr>
      <w:r>
        <w:rPr/>
      </w:r>
    </w:p>
    <w:p>
      <w:pPr>
        <w:pStyle w:val="Style25"/>
        <w:rPr/>
      </w:pPr>
      <w:r>
        <w:rPr/>
        <w:t>В таблице 3 представлены данные о численности персонала, занятого научными исследованиям и разработками в Пермском крае и Самарской области соответственно: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Валовый сбор картофеля (тысяч тонн)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9"/>
        <w:gridCol w:w="961"/>
        <w:gridCol w:w="961"/>
        <w:gridCol w:w="959"/>
        <w:gridCol w:w="961"/>
        <w:gridCol w:w="961"/>
        <w:gridCol w:w="1478"/>
        <w:gridCol w:w="1242"/>
        <w:gridCol w:w="1079"/>
      </w:tblGrid>
      <w:tr>
        <w:trPr>
          <w:trHeight w:val="288" w:hRule="atLeast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583,4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387,8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386,8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239,5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664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1186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354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795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852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yle25"/>
        <w:rPr/>
      </w:pPr>
      <w:r>
        <w:rPr>
          <w:rFonts w:eastAsia="Times New Roman"/>
          <w:lang w:eastAsia="ru-RU"/>
        </w:rPr>
        <w:t xml:space="preserve">Таблица 3 и Рисунок 5 иллюстрируют нам динамику общей численности персонала, занятого научными исследованиями и разработками. Здесь мы видим картину спада за исключением 2011 года, где наблюдается небольшой подъём. Такой спад может быть связан с более интенсивной реорганизацией и ликвидацией </w:t>
      </w:r>
      <w:r>
        <w:rPr/>
        <w:t>научных организаций прикладного характера, деятельность которых осталась недостаточно востребованной государством. А также на могли повлиять роботизация и компьютеризация, в связи с чем отпала необходимость в человеческом труде.</w:t>
      </w:r>
    </w:p>
    <w:p>
      <w:pPr>
        <w:pStyle w:val="Style2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Разница численности персонала между регионами, как может показаться при первом рассмотрении, зависит не от кол-ва научных предприятий, а от количества выделяемого бюджета региону на научные исследования и разработки, что мы можем видеть в таблице 4 и рисунке 6.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4. Затраты на научные исследования и разработки.</w:t>
      </w:r>
    </w:p>
    <w:tbl>
      <w:tblPr>
        <w:tblW w:w="102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07"/>
        <w:gridCol w:w="650"/>
        <w:gridCol w:w="767"/>
        <w:gridCol w:w="761"/>
        <w:gridCol w:w="762"/>
        <w:gridCol w:w="761"/>
        <w:gridCol w:w="760"/>
        <w:gridCol w:w="762"/>
        <w:gridCol w:w="761"/>
        <w:gridCol w:w="763"/>
        <w:gridCol w:w="727"/>
        <w:gridCol w:w="662"/>
        <w:gridCol w:w="909"/>
      </w:tblGrid>
      <w:tr>
        <w:trPr>
          <w:trHeight w:val="330" w:hRule="atLeast"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7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Абс. откл</w:t>
            </w: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Отн. Откл. </w:t>
            </w:r>
          </w:p>
        </w:tc>
        <w:tc>
          <w:tcPr>
            <w:tcW w:w="9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Темп прирост</w:t>
            </w:r>
          </w:p>
        </w:tc>
      </w:tr>
      <w:tr>
        <w:trPr>
          <w:trHeight w:val="645" w:hRule="atLeast"/>
        </w:trPr>
        <w:tc>
          <w:tcPr>
            <w:tcW w:w="12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65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4294</w:t>
            </w:r>
          </w:p>
        </w:tc>
        <w:tc>
          <w:tcPr>
            <w:tcW w:w="76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7428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8245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9489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12189</w:t>
            </w:r>
          </w:p>
        </w:tc>
        <w:tc>
          <w:tcPr>
            <w:tcW w:w="7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11730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12945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14006</w:t>
            </w:r>
          </w:p>
        </w:tc>
        <w:tc>
          <w:tcPr>
            <w:tcW w:w="7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14334</w:t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10040</w:t>
            </w:r>
          </w:p>
        </w:tc>
        <w:tc>
          <w:tcPr>
            <w:tcW w:w="6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334%</w:t>
            </w:r>
          </w:p>
        </w:tc>
        <w:tc>
          <w:tcPr>
            <w:tcW w:w="9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234%</w:t>
            </w:r>
          </w:p>
        </w:tc>
      </w:tr>
      <w:tr>
        <w:trPr>
          <w:trHeight w:val="645" w:hRule="atLeast"/>
        </w:trPr>
        <w:tc>
          <w:tcPr>
            <w:tcW w:w="12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65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7711</w:t>
            </w:r>
          </w:p>
        </w:tc>
        <w:tc>
          <w:tcPr>
            <w:tcW w:w="76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12518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14407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17601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18954</w:t>
            </w:r>
          </w:p>
        </w:tc>
        <w:tc>
          <w:tcPr>
            <w:tcW w:w="7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14596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17353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11842</w:t>
            </w:r>
          </w:p>
        </w:tc>
        <w:tc>
          <w:tcPr>
            <w:tcW w:w="7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14247</w:t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6536</w:t>
            </w:r>
          </w:p>
        </w:tc>
        <w:tc>
          <w:tcPr>
            <w:tcW w:w="6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185%</w:t>
            </w:r>
          </w:p>
        </w:tc>
        <w:tc>
          <w:tcPr>
            <w:tcW w:w="9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85%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/>
        <w:drawing>
          <wp:inline distT="0" distB="0" distL="0" distR="0">
            <wp:extent cx="5262245" cy="2743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 xml:space="preserve">Рисунок 6.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Затраты на научные исследования и разработки.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yle25"/>
        <w:rPr/>
      </w:pPr>
      <w:r>
        <w:rPr/>
        <w:t>Таблица 4 и Рисунок 6 иллюстрируют нам разницу в финансировании научных исследований и разработок между двумя регионами. По диаграмме видно, что график Пермского края имеет стабильную положительную тенденцию с явным «скачком» в период с 2000 по 2010 год. Это может быть связано с законом от 02.04.2008 N 220-ПК "О науке и научно-технической политике в Пермском крае", который преследовал следующие цели: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развитие и эффективное использование научно-технического потенциала Пермского края;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прогрессивных структурных преобразований в области материального производства, повышение его эффективности и конкурентоспособности продукции;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рост вклада науки и техники в развитие экономики, решение важнейших социальных задач, улучшение экологической обстановки;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жизни населения;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роли науки в образовательном процессе;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укрепление взаимосвязи науки, образования и производства.</w:t>
      </w:r>
    </w:p>
    <w:p>
      <w:pPr>
        <w:pStyle w:val="Style25"/>
        <w:rPr>
          <w:rFonts w:eastAsia="Times New Roman"/>
          <w:lang w:eastAsia="ru-RU"/>
        </w:rPr>
      </w:pPr>
      <w:r>
        <w:rPr/>
        <w:t>Что касается негативной тенденции в Самарской области начиная с 2013 года – на это может повлиять снижение количества</w:t>
      </w:r>
      <w:r>
        <w:rPr>
          <w:rFonts w:eastAsia="Times New Roman" w:cs="Calibri" w:ascii="Calibri" w:hAnsi="Calibri"/>
          <w:lang w:eastAsia="ru-RU"/>
        </w:rPr>
        <w:t xml:space="preserve"> </w:t>
      </w:r>
      <w:r>
        <w:rPr>
          <w:rFonts w:eastAsia="Times New Roman"/>
          <w:lang w:eastAsia="ru-RU"/>
        </w:rPr>
        <w:t>разработанных передовых производственных технологий, представленных ниже на таблице 5 и рисунке 7. Также ниже будет проиллюстрирована зависимость внутренних затрат на научные исследования и разработки от разработанных передовых производственных технологий.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center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5. Разработанные передовые производственные технологии.</w:t>
      </w:r>
    </w:p>
    <w:tbl>
      <w:tblPr>
        <w:tblW w:w="9629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44"/>
        <w:gridCol w:w="665"/>
        <w:gridCol w:w="660"/>
        <w:gridCol w:w="669"/>
        <w:gridCol w:w="665"/>
        <w:gridCol w:w="664"/>
        <w:gridCol w:w="665"/>
        <w:gridCol w:w="665"/>
        <w:gridCol w:w="669"/>
        <w:gridCol w:w="660"/>
        <w:gridCol w:w="690"/>
        <w:gridCol w:w="680"/>
        <w:gridCol w:w="1032"/>
      </w:tblGrid>
      <w:tr>
        <w:trPr>
          <w:trHeight w:val="33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6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6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Абс. Откл.</w:t>
            </w:r>
          </w:p>
        </w:tc>
        <w:tc>
          <w:tcPr>
            <w:tcW w:w="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Отн. Откл.</w:t>
            </w:r>
          </w:p>
        </w:tc>
        <w:tc>
          <w:tcPr>
            <w:tcW w:w="1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Темп прироста</w:t>
            </w:r>
          </w:p>
        </w:tc>
      </w:tr>
      <w:tr>
        <w:trPr>
          <w:trHeight w:val="543" w:hRule="atLeast"/>
        </w:trPr>
        <w:tc>
          <w:tcPr>
            <w:tcW w:w="1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6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6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6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-8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76%</w:t>
            </w:r>
          </w:p>
        </w:tc>
        <w:tc>
          <w:tcPr>
            <w:tcW w:w="103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-24%</w:t>
            </w:r>
          </w:p>
        </w:tc>
      </w:tr>
      <w:tr>
        <w:trPr>
          <w:trHeight w:val="283" w:hRule="atLeast"/>
        </w:trPr>
        <w:tc>
          <w:tcPr>
            <w:tcW w:w="1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6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6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6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25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413%</w:t>
            </w:r>
          </w:p>
        </w:tc>
        <w:tc>
          <w:tcPr>
            <w:tcW w:w="103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313%</w:t>
            </w:r>
          </w:p>
        </w:tc>
      </w:tr>
    </w:tbl>
    <w:p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43500" cy="2619375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ConsPlusNormal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Рисунок 7.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Разработанные передовые производственные технологии.</w:t>
      </w:r>
    </w:p>
    <w:p>
      <w:pPr>
        <w:pStyle w:val="ConsPlusNormal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Style25"/>
        <w:rPr/>
      </w:pPr>
      <w:r>
        <w:rPr>
          <w:rFonts w:eastAsia="Times New Roman"/>
        </w:rPr>
        <w:t>На графике, представленном в виде рисунка 7, мы видим, что к 2013 году шло снижение количества разработок. Данная тенденция могла негативно сказаться на финансировании, спады которого видно в 2014 и 2016 годах на рисунке 6.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14775" cy="4686300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8. Зависимость затрат на исследования от передовых разработок.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5"/>
        <w:rPr/>
      </w:pPr>
      <w:r>
        <w:rPr/>
        <w:t>На данном рисунке видно, что после постепенного снижения кол-ва разработок к 2013 году – в дальнейшем пострадало финансирование. Но с другой стороны, уже со следующего года мы видим положительную тенденцию кол-ва производственных технологий у обоих регионов, что не может не радовать, т.к. это говорит о повышении финансирования данной области и как следствие - повышение совокупного национального научно-технического потенциала. А это в свою очередь даёт шанс на новый продукт для экспорта и потенциальное повышение дохода государства.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1"/>
        <w:rPr>
          <w:rFonts w:cs="Times New Roman"/>
          <w:color w:val="auto"/>
        </w:rPr>
      </w:pPr>
      <w:bookmarkStart w:id="3" w:name="_Toc24551728"/>
      <w:r>
        <w:rPr>
          <w:rFonts w:cs="Times New Roman"/>
          <w:color w:val="auto"/>
        </w:rPr>
        <w:t>Заключение</w:t>
      </w:r>
      <w:bookmarkEnd w:id="3"/>
    </w:p>
    <w:p>
      <w:pPr>
        <w:pStyle w:val="Style25"/>
        <w:rPr/>
      </w:pPr>
      <w:r>
        <w:rPr/>
        <w:t>По итогам проведённого кабинетного исследования, касательно Пермского края можно сделать вывод об общей тенденции на уменьшение численности организаций, выполняющих исследования и разработки и о снижении численности их персонала, но и об обратной тенденции на увеличение количества разработанных передовых технологий. Это может говорить нам о более целевом подходе государства к этому вопросу, т.е. оно выборочно финансирует организации, в направлении деятельности которых заинтересовано. Таким образом растёт число максимально необходимых технологий и идёт экономия государственного бюджета. Но есть опасение, что это по большей части предприятия, направленные на военную промышленность, как, например, ПНППК. В таком случае говорить о пользе обществу и национально-техническому достоянию - тяжело. Вы спросите почему</w:t>
      </w:r>
      <w:bookmarkStart w:id="4" w:name="_GoBack"/>
      <w:bookmarkEnd w:id="4"/>
      <w:r>
        <w:rPr/>
        <w:t xml:space="preserve"> так считаю? Всё просто. В последние годы наше государство активно смещает финансирование в сторону ВПК, жертвуя медициной, образованием и т.д. потому, в сфере науки и инноваций вполне вероятно тоже будет такое смещение.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1"/>
        <w:rPr>
          <w:rFonts w:cs="Times New Roman"/>
          <w:iCs/>
          <w:color w:val="auto"/>
        </w:rPr>
      </w:pPr>
      <w:bookmarkStart w:id="5" w:name="_Toc24551729"/>
      <w:r>
        <w:rPr>
          <w:rFonts w:cs="Times New Roman"/>
          <w:iCs/>
          <w:color w:val="auto"/>
        </w:rPr>
        <w:t>Список литературы</w:t>
      </w:r>
      <w:bookmarkEnd w:id="5"/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«Регионы России. Социально-экономические показатели» - 2018. [Электронный ресурс]. – Режим доступа: </w:t>
      </w:r>
      <w:hyperlink r:id="rId9">
        <w:r>
          <w:rPr>
            <w:rFonts w:cs="Times New Roman" w:ascii="Times New Roman" w:hAnsi="Times New Roman"/>
            <w:sz w:val="28"/>
            <w:szCs w:val="28"/>
          </w:rPr>
          <w:t>https://gks.ru/bgd/regl/b18_14p/Main.htm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«Россия в цифрах» - 2019. [Электронный ресурс]. – Режим доступа: </w:t>
      </w:r>
      <w:hyperlink r:id="rId10">
        <w:r>
          <w:rPr>
            <w:rFonts w:cs="Times New Roman" w:ascii="Times New Roman" w:hAnsi="Times New Roman"/>
            <w:sz w:val="28"/>
            <w:szCs w:val="28"/>
          </w:rPr>
          <w:t>https://gks.ru/bgd/regl/b19_11/Main.htm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«Российский статистический ежегодник» - 2018. [Электронный ресурс]. – Режим доступа: </w:t>
      </w:r>
      <w:hyperlink r:id="rId11">
        <w:r>
          <w:rPr>
            <w:rFonts w:cs="Times New Roman" w:ascii="Times New Roman" w:hAnsi="Times New Roman"/>
            <w:sz w:val="28"/>
            <w:szCs w:val="28"/>
          </w:rPr>
          <w:t>https://gks.ru/bgd/regl/b18_13/Main.htm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Аллахвердян А. Г. 4.Динамика развития российской науки: кадровый и гендерный анализ // Науковедческие исследования. — Методологические проблемы развития науки и техники / отв. ред. РАКИТОВ А.И. — ИНИОН Москва, 2018. — С. 16–26. (06.11.2019)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Правительство Самарской области// Научно-инновационный потенциал - 2018. [Электронный ресурс]. – Режим доступа: </w:t>
      </w:r>
      <w:hyperlink r:id="rId12">
        <w:r>
          <w:rPr>
            <w:rFonts w:cs="Times New Roman" w:ascii="Times New Roman" w:hAnsi="Times New Roman"/>
            <w:sz w:val="28"/>
            <w:szCs w:val="28"/>
          </w:rPr>
          <w:t>https://www.samregion.ru/economy/inn_potencial/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(06.11.2019)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промышленности, предпринимательства и торговли Пермского края// ИННОВАЦИОННОЕ РАЗВИТИЕ – 2013. [Электронный ресурс]. – Режим доступа: </w:t>
      </w:r>
      <w:hyperlink r:id="rId13">
        <w:r>
          <w:rPr>
            <w:rFonts w:cs="Times New Roman" w:ascii="Times New Roman" w:hAnsi="Times New Roman"/>
            <w:sz w:val="28"/>
            <w:szCs w:val="28"/>
          </w:rPr>
          <w:t>http://minpromtorg.permkrai.ru/innovative-development/innovative-development/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Закон Пермского края от 02.04.2008 N 220-ПК (ред. от 02.03.2015) "О науке и научно-технической политике в Пермском крае" (принят ЗС ПК 20.03.2008). [Электронный ресурс]. – Режим доступа: </w:t>
      </w:r>
      <w:hyperlink r:id="rId14">
        <w:r>
          <w:rPr>
            <w:rFonts w:cs="Times New Roman" w:ascii="Times New Roman" w:hAnsi="Times New Roman"/>
            <w:sz w:val="28"/>
            <w:szCs w:val="28"/>
          </w:rPr>
          <w:t>http://docs.cntd.ru/document/911519336</w:t>
        </w:r>
      </w:hyperlink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5"/>
      <w:footerReference w:type="first" r:id="rId16"/>
      <w:type w:val="nextPage"/>
      <w:pgSz w:w="11906" w:h="16838"/>
      <w:pgMar w:left="1701" w:right="851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agmaticaC">
    <w:charset w:val="01"/>
    <w:family w:val="roman"/>
    <w:pitch w:val="variable"/>
  </w:font>
  <w:font w:name="ACSR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3696656"/>
    </w:sdtPr>
    <w:sdtContent>
      <w:p>
        <w:pPr>
          <w:pStyle w:val="Style24"/>
          <w:jc w:val="center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4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  <w:p>
    <w:pPr>
      <w:pStyle w:val="Style24"/>
      <w:rPr/>
    </w:pPr>
    <w:r>
      <w:rPr/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742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7621b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b56bb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d53f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f3257a"/>
    <w:rPr>
      <w:rFonts w:ascii="Tahoma" w:hAnsi="Tahoma" w:cs="Tahoma"/>
      <w:sz w:val="16"/>
      <w:szCs w:val="16"/>
    </w:rPr>
  </w:style>
  <w:style w:type="character" w:styleId="Style12">
    <w:name w:val="Интернет-ссылка"/>
    <w:basedOn w:val="DefaultParagraphFont"/>
    <w:uiPriority w:val="99"/>
    <w:unhideWhenUsed/>
    <w:rsid w:val="00132d45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b56bb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7621b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d53f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3" w:customStyle="1">
    <w:name w:val="Верхний колонтитул Знак"/>
    <w:basedOn w:val="DefaultParagraphFont"/>
    <w:link w:val="a9"/>
    <w:qFormat/>
    <w:rsid w:val="0049750f"/>
    <w:rPr>
      <w:rFonts w:ascii="Arial" w:hAnsi="Arial" w:eastAsia="Times New Roman" w:cs="Arial"/>
      <w:sz w:val="14"/>
      <w:szCs w:val="20"/>
      <w:lang w:eastAsia="zh-CN"/>
    </w:rPr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f16267"/>
    <w:rPr/>
  </w:style>
  <w:style w:type="character" w:styleId="Shorttext" w:customStyle="1">
    <w:name w:val="short_text"/>
    <w:basedOn w:val="DefaultParagraphFont"/>
    <w:qFormat/>
    <w:rsid w:val="00953254"/>
    <w:rPr/>
  </w:style>
  <w:style w:type="character" w:styleId="Style15" w:customStyle="1">
    <w:name w:val="Заголовок Знак"/>
    <w:basedOn w:val="DefaultParagraphFont"/>
    <w:link w:val="af"/>
    <w:uiPriority w:val="10"/>
    <w:qFormat/>
    <w:rsid w:val="00026ce8"/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69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f325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0d53f6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d53f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0d53f6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0d53f6"/>
    <w:pPr>
      <w:spacing w:before="0" w:after="100"/>
      <w:ind w:left="440" w:hanging="0"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a"/>
    <w:rsid w:val="0049750f"/>
    <w:pPr>
      <w:tabs>
        <w:tab w:val="clear" w:pos="708"/>
        <w:tab w:val="center" w:pos="4819" w:leader="none"/>
        <w:tab w:val="right" w:pos="9071" w:leader="none"/>
      </w:tabs>
      <w:spacing w:lineRule="auto" w:line="240" w:before="0" w:after="0"/>
    </w:pPr>
    <w:rPr>
      <w:rFonts w:ascii="Arial" w:hAnsi="Arial" w:eastAsia="Times New Roman" w:cs="Arial"/>
      <w:sz w:val="14"/>
      <w:szCs w:val="20"/>
      <w:lang w:eastAsia="zh-CN"/>
    </w:rPr>
  </w:style>
  <w:style w:type="paragraph" w:styleId="Style24">
    <w:name w:val="Footer"/>
    <w:basedOn w:val="Normal"/>
    <w:link w:val="ac"/>
    <w:uiPriority w:val="99"/>
    <w:unhideWhenUsed/>
    <w:rsid w:val="00f162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00Zagolovok" w:customStyle="1">
    <w:name w:val="00-Zagolovok"/>
    <w:basedOn w:val="Normal"/>
    <w:qFormat/>
    <w:rsid w:val="005f2d81"/>
    <w:pPr>
      <w:spacing w:lineRule="exact" w:line="220"/>
      <w:jc w:val="center"/>
    </w:pPr>
    <w:rPr>
      <w:rFonts w:ascii="PragmaticaC" w:hAnsi="PragmaticaC" w:eastAsia="Times New Roman" w:cs="Times New Roman"/>
      <w:b/>
      <w:caps/>
      <w:sz w:val="18"/>
      <w:szCs w:val="20"/>
      <w:lang w:eastAsia="ru-RU"/>
    </w:rPr>
  </w:style>
  <w:style w:type="paragraph" w:styleId="Headintext" w:customStyle="1">
    <w:name w:val="Head in text"/>
    <w:basedOn w:val="Textbody"/>
    <w:qFormat/>
    <w:rsid w:val="005f2d81"/>
    <w:pPr>
      <w:spacing w:before="160" w:after="200"/>
    </w:pPr>
    <w:rPr>
      <w:b/>
    </w:rPr>
  </w:style>
  <w:style w:type="paragraph" w:styleId="Textbody" w:customStyle="1">
    <w:name w:val="Text body"/>
    <w:qFormat/>
    <w:rsid w:val="005f2d81"/>
    <w:pPr>
      <w:widowControl/>
      <w:suppressAutoHyphens w:val="true"/>
      <w:bidi w:val="0"/>
      <w:spacing w:lineRule="exact" w:line="130" w:before="20" w:after="80"/>
      <w:jc w:val="left"/>
    </w:pPr>
    <w:rPr>
      <w:rFonts w:ascii="ACSRS" w:hAnsi="ACSRS" w:eastAsia="Times New Roman" w:cs="Times New Roman"/>
      <w:color w:val="auto"/>
      <w:kern w:val="0"/>
      <w:sz w:val="13"/>
      <w:szCs w:val="20"/>
      <w:lang w:val="ru-RU" w:eastAsia="ru-RU" w:bidi="ar-SA"/>
    </w:rPr>
  </w:style>
  <w:style w:type="paragraph" w:styleId="03zifra" w:customStyle="1">
    <w:name w:val="03-zifra"/>
    <w:basedOn w:val="Headintext"/>
    <w:qFormat/>
    <w:rsid w:val="005f2d81"/>
    <w:pPr>
      <w:spacing w:lineRule="auto" w:line="240" w:before="40" w:after="40"/>
      <w:ind w:right="170" w:hanging="0"/>
      <w:jc w:val="right"/>
    </w:pPr>
    <w:rPr>
      <w:rFonts w:ascii="PragmaticaC" w:hAnsi="PragmaticaC"/>
      <w:b w:val="false"/>
      <w:sz w:val="16"/>
    </w:rPr>
  </w:style>
  <w:style w:type="paragraph" w:styleId="02bokovik" w:customStyle="1">
    <w:name w:val="02-bokovik"/>
    <w:basedOn w:val="Textbody"/>
    <w:qFormat/>
    <w:rsid w:val="005f2d81"/>
    <w:pPr>
      <w:spacing w:lineRule="auto" w:line="240" w:before="40" w:after="40"/>
    </w:pPr>
    <w:rPr>
      <w:rFonts w:ascii="PragmaticaC" w:hAnsi="PragmaticaC"/>
      <w:sz w:val="16"/>
    </w:rPr>
  </w:style>
  <w:style w:type="paragraph" w:styleId="NormalWeb">
    <w:name w:val="Normal (Web)"/>
    <w:basedOn w:val="Normal"/>
    <w:qFormat/>
    <w:rsid w:val="005f2d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01golovka" w:customStyle="1">
    <w:name w:val="01-golovka"/>
    <w:basedOn w:val="Normal"/>
    <w:qFormat/>
    <w:rsid w:val="00953254"/>
    <w:pPr>
      <w:spacing w:lineRule="auto" w:line="240" w:before="80" w:after="80"/>
      <w:jc w:val="center"/>
    </w:pPr>
    <w:rPr>
      <w:rFonts w:ascii="PragmaticaC" w:hAnsi="PragmaticaC" w:eastAsia="Times New Roman" w:cs="Times New Roman"/>
      <w:sz w:val="14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a248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nsPlusNormal" w:customStyle="1">
    <w:name w:val="ConsPlusNormal"/>
    <w:qFormat/>
    <w:rsid w:val="00384a83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5">
    <w:name w:val="Title"/>
    <w:basedOn w:val="Normal"/>
    <w:next w:val="Normal"/>
    <w:link w:val="af0"/>
    <w:uiPriority w:val="10"/>
    <w:qFormat/>
    <w:rsid w:val="00026ce8"/>
    <w:pPr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b6b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image" Target="media/image1.png"/><Relationship Id="rId9" Type="http://schemas.openxmlformats.org/officeDocument/2006/relationships/hyperlink" Target="https://gks.ru/bgd/regl/b18_14p/Main.htm" TargetMode="External"/><Relationship Id="rId10" Type="http://schemas.openxmlformats.org/officeDocument/2006/relationships/hyperlink" Target="https://gks.ru/bgd/regl/b19_11/Main.htm" TargetMode="External"/><Relationship Id="rId11" Type="http://schemas.openxmlformats.org/officeDocument/2006/relationships/hyperlink" Target="https://gks.ru/bgd/regl/b18_13/Main.htm" TargetMode="External"/><Relationship Id="rId12" Type="http://schemas.openxmlformats.org/officeDocument/2006/relationships/hyperlink" Target="https://www.samregion.ru/economy/inn_potencial/" TargetMode="External"/><Relationship Id="rId13" Type="http://schemas.openxmlformats.org/officeDocument/2006/relationships/hyperlink" Target="http://minpromtorg.permkrai.ru/innovative-development/innovative-development/" TargetMode="External"/><Relationship Id="rId14" Type="http://schemas.openxmlformats.org/officeDocument/2006/relationships/hyperlink" Target="http://docs.cntd.ru/document/911519336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764375"/>
          <c:y val="0.0508888888888889"/>
          <c:w val="0.69025"/>
          <c:h val="0.841666666666667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Посевные площади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84670</c:v>
                </c:pt>
                <c:pt idx="1">
                  <c:v>74861</c:v>
                </c:pt>
                <c:pt idx="2">
                  <c:v>78635</c:v>
                </c:pt>
                <c:pt idx="3">
                  <c:v>79312</c:v>
                </c:pt>
                <c:pt idx="4">
                  <c:v>80048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3347323"/>
        <c:axId val="50987929"/>
      </c:lineChart>
      <c:catAx>
        <c:axId val="2334732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0987929"/>
        <c:crosses val="autoZero"/>
        <c:auto val="1"/>
        <c:lblAlgn val="ctr"/>
        <c:lblOffset val="100"/>
        <c:noMultiLvlLbl val="0"/>
      </c:catAx>
      <c:valAx>
        <c:axId val="5098792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3347323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771625"/>
          <c:y val="0.442"/>
          <c:w val="0.224764047752985"/>
          <c:h val="0.128458717635293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65.4</c:v>
                </c:pt>
                <c:pt idx="1">
                  <c:v>61</c:v>
                </c:pt>
                <c:pt idx="2">
                  <c:v>104.7</c:v>
                </c:pt>
                <c:pt idx="3">
                  <c:v>120.7</c:v>
                </c:pt>
                <c:pt idx="4">
                  <c:v>135.5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14.1</c:v>
                </c:pt>
                <c:pt idx="1">
                  <c:v>22.2</c:v>
                </c:pt>
                <c:pt idx="2">
                  <c:v>39</c:v>
                </c:pt>
                <c:pt idx="3">
                  <c:v>51.3</c:v>
                </c:pt>
                <c:pt idx="4">
                  <c:v>51.9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3.9</c:v>
                </c:pt>
                <c:pt idx="1">
                  <c:v>5.3</c:v>
                </c:pt>
                <c:pt idx="2">
                  <c:v>9.3</c:v>
                </c:pt>
                <c:pt idx="3">
                  <c:v>11</c:v>
                </c:pt>
                <c:pt idx="4">
                  <c:v>10.5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29.5</c:v>
                </c:pt>
                <c:pt idx="1">
                  <c:v>18.5</c:v>
                </c:pt>
                <c:pt idx="2">
                  <c:v>25.4</c:v>
                </c:pt>
                <c:pt idx="3">
                  <c:v>22.5</c:v>
                </c:pt>
                <c:pt idx="4">
                  <c:v>21.7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10.8</c:v>
                </c:pt>
                <c:pt idx="1">
                  <c:v>11</c:v>
                </c:pt>
                <c:pt idx="2">
                  <c:v>13.2</c:v>
                </c:pt>
                <c:pt idx="3">
                  <c:v>13.2</c:v>
                </c:pt>
                <c:pt idx="4">
                  <c:v>13.6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8461608"/>
        <c:axId val="26387739"/>
      </c:lineChart>
      <c:catAx>
        <c:axId val="784616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6387739"/>
        <c:crosses val="autoZero"/>
        <c:auto val="1"/>
        <c:lblAlgn val="ctr"/>
        <c:lblOffset val="100"/>
        <c:noMultiLvlLbl val="0"/>
      </c:catAx>
      <c:valAx>
        <c:axId val="2638773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8461608"/>
        <c:crosses val="autoZero"/>
        <c:crossBetween val="between"/>
        <c:majorUnit val="1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15.6</c:v>
                </c:pt>
                <c:pt idx="1">
                  <c:v>18.3</c:v>
                </c:pt>
                <c:pt idx="2">
                  <c:v>23.7</c:v>
                </c:pt>
                <c:pt idx="3">
                  <c:v>26.2</c:v>
                </c:pt>
                <c:pt idx="4">
                  <c:v>29.2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188</c:v>
                </c:pt>
                <c:pt idx="1">
                  <c:v>241</c:v>
                </c:pt>
                <c:pt idx="2">
                  <c:v>388</c:v>
                </c:pt>
                <c:pt idx="3">
                  <c:v>470</c:v>
                </c:pt>
                <c:pt idx="4">
                  <c:v>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9</c:v>
                </c:pt>
                <c:pt idx="1">
                  <c:v>9.6</c:v>
                </c:pt>
                <c:pt idx="2">
                  <c:v>14.2</c:v>
                </c:pt>
                <c:pt idx="3">
                  <c:v>15.1</c:v>
                </c:pt>
                <c:pt idx="4">
                  <c:v>14.5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105</c:v>
                </c:pt>
                <c:pt idx="1">
                  <c:v>100</c:v>
                </c:pt>
                <c:pt idx="2">
                  <c:v>164</c:v>
                </c:pt>
                <c:pt idx="3">
                  <c:v>158</c:v>
                </c:pt>
                <c:pt idx="4">
                  <c:v>163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143</c:v>
                </c:pt>
                <c:pt idx="1">
                  <c:v>179</c:v>
                </c:pt>
                <c:pt idx="2">
                  <c:v>226</c:v>
                </c:pt>
                <c:pt idx="3">
                  <c:v>229</c:v>
                </c:pt>
                <c:pt idx="4">
                  <c:v>241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1919919"/>
        <c:axId val="19996285"/>
      </c:lineChart>
      <c:catAx>
        <c:axId val="3191991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9996285"/>
        <c:crosses val="autoZero"/>
        <c:auto val="1"/>
        <c:lblAlgn val="ctr"/>
        <c:lblOffset val="100"/>
        <c:noMultiLvlLbl val="0"/>
      </c:catAx>
      <c:valAx>
        <c:axId val="1999628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1919919"/>
        <c:crosses val="autoZero"/>
        <c:crossBetween val="between"/>
        <c:majorUnit val="3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664</c:v>
                </c:pt>
                <c:pt idx="1">
                  <c:v>1111.2</c:v>
                </c:pt>
                <c:pt idx="2">
                  <c:v>1186</c:v>
                </c:pt>
                <c:pt idx="3">
                  <c:v>1125</c:v>
                </c:pt>
                <c:pt idx="4">
                  <c:v>354</c:v>
                </c:pt>
                <c:pt idx="5">
                  <c:v>545</c:v>
                </c:pt>
                <c:pt idx="6">
                  <c:v>795</c:v>
                </c:pt>
                <c:pt idx="7">
                  <c:v>649</c:v>
                </c:pt>
                <c:pt idx="8">
                  <c:v>852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583.4</c:v>
                </c:pt>
                <c:pt idx="1">
                  <c:v>648.6</c:v>
                </c:pt>
                <c:pt idx="2">
                  <c:v>387.8</c:v>
                </c:pt>
                <c:pt idx="3">
                  <c:v>591.5</c:v>
                </c:pt>
                <c:pt idx="4">
                  <c:v>386.8</c:v>
                </c:pt>
                <c:pt idx="5">
                  <c:v>447.4</c:v>
                </c:pt>
                <c:pt idx="6">
                  <c:v>302</c:v>
                </c:pt>
                <c:pt idx="7">
                  <c:v>201.9</c:v>
                </c:pt>
                <c:pt idx="8">
                  <c:v>239.5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6226049"/>
        <c:axId val="85290504"/>
      </c:lineChart>
      <c:catAx>
        <c:axId val="6622604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5290504"/>
        <c:crosses val="autoZero"/>
        <c:auto val="1"/>
        <c:lblAlgn val="ctr"/>
        <c:lblOffset val="100"/>
        <c:noMultiLvlLbl val="0"/>
      </c:catAx>
      <c:valAx>
        <c:axId val="8529050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6226049"/>
        <c:crossesAt val="0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4293.9</c:v>
                </c:pt>
                <c:pt idx="1">
                  <c:v>7428</c:v>
                </c:pt>
                <c:pt idx="2">
                  <c:v>8245.4</c:v>
                </c:pt>
                <c:pt idx="3">
                  <c:v>9489.2</c:v>
                </c:pt>
                <c:pt idx="4">
                  <c:v>12188.8</c:v>
                </c:pt>
                <c:pt idx="5">
                  <c:v>11730</c:v>
                </c:pt>
                <c:pt idx="6">
                  <c:v>12944.6</c:v>
                </c:pt>
                <c:pt idx="7">
                  <c:v>14005.6</c:v>
                </c:pt>
                <c:pt idx="8">
                  <c:v>14334.3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7710.5</c:v>
                </c:pt>
                <c:pt idx="1">
                  <c:v>12517.6</c:v>
                </c:pt>
                <c:pt idx="2">
                  <c:v>14406.9</c:v>
                </c:pt>
                <c:pt idx="3">
                  <c:v>17601.1</c:v>
                </c:pt>
                <c:pt idx="4">
                  <c:v>18953.8</c:v>
                </c:pt>
                <c:pt idx="5">
                  <c:v>14596.4</c:v>
                </c:pt>
                <c:pt idx="6">
                  <c:v>17353.3</c:v>
                </c:pt>
                <c:pt idx="7">
                  <c:v>11842.3</c:v>
                </c:pt>
                <c:pt idx="8">
                  <c:v>14246.9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5240988"/>
        <c:axId val="36455423"/>
      </c:lineChart>
      <c:catAx>
        <c:axId val="25240988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6455423"/>
        <c:crosses val="autoZero"/>
        <c:auto val="1"/>
        <c:lblAlgn val="ctr"/>
        <c:lblOffset val="100"/>
        <c:noMultiLvlLbl val="0"/>
      </c:catAx>
      <c:valAx>
        <c:axId val="3645542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5240988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695"/>
          <c:y val="0.403"/>
          <c:w val="0.248015500968811"/>
          <c:h val="0.156239582175797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59875"/>
          <c:y val="0.171666666666667"/>
          <c:w val="0.6534375"/>
          <c:h val="0.615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33</c:v>
                </c:pt>
                <c:pt idx="1">
                  <c:v>19</c:v>
                </c:pt>
                <c:pt idx="2">
                  <c:v>26</c:v>
                </c:pt>
                <c:pt idx="3">
                  <c:v>19</c:v>
                </c:pt>
                <c:pt idx="4">
                  <c:v>21</c:v>
                </c:pt>
                <c:pt idx="5">
                  <c:v>33</c:v>
                </c:pt>
                <c:pt idx="6">
                  <c:v>25</c:v>
                </c:pt>
                <c:pt idx="7">
                  <c:v>33</c:v>
                </c:pt>
                <c:pt idx="8">
                  <c:v>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8</c:v>
                </c:pt>
                <c:pt idx="1">
                  <c:v>15</c:v>
                </c:pt>
                <c:pt idx="2">
                  <c:v>25</c:v>
                </c:pt>
                <c:pt idx="3">
                  <c:v>18</c:v>
                </c:pt>
                <c:pt idx="4">
                  <c:v>14</c:v>
                </c:pt>
                <c:pt idx="5">
                  <c:v>20</c:v>
                </c:pt>
                <c:pt idx="6">
                  <c:v>24</c:v>
                </c:pt>
                <c:pt idx="7">
                  <c:v>33</c:v>
                </c:pt>
                <c:pt idx="8">
                  <c:v>33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2714131"/>
        <c:axId val="73508161"/>
      </c:lineChart>
      <c:catAx>
        <c:axId val="3271413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3508161"/>
        <c:crosses val="autoZero"/>
        <c:auto val="1"/>
        <c:lblAlgn val="ctr"/>
        <c:lblOffset val="100"/>
        <c:noMultiLvlLbl val="0"/>
      </c:catAx>
      <c:valAx>
        <c:axId val="7350816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2714131"/>
        <c:crosses val="autoZero"/>
        <c:crossBetween val="between"/>
      </c:valAx>
      <c:spPr>
        <a:noFill/>
        <a:ln w="0">
          <a:noFill/>
        </a:ln>
      </c:spPr>
    </c:plotArea>
    <c:legend>
      <c:legendPos val="b"/>
      <c:layout>
        <c:manualLayout>
          <c:xMode val="edge"/>
          <c:yMode val="edge"/>
          <c:x val="0.6705"/>
          <c:y val="0.403"/>
          <c:w val="0.328083005187824"/>
          <c:h val="0.193799311034559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FDCA6-5AA7-4051-B2FF-18EA1BD5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LibreOffice/7.0.4.2$Linux_X86_64 LibreOffice_project/1c5f81ee28659974774060c3fe084e73b3bd074b</Application>
  <AppVersion>15.0000</AppVersion>
  <Pages>15</Pages>
  <Words>1553</Words>
  <Characters>10306</Characters>
  <CharactersWithSpaces>11615</CharactersWithSpaces>
  <Paragraphs>372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2021-02-02T18:57:00Z</dcterms:created>
  <dc:creator>123</dc:creator>
  <dc:description/>
  <dc:language>ru-RU</dc:language>
  <cp:lastModifiedBy/>
  <cp:lastPrinted>2019-07-15T08:11:00Z</cp:lastPrinted>
  <dcterms:modified xsi:type="dcterms:W3CDTF">2021-03-03T00:02:38Z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