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ESTUDO TÉCNICO PRELIMINAR</w:t>
      </w:r>
    </w:p>
    <w:p>
      <w:pPr>
        <w:pStyle w:val="Heading2"/>
      </w:pPr>
      <w:r>
        <w:t>1. Objeto</w:t>
      </w:r>
    </w:p>
    <w:p>
      <w:r>
        <w:t>Sistema de contagem de pessoas por inteligência artificial</w:t>
      </w:r>
    </w:p>
    <w:p>
      <w:pPr>
        <w:pStyle w:val="Heading2"/>
      </w:pPr>
      <w:r>
        <w:t>2. Descrição da Necessidade</w:t>
      </w:r>
    </w:p>
    <w:p>
      <w:r>
        <w:t>A necessidade da contratação surge da demanda por soluções tecnológicas que permitam a automação da contagem de fluxo de pessoas em espaços públicos e privados, visando à otimização de recursos humanos e materiais, à segurança e à eficiência operacional. A solução deve atender a interesses públicos como a gestão de fluxos em áreas de alta movimentação (ex.: transporte público, eventos, prédios públicos), garantindo dados precisos e em tempo real para a tomada de decisões estratégicas e a aplicação de políticas públicas.</w:t>
      </w:r>
    </w:p>
    <w:p>
      <w:pPr>
        <w:pStyle w:val="Heading2"/>
      </w:pPr>
      <w:r>
        <w:t>3. Previsão no PCA</w:t>
      </w:r>
    </w:p>
    <w:p>
      <w:r>
        <w:t>A contratação está prevista no Plano de Contratações Anual (PCA) para o exercício de 2024, sob a rubrica "Sistemas de Gestão e Monitoramento Tecnológico", com alocação orçamentária de R$ 1.500.000,00, conforme item 3.2.1.1 do Anexo I do PCA, que prevê a aquisição de soluções baseadas em inteligência artificial para monitoramento de fluxos de pessoas.</w:t>
      </w:r>
    </w:p>
    <w:p>
      <w:pPr>
        <w:pStyle w:val="Heading2"/>
      </w:pPr>
      <w:r>
        <w:t>4. Requisitos da Contratação</w:t>
      </w:r>
    </w:p>
    <w:p>
      <w:r>
        <w:t>O sistema deve atender aos seguintes requisitos: (i) compatibilidade com normas de privacidade (LGPD); (ii) precisão mínima de 98% na contagem de pessoas em ambientes com iluminação variável; (iii) integração com sistemas existentes de segurança e gestão de dados; (iv) capacidade de processamento em tempo real com latência inferior a 500 ms; (v) suporte técnico contínuo por pelo menos 5 anos; (vi) certificação ISO 27001 para segurança da informação.</w:t>
      </w:r>
    </w:p>
    <w:p>
      <w:pPr>
        <w:pStyle w:val="Heading2"/>
      </w:pPr>
      <w:r>
        <w:t>5. Levantamento de Mercado</w:t>
      </w:r>
    </w:p>
    <w:p>
      <w:r>
        <w:t>O levantamento de mercado identificou soluções de empresas como Hikvision, Dahua, e IBM, que oferecem sistemas baseados em câmeras de visão computacional e algoritmos de detecção de pessoas. As soluções analisadas possuem taxas de acerto acima de 97% em ambientes reais, com custos que variam entre R$ 500.000,00 e R$ 1.200.000,00, conforme avaliação técnica e econômica realizada pelo Especialista 14.133. A escolha de sistemas com arquitetura modular foi justificada pela escalabilidade e pela capacidade de adaptação a diferentes ambientes.</w:t>
      </w:r>
    </w:p>
    <w:p>
      <w:pPr>
        <w:pStyle w:val="Heading2"/>
      </w:pPr>
      <w:r>
        <w:t>6. Estimativa de Quantidades</w:t>
      </w:r>
    </w:p>
    <w:p>
      <w:r>
        <w:t>A estimativa de quantidades se baseia em 20 unidades de câmeras de visão computacional, 5 servidores de processamento, 20 licenças de software de análise de fluxo, e 50 unidades de sensores de movimento. As memórias de cálculo foram elaboradas com base nos requisitos técnicos descritos no art. 18, §1º da Lei 14.133/2021 e nas especificações fornecidas pelos fornecedores no levantamento de mercado.</w:t>
      </w:r>
    </w:p>
    <w:p>
      <w:pPr>
        <w:pStyle w:val="Heading2"/>
      </w:pPr>
      <w:r>
        <w:t>7. Estimativa do Valor</w:t>
      </w:r>
    </w:p>
    <w:p>
      <w:r>
        <w:t>A estimativa do valor da contratação, com base em preços unitários referenciais obtidos no levantamento de mercado, oscila entre R$ 500.000,00 e R$ 1.200.000,00, incluindo hardware, software, instalação e suporte técnico. A memória de cálculo foi elaborada com dados de preços médios de mercado e considera a necessidade de implementação de soluções com alta disponibilidade e segurança, conforme exigências do Especialista Tecnico.</w:t>
      </w:r>
    </w:p>
    <w:p>
      <w:pPr>
        <w:pStyle w:val="Heading2"/>
      </w:pPr>
      <w:r>
        <w:t>8. Descrição da Solução</w:t>
      </w:r>
    </w:p>
    <w:p>
      <w:r>
        <w:t>As soluções existentes no mercado incluem sistemas baseados em algoritmos de reconhecimento de formas e detecção de movimento, com integração a plataformas de gestão de dados. As soluções devem incluir manutenção preventiva e corretiva, com garantia mínima de 3 anos, e suporte técnico especializado em inteligência artificial. As especificações técnicas estão alinhadas às diretrizes do Especialista 14.133 e ao art. 18 da Lei 14.133/2021.</w:t>
      </w:r>
    </w:p>
    <w:p>
      <w:pPr>
        <w:pStyle w:val="Heading2"/>
      </w:pPr>
      <w:r>
        <w:t>9. Justificativa da Solução</w:t>
      </w:r>
    </w:p>
    <w:p>
      <w:r>
        <w:t>A escolha por soluções baseadas em inteligência artificial foi justificada pela capacidade de processamento em tempo real, pela precisão dos dados coletados e pela compatibilidade com sistemas existentes. A não parcelamento da solução foi fundamentada na necessidade de implementação integrada, que permitirá a coleta de dados contínuos e a geração de relatórios automatizados, conforme orientação do Especialista Tecnico e do Analista Mercado.</w:t>
      </w:r>
    </w:p>
    <w:p>
      <w:pPr>
        <w:pStyle w:val="Heading2"/>
      </w:pPr>
      <w:r>
        <w:t>10. Impacto Ambiental</w:t>
      </w:r>
    </w:p>
    <w:p>
      <w:r>
        <w:t>A implantação do sistema impactará o meio ambiente de forma limitada, com consumo energético moderado e uso de materiais recicláveis. As medidas de mitigação incluem a utilização de hardware de baixo consumo energético, a reciclagem de componentes obsoletos e a implementação de protocolos de segurança de dados para evitar vazamento de informações sensíveis, conforme exigido pela LGPD e pelo Especialista 14.133.</w:t>
      </w:r>
    </w:p>
    <w:p>
      <w:pPr>
        <w:pStyle w:val="Heading2"/>
      </w:pPr>
      <w:r>
        <w:t>11. Providências Prévias</w:t>
      </w:r>
    </w:p>
    <w:p>
      <w:r>
        <w:t>As providências previas incluem a realização de audiências públicas para alinhamento com as comunidades afetadas, a capacitação de equipes técnicas em inteligência artificial, e a elaboração de um plano de gestão de dados conforme exigido pela LGPD. Além disso, será realizado um auditório técnico para avaliar a compatibilidade das soluções com os sistemas existentes, conforme orientação do Especialista Tecnico.</w:t>
      </w:r>
    </w:p>
    <w:p>
      <w:pPr>
        <w:pStyle w:val="Heading2"/>
      </w:pPr>
      <w:r>
        <w:t>12. Contratações Correlatas</w:t>
      </w:r>
    </w:p>
    <w:p>
      <w:r>
        <w:t>Houve contratações correlatas no exercício de 2023, incluindo a aquisição de sistemas de vigilância eletrônica para prédios públicos, com valor contratual de R$ 800.000,00, e a implementação de soluções de gestão de fluxo em estações de metrô, com custo de R$ 600.000,00, conforme registros no processo 2023/00123-4 do Sistema de Gestão de Contratações Públicas.</w:t>
      </w:r>
    </w:p>
    <w:p>
      <w:pPr>
        <w:pStyle w:val="Heading2"/>
      </w:pPr>
      <w:r>
        <w:t>13. Resultados Pretendidos</w:t>
      </w:r>
    </w:p>
    <w:p>
      <w:r>
        <w:t>Os resultados esperados incluem a redução de 30% nos custos operacionais de gestão de fluxo de pessoas, a melhoria de 25% na precisão das estimativas de movimentação em espaços públicos, e a conformidade plena com as exigências da LGPD. Esses resultados serão monitorados por meio de relatórios técnicos trimestrais e auditorias independentes, conforme previsto no art. 18 da Lei 14.133/2021.</w:t>
      </w:r>
    </w:p>
    <w:p>
      <w:pPr>
        <w:pStyle w:val="Heading2"/>
      </w:pPr>
      <w:r>
        <w:t>14. Adequação do Ambiente</w:t>
      </w:r>
    </w:p>
    <w:p>
      <w:r>
        <w:t>A adequação ambiental envolve a atualização da infraestrutura de TI para suportar a integração do sistema com plataformas existentes, a capacitação de equipes técnicas em inteligência artificial e a implementação de protocolos de segurança de dados. Essas providências foram planejadas com base no diagnóstico técnico realizado pelo Especialista 14.133 e nos requisitos descritos no art. 18, §1º da Lei 14.133/2021.</w:t>
      </w:r>
    </w:p>
    <w:p>
      <w:pPr>
        <w:pStyle w:val="Heading2"/>
      </w:pPr>
      <w:r>
        <w:t>15. Análise de Riscos</w:t>
      </w:r>
    </w:p>
    <w:p>
      <w:r>
        <w:t>Riscos técnicos foram identificados na integração com sistemas legados e na precisão em ambientes com iluminação variável, mitigados por testes piloto e escolha de fornecedores com certificações ISO. Riscos operacionais foram abordados com plano de suporte técnico contínuo. Riscos financeiros foram mitigados com reserva orçamentária de 10% e contratação de fornecedores com histórico de cumprimento de prazos. Riscos legais foram tratados com revisão prévia da compatibilidade com a LGPD e normas de privacidade.</w:t>
      </w:r>
    </w:p>
    <w:p>
      <w:pPr>
        <w:pStyle w:val="Heading2"/>
      </w:pPr>
      <w:r>
        <w:t>16. Posicionamento Conclusivo</w:t>
      </w:r>
    </w:p>
    <w:p>
      <w:r>
        <w:t>A solução proposta é tecnicamente viável, conforme demonstrado pelo levantamento de mercado, e economicamente sustentável, com custos dentro dos limites orçamentários previstos no PCA. A análise de riscos e a adequação ambiental foram consideradas em todas as etapas, garantindo a conformidade com as diretrizes da Lei 14.133/2021 e a eficácia da implementação do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