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1B4F8A"/>
          <w:sz w:val="56"/>
          <w:szCs w:val="56"/>
        </w:rPr>
        <w:t xml:space="preserve">גירושין בבית הדין הרבני</w:t>
      </w:r>
    </w:p>
    <w:p>
      <w:pPr>
        <w:jc w:val="center"/>
      </w:pPr>
      <w:r>
        <w:rPr>
          <w:rFonts w:ascii="Arial" w:cs="Arial" w:eastAsia="Arial" w:hAnsi="Arial"/>
          <w:color w:val="555555"/>
          <w:sz w:val="30"/>
          <w:szCs w:val="30"/>
        </w:rPr>
        <w:t xml:space="preserve">Pillar מרכזי + 9 תתי-עמודים — תוכן מוכן לפרסום</w:t>
      </w:r>
    </w:p>
    <w:p>
      <w:r>
        <w:rPr>
          <w:sz w:val="22"/>
          <w:szCs w:val="22"/>
        </w:rPr>
        <w:t xml:space="preserve"/>
      </w:r>
    </w:p>
    <w:p>
      <w:pPr>
        <w:jc w:val="center"/>
      </w:pPr>
      <w:r>
        <w:rPr>
          <w:rFonts w:ascii="Arial" w:cs="Arial" w:eastAsia="Arial" w:hAnsi="Arial"/>
          <w:i/>
          <w:iCs/>
          <w:color w:val="777777"/>
          <w:sz w:val="26"/>
          <w:szCs w:val="26"/>
        </w:rPr>
        <w:t xml:space="preserve">עו"ד יניב גיל | yanivgil.co.il | 2026</w:t>
      </w:r>
    </w:p>
    <w:p>
      <w:r>
        <w:rPr>
          <w:sz w:val="22"/>
          <w:szCs w:val="22"/>
        </w:rPr>
        <w:t xml:space="preserve"/>
      </w:r>
    </w:p>
    <w:p>
      <w:r>
        <w:rPr>
          <w:sz w:val="22"/>
          <w:szCs w:val="22"/>
        </w:rPr>
        <w:t xml:space="preserve"/>
      </w:r>
    </w:p>
    <w:p>
      <w:pPr>
        <w:jc w:val="center"/>
      </w:pPr>
      <w:r>
        <w:rPr>
          <w:rFonts w:ascii="Arial" w:cs="Arial" w:eastAsia="Arial" w:hAnsi="Arial"/>
          <w:color w:val="999999"/>
          <w:sz w:val="22"/>
          <w:szCs w:val="22"/>
        </w:rPr>
        <w:t xml:space="preserve">~15,000 מילים | SEO מלא | מוכן להעלאה</w:t>
      </w:r>
    </w:p>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Pillar ראשי  |  URL: /gerushin-beit-din-rabani.html  |  מילת מפתח: גירושין בית דין רבני</w:t>
      </w:r>
    </w:p>
    <w:p>
      <w:r>
        <w:rPr>
          <w:sz w:val="22"/>
          <w:szCs w:val="22"/>
        </w:rPr>
        <w:t xml:space="preserve"/>
      </w:r>
    </w:p>
    <w:p>
      <w:pPr>
        <w:pStyle w:val="Heading1"/>
        <w:jc w:val="right"/>
      </w:pPr>
      <w:r>
        <w:rPr>
          <w:rFonts w:ascii="Arial" w:cs="Arial" w:eastAsia="Arial" w:hAnsi="Arial"/>
          <w:b/>
          <w:bCs/>
          <w:color w:val="1B4F8A"/>
          <w:sz w:val="40"/>
          <w:szCs w:val="40"/>
        </w:rPr>
        <w:t xml:space="preserve">גירושין בבית הדין הרבני – המדריך המשפטי המלא 2026</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מבוא: מדוע בית הדין הרבני?</w:t>
      </w:r>
    </w:p>
    <w:p>
      <w:pPr>
        <w:bidi/>
        <w:spacing w:after="160"/>
        <w:jc w:val="right"/>
      </w:pPr>
      <w:r>
        <w:rPr>
          <w:rFonts w:ascii="Arial" w:cs="Arial" w:eastAsia="Arial" w:hAnsi="Arial"/>
          <w:sz w:val="23"/>
          <w:szCs w:val="23"/>
        </w:rPr>
        <w:t xml:space="preserve">בישראל, נישואין וגירושין של יהודים מוסדרים בחלקם על ידי הדין הדתי — ההלכה. הגט — מסמך הגירושין הדתי — חייב להינתן בבית הדין הרבני, ללא קשר לאיפה אושר הסכם הגירושין. זוהי מציאות ייחודית לישראל, שיוצרת מערכת כפולה: גירושין אזרחיים בבית המשפט לענייני משפחה, וגירושין דתיים בבית הדין הרבני.</w:t>
      </w:r>
    </w:p>
    <w:p>
      <w:pPr>
        <w:bidi/>
        <w:spacing w:after="160"/>
        <w:jc w:val="right"/>
      </w:pPr>
      <w:r>
        <w:rPr>
          <w:rFonts w:ascii="Arial" w:cs="Arial" w:eastAsia="Arial" w:hAnsi="Arial"/>
          <w:sz w:val="23"/>
          <w:szCs w:val="23"/>
        </w:rPr>
        <w:t xml:space="preserve">עו"ד יניב גיל הוא בין מעט עורכי הדין בתל אביב שמשלבים מומחיות הן בבתי המשפט האזרחיים הן בבתי הדין הרבניים — יתרון משמעותי ללקוחות שמנהלים הליכים בשתי הערכאות.</w:t>
      </w:r>
    </w:p>
    <w:p>
      <w:r>
        <w:rPr>
          <w:sz w:val="22"/>
          <w:szCs w:val="22"/>
        </w:rPr>
        <w:t xml:space="preserve"/>
      </w:r>
    </w:p>
    <w:p>
      <w:pPr>
        <w:pStyle w:val="Heading2"/>
        <w:jc w:val="right"/>
      </w:pPr>
      <w:r>
        <w:rPr>
          <w:rFonts w:ascii="Arial" w:cs="Arial" w:eastAsia="Arial" w:hAnsi="Arial"/>
          <w:b/>
          <w:bCs/>
          <w:color w:val="2E75B6"/>
          <w:sz w:val="30"/>
          <w:szCs w:val="30"/>
        </w:rPr>
        <w:t xml:space="preserve">מי חייב לעבור דרך בית הדין הרבני?</w:t>
      </w:r>
    </w:p>
    <w:p>
      <w:pPr>
        <w:bidi/>
        <w:spacing w:after="160"/>
        <w:jc w:val="right"/>
      </w:pPr>
      <w:r>
        <w:rPr>
          <w:rFonts w:ascii="Arial" w:cs="Arial" w:eastAsia="Arial" w:hAnsi="Arial"/>
          <w:sz w:val="23"/>
          <w:szCs w:val="23"/>
        </w:rPr>
        <w:t xml:space="preserve">כל זוג יהודי שנישא בנישואין דתיים בישראל — חייב לקבל גט בבית הדין הרבני כדי להיות מגורש מבחינה הלכתית. גם אם בית המשפט האזרחי אישר את כל הנושאים האחרים — ללא גט, האישה היא עגונה מבחינה דתית, וכל ילדים שיוולדו לה מגבר אחר יהיו ממזרים לפי ההלכה.</w:t>
      </w:r>
    </w:p>
    <w:p>
      <w:r>
        <w:rPr>
          <w:sz w:val="22"/>
          <w:szCs w:val="22"/>
        </w:rPr>
        <w:t xml:space="preserve"/>
      </w:r>
    </w:p>
    <w:p>
      <w:pPr>
        <w:pStyle w:val="Heading2"/>
        <w:jc w:val="right"/>
      </w:pPr>
      <w:r>
        <w:rPr>
          <w:rFonts w:ascii="Arial" w:cs="Arial" w:eastAsia="Arial" w:hAnsi="Arial"/>
          <w:b/>
          <w:bCs/>
          <w:color w:val="2E75B6"/>
          <w:sz w:val="30"/>
          <w:szCs w:val="30"/>
        </w:rPr>
        <w:t xml:space="preserve">מה בית הדין הרבני יכול לדון?</w:t>
      </w:r>
    </w:p>
    <w:p>
      <w:pPr>
        <w:pStyle w:val="Heading3"/>
        <w:jc w:val="right"/>
      </w:pPr>
      <w:r>
        <w:rPr>
          <w:rFonts w:ascii="Arial" w:cs="Arial" w:eastAsia="Arial" w:hAnsi="Arial"/>
          <w:b/>
          <w:bCs/>
          <w:color w:val="1F5C8B"/>
          <w:sz w:val="26"/>
          <w:szCs w:val="26"/>
        </w:rPr>
        <w:t xml:space="preserve">סמכות בלעדית — הגט</w:t>
      </w:r>
    </w:p>
    <w:p>
      <w:pPr>
        <w:bidi/>
        <w:spacing w:after="160"/>
        <w:jc w:val="right"/>
      </w:pPr>
      <w:r>
        <w:rPr>
          <w:rFonts w:ascii="Arial" w:cs="Arial" w:eastAsia="Arial" w:hAnsi="Arial"/>
          <w:sz w:val="23"/>
          <w:szCs w:val="23"/>
        </w:rPr>
        <w:t xml:space="preserve">נתינת הגט היא הסמכות הבלעדית של בית הדין הרבני. שום ערכאה אחרת אינה יכולה לתת גט.</w:t>
      </w:r>
    </w:p>
    <w:p>
      <w:pPr>
        <w:pStyle w:val="Heading3"/>
        <w:jc w:val="right"/>
      </w:pPr>
      <w:r>
        <w:rPr>
          <w:rFonts w:ascii="Arial" w:cs="Arial" w:eastAsia="Arial" w:hAnsi="Arial"/>
          <w:b/>
          <w:bCs/>
          <w:color w:val="1F5C8B"/>
          <w:sz w:val="26"/>
          <w:szCs w:val="26"/>
        </w:rPr>
        <w:t xml:space="preserve">סמכות ייחודית — כרכו ביחד עם הגט</w:t>
      </w:r>
    </w:p>
    <w:p>
      <w:pPr>
        <w:bidi/>
        <w:spacing w:after="160"/>
        <w:jc w:val="right"/>
      </w:pPr>
      <w:r>
        <w:rPr>
          <w:rFonts w:ascii="Arial" w:cs="Arial" w:eastAsia="Arial" w:hAnsi="Arial"/>
          <w:sz w:val="23"/>
          <w:szCs w:val="23"/>
        </w:rPr>
        <w:t xml:space="preserve">כאשר אחד הצדדים כרך לגט נושאים אחרים — רכוש, מזונות — בית הדין הרבני מקבל סמכות לדון גם בהם. כריכה היא כלי אסטרטגי חשוב ועורך הדין שלכם יצטרך להתייחס אליה.</w:t>
      </w:r>
    </w:p>
    <w:p>
      <w:pPr>
        <w:pStyle w:val="Heading3"/>
        <w:jc w:val="right"/>
      </w:pPr>
      <w:r>
        <w:rPr>
          <w:rFonts w:ascii="Arial" w:cs="Arial" w:eastAsia="Arial" w:hAnsi="Arial"/>
          <w:b/>
          <w:bCs/>
          <w:color w:val="1F5C8B"/>
          <w:sz w:val="26"/>
          <w:szCs w:val="26"/>
        </w:rPr>
        <w:t xml:space="preserve">סמכות מקבילה — כשהצדדים מסכימים</w:t>
      </w:r>
    </w:p>
    <w:p>
      <w:pPr>
        <w:bidi/>
        <w:spacing w:after="160"/>
        <w:jc w:val="right"/>
      </w:pPr>
      <w:r>
        <w:rPr>
          <w:rFonts w:ascii="Arial" w:cs="Arial" w:eastAsia="Arial" w:hAnsi="Arial"/>
          <w:sz w:val="23"/>
          <w:szCs w:val="23"/>
        </w:rPr>
        <w:t xml:space="preserve">אם שני הצדדים מסכימים לסמכות בית הדין הרבני — הוא יכול לדון בכל הנושאים, כולל רכוש וילדים.</w:t>
      </w:r>
    </w:p>
    <w:p>
      <w:r>
        <w:rPr>
          <w:sz w:val="22"/>
          <w:szCs w:val="22"/>
        </w:rPr>
        <w:t xml:space="preserve"/>
      </w:r>
    </w:p>
    <w:p>
      <w:pPr>
        <w:pStyle w:val="Heading2"/>
        <w:jc w:val="right"/>
      </w:pPr>
      <w:r>
        <w:rPr>
          <w:rFonts w:ascii="Arial" w:cs="Arial" w:eastAsia="Arial" w:hAnsi="Arial"/>
          <w:b/>
          <w:bCs/>
          <w:color w:val="2E75B6"/>
          <w:sz w:val="30"/>
          <w:szCs w:val="30"/>
        </w:rPr>
        <w:t xml:space="preserve">מהו הגט?</w:t>
      </w:r>
    </w:p>
    <w:p>
      <w:pPr>
        <w:bidi/>
        <w:spacing w:after="160"/>
        <w:jc w:val="right"/>
      </w:pPr>
      <w:r>
        <w:rPr>
          <w:rFonts w:ascii="Arial" w:cs="Arial" w:eastAsia="Arial" w:hAnsi="Arial"/>
          <w:sz w:val="23"/>
          <w:szCs w:val="23"/>
        </w:rPr>
        <w:t xml:space="preserve">הגט הוא מסמך דתי שהבעל נותן לאשתו בנוכחות עדים ובפני הדיינים. הגט צריך להיות:</w:t>
      </w:r>
    </w:p>
    <w:p>
      <w:pPr>
        <w:bidi/>
        <w:spacing w:after="100"/>
        <w:jc w:val="right"/>
      </w:pPr>
      <w:r>
        <w:rPr>
          <w:rFonts w:ascii="Arial" w:cs="Arial" w:eastAsia="Arial" w:hAnsi="Arial"/>
          <w:sz w:val="23"/>
          <w:szCs w:val="23"/>
        </w:rPr>
        <w:t xml:space="preserve">• נכתב לשם האישה הספציפית — שם מלא עברי ושם האב</w:t>
      </w:r>
    </w:p>
    <w:p>
      <w:pPr>
        <w:bidi/>
        <w:spacing w:after="100"/>
        <w:jc w:val="right"/>
      </w:pPr>
      <w:r>
        <w:rPr>
          <w:rFonts w:ascii="Arial" w:cs="Arial" w:eastAsia="Arial" w:hAnsi="Arial"/>
          <w:sz w:val="23"/>
          <w:szCs w:val="23"/>
        </w:rPr>
        <w:t xml:space="preserve">• נכתב בעיר מסוימת — הקשורה למקום נתינתו</w:t>
      </w:r>
    </w:p>
    <w:p>
      <w:pPr>
        <w:bidi/>
        <w:spacing w:after="100"/>
        <w:jc w:val="right"/>
      </w:pPr>
      <w:r>
        <w:rPr>
          <w:rFonts w:ascii="Arial" w:cs="Arial" w:eastAsia="Arial" w:hAnsi="Arial"/>
          <w:sz w:val="23"/>
          <w:szCs w:val="23"/>
        </w:rPr>
        <w:t xml:space="preserve">• נכתב על ידי סופר סת"ם מוסמך</w:t>
      </w:r>
    </w:p>
    <w:p>
      <w:pPr>
        <w:bidi/>
        <w:spacing w:after="100"/>
        <w:jc w:val="right"/>
      </w:pPr>
      <w:r>
        <w:rPr>
          <w:rFonts w:ascii="Arial" w:cs="Arial" w:eastAsia="Arial" w:hAnsi="Arial"/>
          <w:sz w:val="23"/>
          <w:szCs w:val="23"/>
        </w:rPr>
        <w:t xml:space="preserve">• ניתן מרצון הבעל — גט מוכפה פסול</w:t>
      </w:r>
    </w:p>
    <w:p>
      <w:pPr>
        <w:bidi/>
        <w:spacing w:after="100"/>
        <w:jc w:val="right"/>
      </w:pPr>
      <w:r>
        <w:rPr>
          <w:rFonts w:ascii="Arial" w:cs="Arial" w:eastAsia="Arial" w:hAnsi="Arial"/>
          <w:sz w:val="23"/>
          <w:szCs w:val="23"/>
        </w:rPr>
        <w:t xml:space="preserve">• מקובל על ידי האישה</w:t>
      </w:r>
    </w:p>
    <w:p>
      <w:pPr>
        <w:bidi/>
        <w:spacing w:after="160"/>
        <w:jc w:val="right"/>
      </w:pPr>
      <w:r>
        <w:rPr>
          <w:rFonts w:ascii="Arial" w:cs="Arial" w:eastAsia="Arial" w:hAnsi="Arial"/>
          <w:sz w:val="23"/>
          <w:szCs w:val="23"/>
        </w:rPr>
        <w:t xml:space="preserve">לאחר נתינת הגט — האישה מקבלת 'שובר גט' המאשר שהיא גרושה כדת משה וישראל.</w:t>
      </w:r>
    </w:p>
    <w:p>
      <w:r>
        <w:rPr>
          <w:sz w:val="22"/>
          <w:szCs w:val="22"/>
        </w:rPr>
        <w:t xml:space="preserve"/>
      </w:r>
    </w:p>
    <w:p>
      <w:pPr>
        <w:pStyle w:val="Heading2"/>
        <w:jc w:val="right"/>
      </w:pPr>
      <w:r>
        <w:rPr>
          <w:rFonts w:ascii="Arial" w:cs="Arial" w:eastAsia="Arial" w:hAnsi="Arial"/>
          <w:b/>
          <w:bCs/>
          <w:color w:val="2E75B6"/>
          <w:sz w:val="30"/>
          <w:szCs w:val="30"/>
        </w:rPr>
        <w:t xml:space="preserve">תהליך הגירושין בבית הדין הרבני</w:t>
      </w:r>
    </w:p>
    <w:p>
      <w:pPr>
        <w:bidi/>
        <w:spacing w:after="100"/>
        <w:jc w:val="right"/>
      </w:pPr>
      <w:r>
        <w:rPr>
          <w:rFonts w:ascii="Arial" w:cs="Arial" w:eastAsia="Arial" w:hAnsi="Arial"/>
          <w:sz w:val="23"/>
          <w:szCs w:val="23"/>
        </w:rPr>
        <w:t xml:space="preserve">.1 הגשת תביעת גירושין — על ידי אחד הצדדים</w:t>
      </w:r>
    </w:p>
    <w:p>
      <w:pPr>
        <w:bidi/>
        <w:spacing w:after="100"/>
        <w:jc w:val="right"/>
      </w:pPr>
      <w:r>
        <w:rPr>
          <w:rFonts w:ascii="Arial" w:cs="Arial" w:eastAsia="Arial" w:hAnsi="Arial"/>
          <w:sz w:val="23"/>
          <w:szCs w:val="23"/>
        </w:rPr>
        <w:t xml:space="preserve">.2 קביעת דיון ראשון — בדרך כלל תוך 2-4 חודשים</w:t>
      </w:r>
    </w:p>
    <w:p>
      <w:pPr>
        <w:bidi/>
        <w:spacing w:after="100"/>
        <w:jc w:val="right"/>
      </w:pPr>
      <w:r>
        <w:rPr>
          <w:rFonts w:ascii="Arial" w:cs="Arial" w:eastAsia="Arial" w:hAnsi="Arial"/>
          <w:sz w:val="23"/>
          <w:szCs w:val="23"/>
        </w:rPr>
        <w:t xml:space="preserve">.3 דיון ראשון — הצגת הצדדים, ניסיון פיוס</w:t>
      </w:r>
    </w:p>
    <w:p>
      <w:pPr>
        <w:bidi/>
        <w:spacing w:after="100"/>
        <w:jc w:val="right"/>
      </w:pPr>
      <w:r>
        <w:rPr>
          <w:rFonts w:ascii="Arial" w:cs="Arial" w:eastAsia="Arial" w:hAnsi="Arial"/>
          <w:sz w:val="23"/>
          <w:szCs w:val="23"/>
        </w:rPr>
        <w:t xml:space="preserve">.4 דיונים נוספים — לפי הצורך</w:t>
      </w:r>
    </w:p>
    <w:p>
      <w:pPr>
        <w:bidi/>
        <w:spacing w:after="100"/>
        <w:jc w:val="right"/>
      </w:pPr>
      <w:r>
        <w:rPr>
          <w:rFonts w:ascii="Arial" w:cs="Arial" w:eastAsia="Arial" w:hAnsi="Arial"/>
          <w:sz w:val="23"/>
          <w:szCs w:val="23"/>
        </w:rPr>
        <w:t xml:space="preserve">.5 אישור הסכם הגירושין (אם קיים)</w:t>
      </w:r>
    </w:p>
    <w:p>
      <w:pPr>
        <w:bidi/>
        <w:spacing w:after="100"/>
        <w:jc w:val="right"/>
      </w:pPr>
      <w:r>
        <w:rPr>
          <w:rFonts w:ascii="Arial" w:cs="Arial" w:eastAsia="Arial" w:hAnsi="Arial"/>
          <w:sz w:val="23"/>
          <w:szCs w:val="23"/>
        </w:rPr>
        <w:t xml:space="preserve">.6 מועד נתינת הגט — קביעת תאריך</w:t>
      </w:r>
    </w:p>
    <w:p>
      <w:pPr>
        <w:bidi/>
        <w:spacing w:after="100"/>
        <w:jc w:val="right"/>
      </w:pPr>
      <w:r>
        <w:rPr>
          <w:rFonts w:ascii="Arial" w:cs="Arial" w:eastAsia="Arial" w:hAnsi="Arial"/>
          <w:sz w:val="23"/>
          <w:szCs w:val="23"/>
        </w:rPr>
        <w:t xml:space="preserve">.7 טקס הגט — בנוכחות שני הצדדים</w:t>
      </w:r>
    </w:p>
    <w:p>
      <w:r>
        <w:rPr>
          <w:sz w:val="22"/>
          <w:szCs w:val="22"/>
        </w:rPr>
        <w:t xml:space="preserve"/>
      </w:r>
    </w:p>
    <w:p>
      <w:pPr>
        <w:pStyle w:val="Heading2"/>
        <w:jc w:val="right"/>
      </w:pPr>
      <w:r>
        <w:rPr>
          <w:rFonts w:ascii="Arial" w:cs="Arial" w:eastAsia="Arial" w:hAnsi="Arial"/>
          <w:b/>
          <w:bCs/>
          <w:color w:val="2E75B6"/>
          <w:sz w:val="30"/>
          <w:szCs w:val="30"/>
        </w:rPr>
        <w:t xml:space="preserve">כמה זמן לוקח הגט?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גירושין בהסכמה: 3-6 חודשים מרגע הגשה | גירושין שנויי במחלוקת: 1-5 שנים | גירושין עם סרבנות: ללא הגבלת זמן — עד שהמסרב ייתן/יקבל גט</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ההבדל בין בית דין רבני אזורי למועצת הרבנות?</w:t>
      </w:r>
    </w:p>
    <w:p>
      <w:pPr>
        <w:bidi/>
        <w:spacing w:after="160"/>
        <w:jc w:val="right"/>
      </w:pPr>
      <w:r>
        <w:rPr>
          <w:rFonts w:ascii="Arial" w:cs="Arial" w:eastAsia="Arial" w:hAnsi="Arial"/>
          <w:sz w:val="23"/>
          <w:szCs w:val="23"/>
        </w:rPr>
        <w:t xml:space="preserve">ישנם בתי דין רבניים אזוריים בכל הערים הגדולות (תל אביב, ירושלים, חיפה, באר שבע ועוד). ערעורים על פסיקות בית הדין האזורי הולכים לבית הדין הגדול — 'מועצת הרבנות הראשית'.</w:t>
      </w:r>
    </w:p>
    <w:p>
      <w:r>
        <w:rPr>
          <w:sz w:val="22"/>
          <w:szCs w:val="22"/>
        </w:rPr>
        <w:t xml:space="preserve"/>
      </w:r>
    </w:p>
    <w:p>
      <w:pPr>
        <w:pStyle w:val="Heading2"/>
        <w:jc w:val="right"/>
      </w:pPr>
      <w:r>
        <w:rPr>
          <w:rFonts w:ascii="Arial" w:cs="Arial" w:eastAsia="Arial" w:hAnsi="Arial"/>
          <w:b/>
          <w:bCs/>
          <w:color w:val="2E75B6"/>
          <w:sz w:val="30"/>
          <w:szCs w:val="30"/>
        </w:rPr>
        <w:t xml:space="preserve">ייצוג משפטי בבית הדין הרבני</w:t>
      </w:r>
    </w:p>
    <w:p>
      <w:pPr>
        <w:bidi/>
        <w:spacing w:after="160"/>
        <w:jc w:val="right"/>
      </w:pPr>
      <w:r>
        <w:rPr>
          <w:rFonts w:ascii="Arial" w:cs="Arial" w:eastAsia="Arial" w:hAnsi="Arial"/>
          <w:sz w:val="23"/>
          <w:szCs w:val="23"/>
        </w:rPr>
        <w:t xml:space="preserve">בבית הדין הרבני ניתן להיות מיוצג על ידי:</w:t>
      </w:r>
    </w:p>
    <w:p>
      <w:pPr>
        <w:bidi/>
        <w:spacing w:after="100"/>
        <w:jc w:val="right"/>
      </w:pPr>
      <w:r>
        <w:rPr>
          <w:rFonts w:ascii="Arial" w:cs="Arial" w:eastAsia="Arial" w:hAnsi="Arial"/>
          <w:sz w:val="23"/>
          <w:szCs w:val="23"/>
        </w:rPr>
        <w:t xml:space="preserve">• עורך דין רגיל — שמוסמך לפרקטיקה בבתי הדין</w:t>
      </w:r>
    </w:p>
    <w:p>
      <w:pPr>
        <w:bidi/>
        <w:spacing w:after="100"/>
        <w:jc w:val="right"/>
      </w:pPr>
      <w:r>
        <w:rPr>
          <w:rFonts w:ascii="Arial" w:cs="Arial" w:eastAsia="Arial" w:hAnsi="Arial"/>
          <w:sz w:val="23"/>
          <w:szCs w:val="23"/>
        </w:rPr>
        <w:t xml:space="preserve">• טוען רבני — מומחה ספציפי לדיני הלכה</w:t>
      </w:r>
    </w:p>
    <w:p>
      <w:pPr>
        <w:bidi/>
        <w:spacing w:after="160"/>
        <w:jc w:val="right"/>
      </w:pPr>
      <w:r>
        <w:rPr>
          <w:rFonts w:ascii="Arial" w:cs="Arial" w:eastAsia="Arial" w:hAnsi="Arial"/>
          <w:sz w:val="23"/>
          <w:szCs w:val="23"/>
        </w:rPr>
        <w:t xml:space="preserve">עו"ד יניב גיל הוא עורך דין שמייצג בשתי הערכאות. ניסיון בבית הדין הרבני הוא קריטי — הפרוצדורה, הטקטיקה, והאופן שבו מציגים טיעונים לדיינים — שונים מהותית מבית משפט אזרחי.</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 — בית הדין הרבני</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חייבים לייצג על ידי עורך דין בבית הדין הרבני ?</w:t>
      </w:r>
    </w:p>
    <w:p>
      <w:pPr>
        <w:bidi/>
        <w:spacing w:after="180"/>
        <w:jc w:val="right"/>
      </w:pPr>
      <w:r>
        <w:rPr>
          <w:rFonts w:ascii="Arial" w:cs="Arial" w:eastAsia="Arial" w:hAnsi="Arial"/>
          <w:color w:val="333333"/>
          <w:sz w:val="23"/>
          <w:szCs w:val="23"/>
        </w:rPr>
        <w:t xml:space="preserve">לא חייבים — ניתן להופיע ללא עורך דין. אך מאוד מומלץ. בית הדין הרבני הוא זירה מורכבת עם כללים ייחודיים, וחוסר ניסיון עלול לפגוע.</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בית הדין הרבני יכול לכפות על בעל לתת גט ?</w:t>
      </w:r>
    </w:p>
    <w:p>
      <w:pPr>
        <w:bidi/>
        <w:spacing w:after="180"/>
        <w:jc w:val="right"/>
      </w:pPr>
      <w:r>
        <w:rPr>
          <w:rFonts w:ascii="Arial" w:cs="Arial" w:eastAsia="Arial" w:hAnsi="Arial"/>
          <w:color w:val="333333"/>
          <w:sz w:val="23"/>
          <w:szCs w:val="23"/>
        </w:rPr>
        <w:t xml:space="preserve">כן — בנסיבות מסוימות. כאשר קיימת עילה הלכתית (כגון נטישה, מחלה, אלימות), בית הדין יכול לחייב מתן גט ולנקוט סנקציות על מי שמסרב. בפועל — כפייה מלאה נדירה ומורכבת משפטית.</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קורה אם הבעל נמצא בחו"ל ?</w:t>
      </w:r>
    </w:p>
    <w:p>
      <w:pPr>
        <w:bidi/>
        <w:spacing w:after="180"/>
        <w:jc w:val="right"/>
      </w:pPr>
      <w:r>
        <w:rPr>
          <w:rFonts w:ascii="Arial" w:cs="Arial" w:eastAsia="Arial" w:hAnsi="Arial"/>
          <w:color w:val="333333"/>
          <w:sz w:val="23"/>
          <w:szCs w:val="23"/>
        </w:rPr>
        <w:t xml:space="preserve">ניתן להגיש תביעת גירושין גם כשהבעל בחו"ל. בית הדין יכול להיעזר בהסכמים בינלאומיים ובבתי דין רבניים בחו"ל. הליך זה מורכב ודורש עורך דין עם ניסיון בינלאומי.</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אפשר להתגרש רק בבית המשפט האזרחי בלי בית הדין הרבני ?</w:t>
      </w:r>
    </w:p>
    <w:p>
      <w:pPr>
        <w:bidi/>
        <w:spacing w:after="180"/>
        <w:jc w:val="right"/>
      </w:pPr>
      <w:r>
        <w:rPr>
          <w:rFonts w:ascii="Arial" w:cs="Arial" w:eastAsia="Arial" w:hAnsi="Arial"/>
          <w:color w:val="333333"/>
          <w:sz w:val="23"/>
          <w:szCs w:val="23"/>
        </w:rPr>
        <w:t xml:space="preserve">לא — לזוגות יהודים שנישאו בנישואין דתיים, הגט בבית הדין הרבני הוא חובה. ניתן לאשר את כל שאר ההיבטים (רכוש, ילדים, מזונות) בבית המשפט האזרחי — אך הגט עצמו יישאר בבית הדין הרבני.</w:t>
      </w:r>
    </w:p>
    <w:p>
      <w:r>
        <w:rPr>
          <w:sz w:val="22"/>
          <w:szCs w:val="22"/>
        </w:rPr>
        <w:t xml:space="preserve"/>
      </w:r>
    </w:p>
    <w:p>
      <w:pPr>
        <w:bidi/>
        <w:spacing w:before="200" w:after="80"/>
        <w:jc w:val="right"/>
      </w:pPr>
      <w:r>
        <w:rPr>
          <w:rFonts w:ascii="Arial" w:cs="Arial" w:eastAsia="Arial" w:hAnsi="Arial"/>
          <w:b/>
          <w:bCs/>
          <w:color w:val="1B4F8A"/>
          <w:sz w:val="23"/>
          <w:szCs w:val="23"/>
        </w:rPr>
        <w:t xml:space="preserve">כמה עולה ייצוג בבית הדין הרבני ?</w:t>
      </w:r>
    </w:p>
    <w:p>
      <w:pPr>
        <w:bidi/>
        <w:spacing w:after="180"/>
        <w:jc w:val="right"/>
      </w:pPr>
      <w:r>
        <w:rPr>
          <w:rFonts w:ascii="Arial" w:cs="Arial" w:eastAsia="Arial" w:hAnsi="Arial"/>
          <w:color w:val="333333"/>
          <w:sz w:val="23"/>
          <w:szCs w:val="23"/>
        </w:rPr>
        <w:t xml:space="preserve">ייצוג בבית דין רבני בגירושין בהסכמה: 5,000–15,000 ₪. גירושין שנויי במחלוקת: 15,000–50,000 ₪ ויותר, תלוי בסיבוכיות ומשך ההליך.</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הגט — מה זה ואיך מקבלים</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1  |  URL: /haget-mah-ze.html  |  מילת מפתח: הגט גירושין</w:t>
      </w:r>
    </w:p>
    <w:p>
      <w:r>
        <w:rPr>
          <w:sz w:val="22"/>
          <w:szCs w:val="22"/>
        </w:rPr>
        <w:t xml:space="preserve"/>
      </w:r>
    </w:p>
    <w:p>
      <w:pPr>
        <w:pStyle w:val="Heading1"/>
        <w:jc w:val="right"/>
      </w:pPr>
      <w:r>
        <w:rPr>
          <w:rFonts w:ascii="Arial" w:cs="Arial" w:eastAsia="Arial" w:hAnsi="Arial"/>
          <w:b/>
          <w:bCs/>
          <w:color w:val="1B4F8A"/>
          <w:sz w:val="40"/>
          <w:szCs w:val="40"/>
        </w:rPr>
        <w:t xml:space="preserve">הגט — מה זה, איך עובד, ולמה הוא הכרחי</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מהו הגט?</w:t>
      </w:r>
    </w:p>
    <w:p>
      <w:pPr>
        <w:bidi/>
        <w:spacing w:after="160"/>
        <w:jc w:val="right"/>
      </w:pPr>
      <w:r>
        <w:rPr>
          <w:rFonts w:ascii="Arial" w:cs="Arial" w:eastAsia="Arial" w:hAnsi="Arial"/>
          <w:sz w:val="23"/>
          <w:szCs w:val="23"/>
        </w:rPr>
        <w:t xml:space="preserve">הגט הוא מסמך גירושין דתי — שטר כריתות — שהבעל נותן לאשתו בנוכחות בית דין רבני. ללא גט, הנישואין ההלכתיים נשארים בתוקף. אישה שנישאה שוב ללא גט — נחשבת אשת איש, וילדיה ממגורה החדש נחשבים ממזרים לפי ההלכה.</w:t>
      </w:r>
    </w:p>
    <w:p>
      <w:r>
        <w:rPr>
          <w:sz w:val="22"/>
          <w:szCs w:val="22"/>
        </w:rPr>
        <w:t xml:space="preserve"/>
      </w:r>
    </w:p>
    <w:p>
      <w:pPr>
        <w:pStyle w:val="Heading2"/>
        <w:jc w:val="right"/>
      </w:pPr>
      <w:r>
        <w:rPr>
          <w:rFonts w:ascii="Arial" w:cs="Arial" w:eastAsia="Arial" w:hAnsi="Arial"/>
          <w:b/>
          <w:bCs/>
          <w:color w:val="2E75B6"/>
          <w:sz w:val="30"/>
          <w:szCs w:val="30"/>
        </w:rPr>
        <w:t xml:space="preserve">מרכיבי הגט</w:t>
      </w:r>
    </w:p>
    <w:p>
      <w:pPr>
        <w:bidi/>
        <w:spacing w:after="100"/>
        <w:jc w:val="right"/>
      </w:pPr>
      <w:r>
        <w:rPr>
          <w:rFonts w:ascii="Arial" w:cs="Arial" w:eastAsia="Arial" w:hAnsi="Arial"/>
          <w:sz w:val="23"/>
          <w:szCs w:val="23"/>
        </w:rPr>
        <w:t xml:space="preserve">• תוכן: נוסח מסורתי בארמית קדומה — 'הרי את מותרת לכל אדם'</w:t>
      </w:r>
    </w:p>
    <w:p>
      <w:pPr>
        <w:bidi/>
        <w:spacing w:after="100"/>
        <w:jc w:val="right"/>
      </w:pPr>
      <w:r>
        <w:rPr>
          <w:rFonts w:ascii="Arial" w:cs="Arial" w:eastAsia="Arial" w:hAnsi="Arial"/>
          <w:sz w:val="23"/>
          <w:szCs w:val="23"/>
        </w:rPr>
        <w:t xml:space="preserve">• כתיבה: סופר סת"ם מוסמך כותב את הגט לשם הזוג הספציפי</w:t>
      </w:r>
    </w:p>
    <w:p>
      <w:pPr>
        <w:bidi/>
        <w:spacing w:after="100"/>
        <w:jc w:val="right"/>
      </w:pPr>
      <w:r>
        <w:rPr>
          <w:rFonts w:ascii="Arial" w:cs="Arial" w:eastAsia="Arial" w:hAnsi="Arial"/>
          <w:sz w:val="23"/>
          <w:szCs w:val="23"/>
        </w:rPr>
        <w:t xml:space="preserve">• שמות: שמות עבריים מלאים של שני הצדדים, כולל שם האב</w:t>
      </w:r>
    </w:p>
    <w:p>
      <w:pPr>
        <w:bidi/>
        <w:spacing w:after="100"/>
        <w:jc w:val="right"/>
      </w:pPr>
      <w:r>
        <w:rPr>
          <w:rFonts w:ascii="Arial" w:cs="Arial" w:eastAsia="Arial" w:hAnsi="Arial"/>
          <w:sz w:val="23"/>
          <w:szCs w:val="23"/>
        </w:rPr>
        <w:t xml:space="preserve">• מקום: שם העיר שבה ניתן הגט</w:t>
      </w:r>
    </w:p>
    <w:p>
      <w:pPr>
        <w:bidi/>
        <w:spacing w:after="100"/>
        <w:jc w:val="right"/>
      </w:pPr>
      <w:r>
        <w:rPr>
          <w:rFonts w:ascii="Arial" w:cs="Arial" w:eastAsia="Arial" w:hAnsi="Arial"/>
          <w:sz w:val="23"/>
          <w:szCs w:val="23"/>
        </w:rPr>
        <w:t xml:space="preserve">• תאריך: לפי לוח עברי</w:t>
      </w:r>
    </w:p>
    <w:p>
      <w:pPr>
        <w:bidi/>
        <w:spacing w:after="100"/>
        <w:jc w:val="right"/>
      </w:pPr>
      <w:r>
        <w:rPr>
          <w:rFonts w:ascii="Arial" w:cs="Arial" w:eastAsia="Arial" w:hAnsi="Arial"/>
          <w:sz w:val="23"/>
          <w:szCs w:val="23"/>
        </w:rPr>
        <w:t xml:space="preserve">• עדים: שני עדים כשרים חותמים</w:t>
      </w:r>
    </w:p>
    <w:p>
      <w:r>
        <w:rPr>
          <w:sz w:val="22"/>
          <w:szCs w:val="22"/>
        </w:rPr>
        <w:t xml:space="preserve"/>
      </w:r>
    </w:p>
    <w:p>
      <w:pPr>
        <w:pStyle w:val="Heading2"/>
        <w:jc w:val="right"/>
      </w:pPr>
      <w:r>
        <w:rPr>
          <w:rFonts w:ascii="Arial" w:cs="Arial" w:eastAsia="Arial" w:hAnsi="Arial"/>
          <w:b/>
          <w:bCs/>
          <w:color w:val="2E75B6"/>
          <w:sz w:val="30"/>
          <w:szCs w:val="30"/>
        </w:rPr>
        <w:t xml:space="preserve">טקס נתינת הגט</w:t>
      </w:r>
    </w:p>
    <w:p>
      <w:pPr>
        <w:bidi/>
        <w:spacing w:after="160"/>
        <w:jc w:val="right"/>
      </w:pPr>
      <w:r>
        <w:rPr>
          <w:rFonts w:ascii="Arial" w:cs="Arial" w:eastAsia="Arial" w:hAnsi="Arial"/>
          <w:sz w:val="23"/>
          <w:szCs w:val="23"/>
        </w:rPr>
        <w:t xml:space="preserve">הטקס מתנהל בנוכחות הדיינים ובפני שני הצדדים:</w:t>
      </w:r>
    </w:p>
    <w:p>
      <w:pPr>
        <w:bidi/>
        <w:spacing w:after="100"/>
        <w:jc w:val="right"/>
      </w:pPr>
      <w:r>
        <w:rPr>
          <w:rFonts w:ascii="Arial" w:cs="Arial" w:eastAsia="Arial" w:hAnsi="Arial"/>
          <w:sz w:val="23"/>
          <w:szCs w:val="23"/>
        </w:rPr>
        <w:t xml:space="preserve">.1 הבעל מצהיר שהוא נותן את הגט מרצונו החופשי</w:t>
      </w:r>
    </w:p>
    <w:p>
      <w:pPr>
        <w:bidi/>
        <w:spacing w:after="100"/>
        <w:jc w:val="right"/>
      </w:pPr>
      <w:r>
        <w:rPr>
          <w:rFonts w:ascii="Arial" w:cs="Arial" w:eastAsia="Arial" w:hAnsi="Arial"/>
          <w:sz w:val="23"/>
          <w:szCs w:val="23"/>
        </w:rPr>
        <w:t xml:space="preserve">.2 הסופר כותב את הגט</w:t>
      </w:r>
    </w:p>
    <w:p>
      <w:pPr>
        <w:bidi/>
        <w:spacing w:after="100"/>
        <w:jc w:val="right"/>
      </w:pPr>
      <w:r>
        <w:rPr>
          <w:rFonts w:ascii="Arial" w:cs="Arial" w:eastAsia="Arial" w:hAnsi="Arial"/>
          <w:sz w:val="23"/>
          <w:szCs w:val="23"/>
        </w:rPr>
        <w:t xml:space="preserve">.3 הבעל נותן את הגט לאישה — מניח בידיה</w:t>
      </w:r>
    </w:p>
    <w:p>
      <w:pPr>
        <w:bidi/>
        <w:spacing w:after="100"/>
        <w:jc w:val="right"/>
      </w:pPr>
      <w:r>
        <w:rPr>
          <w:rFonts w:ascii="Arial" w:cs="Arial" w:eastAsia="Arial" w:hAnsi="Arial"/>
          <w:sz w:val="23"/>
          <w:szCs w:val="23"/>
        </w:rPr>
        <w:t xml:space="preserve">.4 האישה מקבלת את הגט ומרימה אותו</w:t>
      </w:r>
    </w:p>
    <w:p>
      <w:pPr>
        <w:bidi/>
        <w:spacing w:after="100"/>
        <w:jc w:val="right"/>
      </w:pPr>
      <w:r>
        <w:rPr>
          <w:rFonts w:ascii="Arial" w:cs="Arial" w:eastAsia="Arial" w:hAnsi="Arial"/>
          <w:sz w:val="23"/>
          <w:szCs w:val="23"/>
        </w:rPr>
        <w:t xml:space="preserve">.5 הדיינים קוראים את הגט ומוודאים תקינותו</w:t>
      </w:r>
    </w:p>
    <w:p>
      <w:pPr>
        <w:bidi/>
        <w:spacing w:after="100"/>
        <w:jc w:val="right"/>
      </w:pPr>
      <w:r>
        <w:rPr>
          <w:rFonts w:ascii="Arial" w:cs="Arial" w:eastAsia="Arial" w:hAnsi="Arial"/>
          <w:sz w:val="23"/>
          <w:szCs w:val="23"/>
        </w:rPr>
        <w:t xml:space="preserve">.6 הגט נחתך כדי שלא ישמש שוב</w:t>
      </w:r>
    </w:p>
    <w:p>
      <w:pPr>
        <w:bidi/>
        <w:spacing w:after="100"/>
        <w:jc w:val="right"/>
      </w:pPr>
      <w:r>
        <w:rPr>
          <w:rFonts w:ascii="Arial" w:cs="Arial" w:eastAsia="Arial" w:hAnsi="Arial"/>
          <w:sz w:val="23"/>
          <w:szCs w:val="23"/>
        </w:rPr>
        <w:t xml:space="preserve">.7 האישה מקבלת 'שובר גט' — תעודת גירושין</w:t>
      </w:r>
    </w:p>
    <w:p>
      <w:r>
        <w:rPr>
          <w:sz w:val="22"/>
          <w:szCs w:val="22"/>
        </w:rPr>
        <w:t xml:space="preserve"/>
      </w:r>
    </w:p>
    <w:p>
      <w:pPr>
        <w:pStyle w:val="Heading2"/>
        <w:jc w:val="right"/>
      </w:pPr>
      <w:r>
        <w:rPr>
          <w:rFonts w:ascii="Arial" w:cs="Arial" w:eastAsia="Arial" w:hAnsi="Arial"/>
          <w:b/>
          <w:bCs/>
          <w:color w:val="2E75B6"/>
          <w:sz w:val="30"/>
          <w:szCs w:val="30"/>
        </w:rPr>
        <w:t xml:space="preserve">מה אם הגט פסול?</w:t>
      </w:r>
    </w:p>
    <w:p>
      <w:pPr>
        <w:bidi/>
        <w:spacing w:after="160"/>
        <w:jc w:val="right"/>
      </w:pPr>
      <w:r>
        <w:rPr>
          <w:rFonts w:ascii="Arial" w:cs="Arial" w:eastAsia="Arial" w:hAnsi="Arial"/>
          <w:sz w:val="23"/>
          <w:szCs w:val="23"/>
        </w:rPr>
        <w:t xml:space="preserve">גט פסול — בשל שגיאה בשם, בנוסח, או בהליך — מחייב חזרה על הכל. זה נדיר אך מתרחש. עורך דין מנוסה ידאג שהנוסח תקין לפני הטקס.</w:t>
      </w:r>
    </w:p>
    <w:p>
      <w:r>
        <w:rPr>
          <w:sz w:val="22"/>
          <w:szCs w:val="22"/>
        </w:rPr>
        <w:t xml:space="preserve"/>
      </w:r>
    </w:p>
    <w:p>
      <w:pPr>
        <w:pStyle w:val="Heading2"/>
        <w:jc w:val="right"/>
      </w:pPr>
      <w:r>
        <w:rPr>
          <w:rFonts w:ascii="Arial" w:cs="Arial" w:eastAsia="Arial" w:hAnsi="Arial"/>
          <w:b/>
          <w:bCs/>
          <w:color w:val="2E75B6"/>
          <w:sz w:val="30"/>
          <w:szCs w:val="30"/>
        </w:rPr>
        <w:t xml:space="preserve">מה אחרי הגט?</w:t>
      </w:r>
    </w:p>
    <w:p>
      <w:pPr>
        <w:bidi/>
        <w:spacing w:after="160"/>
        <w:jc w:val="right"/>
      </w:pPr>
      <w:r>
        <w:rPr>
          <w:rFonts w:ascii="Arial" w:cs="Arial" w:eastAsia="Arial" w:hAnsi="Arial"/>
          <w:sz w:val="23"/>
          <w:szCs w:val="23"/>
        </w:rPr>
        <w:t xml:space="preserve">לאחר קבלת הגט, האישה צריכה להמתין 92 יום (שלושה חודשים) לפני שתוכל להינשא מחדש — כדי לוודא שאינה בהריון מהבעל הקודם. האב אינו מוגבל בזמן.</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גירושין בית הדין הרבני — מדריך מלא   |   → סמכות בית הדין הרבני</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2  |  URL: /smchut-beit-din-rabani.html  |  מילת מפתח: סמכות בית דין רבני</w:t>
      </w:r>
    </w:p>
    <w:p>
      <w:r>
        <w:rPr>
          <w:sz w:val="22"/>
          <w:szCs w:val="22"/>
        </w:rPr>
        <w:t xml:space="preserve"/>
      </w:r>
    </w:p>
    <w:p>
      <w:pPr>
        <w:pStyle w:val="Heading1"/>
        <w:jc w:val="right"/>
      </w:pPr>
      <w:r>
        <w:rPr>
          <w:rFonts w:ascii="Arial" w:cs="Arial" w:eastAsia="Arial" w:hAnsi="Arial"/>
          <w:b/>
          <w:bCs/>
          <w:color w:val="1B4F8A"/>
          <w:sz w:val="40"/>
          <w:szCs w:val="40"/>
        </w:rPr>
        <w:t xml:space="preserve">סמכות בית הדין הרבני — מה הוא יכול ומה לא</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מבנה הסמכויות בישראל</w:t>
      </w:r>
    </w:p>
    <w:p>
      <w:pPr>
        <w:bidi/>
        <w:spacing w:after="160"/>
        <w:jc w:val="right"/>
      </w:pPr>
      <w:r>
        <w:rPr>
          <w:rFonts w:ascii="Arial" w:cs="Arial" w:eastAsia="Arial" w:hAnsi="Arial"/>
          <w:sz w:val="23"/>
          <w:szCs w:val="23"/>
        </w:rPr>
        <w:t xml:space="preserve">בישראל פועלות שתי מערכות משפט שדנות בגירושין: בית הדין הרבני ובית המשפט לענייני משפחה. חלוקת הסמכויות ביניהן היא נושא מורכב שיש לו השלכות אסטרטגיות חשובות.</w:t>
      </w:r>
    </w:p>
    <w:p>
      <w:r>
        <w:rPr>
          <w:sz w:val="22"/>
          <w:szCs w:val="22"/>
        </w:rPr>
        <w:t xml:space="preserve"/>
      </w:r>
    </w:p>
    <w:p>
      <w:pPr>
        <w:pStyle w:val="Heading2"/>
        <w:jc w:val="right"/>
      </w:pPr>
      <w:r>
        <w:rPr>
          <w:rFonts w:ascii="Arial" w:cs="Arial" w:eastAsia="Arial" w:hAnsi="Arial"/>
          <w:b/>
          <w:bCs/>
          <w:color w:val="2E75B6"/>
          <w:sz w:val="30"/>
          <w:szCs w:val="30"/>
        </w:rPr>
        <w:t xml:space="preserve">סמכות בלעדית: הגט</w:t>
      </w:r>
    </w:p>
    <w:p>
      <w:pPr>
        <w:bidi/>
        <w:spacing w:after="160"/>
        <w:jc w:val="right"/>
      </w:pPr>
      <w:r>
        <w:rPr>
          <w:rFonts w:ascii="Arial" w:cs="Arial" w:eastAsia="Arial" w:hAnsi="Arial"/>
          <w:sz w:val="23"/>
          <w:szCs w:val="23"/>
        </w:rPr>
        <w:t xml:space="preserve">נתינת הגט וכל הקשור אליו — בסמכות בלעדית של בית הדין הרבני. שום גורם אחר לא יכול לתת גט.</w:t>
      </w:r>
    </w:p>
    <w:p>
      <w:r>
        <w:rPr>
          <w:sz w:val="22"/>
          <w:szCs w:val="22"/>
        </w:rPr>
        <w:t xml:space="preserve"/>
      </w:r>
    </w:p>
    <w:p>
      <w:pPr>
        <w:pStyle w:val="Heading2"/>
        <w:jc w:val="right"/>
      </w:pPr>
      <w:r>
        <w:rPr>
          <w:rFonts w:ascii="Arial" w:cs="Arial" w:eastAsia="Arial" w:hAnsi="Arial"/>
          <w:b/>
          <w:bCs/>
          <w:color w:val="2E75B6"/>
          <w:sz w:val="30"/>
          <w:szCs w:val="30"/>
        </w:rPr>
        <w:t xml:space="preserve">סמכות ייחודית: הכריכה</w:t>
      </w:r>
    </w:p>
    <w:p>
      <w:pPr>
        <w:bidi/>
        <w:spacing w:after="160"/>
        <w:jc w:val="right"/>
      </w:pPr>
      <w:r>
        <w:rPr>
          <w:rFonts w:ascii="Arial" w:cs="Arial" w:eastAsia="Arial" w:hAnsi="Arial"/>
          <w:sz w:val="23"/>
          <w:szCs w:val="23"/>
        </w:rPr>
        <w:t xml:space="preserve">כאשר אחד הצדדים מגיש תביעת גירושין לבית הדין הרבני וכורך אליה נושאים נוספים (מזונות, רכוש, ילדים) — בית הדין מקבל סמכות לדון בהם. אך הכריכה חייבת להיות 'כדין' — בתביעה ראשונה, לפני שהצד האחר פנה לבית משפט אזרחי.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pPr>
              <w:bidi/>
              <w:jc w:val="right"/>
            </w:pPr>
            <w:r>
              <w:rPr>
                <w:rFonts w:ascii="Arial" w:cs="Arial" w:eastAsia="Arial" w:hAnsi="Arial"/>
                <w:i/>
                <w:iCs/>
                <w:sz w:val="22"/>
                <w:szCs w:val="22"/>
              </w:rPr>
              <w:t xml:space="preserve">⚠️ המרוץ לכריכה הוא אסטרטגי ביותר. מי שמגיש ראשון — ולאיזו ערכאה — יכול לקבוע איפה ידונו הנושאים העיקריים. התייעצו עם עורך דין לפני כל הגשה.</w:t>
            </w:r>
          </w:p>
        </w:tc>
      </w:tr>
    </w:tbl>
    <w:p>
      <w:r>
        <w:rPr>
          <w:sz w:val="22"/>
          <w:szCs w:val="22"/>
        </w:rPr>
        <w:t xml:space="preserve"/>
      </w:r>
    </w:p>
    <w:p>
      <w:pPr>
        <w:pStyle w:val="Heading2"/>
        <w:jc w:val="right"/>
      </w:pPr>
      <w:r>
        <w:rPr>
          <w:rFonts w:ascii="Arial" w:cs="Arial" w:eastAsia="Arial" w:hAnsi="Arial"/>
          <w:b/>
          <w:bCs/>
          <w:color w:val="2E75B6"/>
          <w:sz w:val="30"/>
          <w:szCs w:val="30"/>
        </w:rPr>
        <w:t xml:space="preserve">סמכות מקבילה: הסכמת שני הצדדים</w:t>
      </w:r>
    </w:p>
    <w:p>
      <w:pPr>
        <w:bidi/>
        <w:spacing w:after="160"/>
        <w:jc w:val="right"/>
      </w:pPr>
      <w:r>
        <w:rPr>
          <w:rFonts w:ascii="Arial" w:cs="Arial" w:eastAsia="Arial" w:hAnsi="Arial"/>
          <w:sz w:val="23"/>
          <w:szCs w:val="23"/>
        </w:rPr>
        <w:t xml:space="preserve">אם שני הצדדים מסכימים לסמכות בית הדין הרבני לדון בכל הנושאים — הוא יכול. זה נפוץ בגירושין בהסכמה שבהם רוצים לסיים הכל בערכאה אחת.</w:t>
      </w:r>
    </w:p>
    <w:p>
      <w:r>
        <w:rPr>
          <w:sz w:val="22"/>
          <w:szCs w:val="22"/>
        </w:rPr>
        <w:t xml:space="preserve"/>
      </w:r>
    </w:p>
    <w:p>
      <w:pPr>
        <w:pStyle w:val="Heading2"/>
        <w:jc w:val="right"/>
      </w:pPr>
      <w:r>
        <w:rPr>
          <w:rFonts w:ascii="Arial" w:cs="Arial" w:eastAsia="Arial" w:hAnsi="Arial"/>
          <w:b/>
          <w:bCs/>
          <w:color w:val="2E75B6"/>
          <w:sz w:val="30"/>
          <w:szCs w:val="30"/>
        </w:rPr>
        <w:t xml:space="preserve">מה בית הדין הרבני לא יכול?</w:t>
      </w:r>
    </w:p>
    <w:p>
      <w:pPr>
        <w:bidi/>
        <w:spacing w:after="100"/>
        <w:jc w:val="right"/>
      </w:pPr>
      <w:r>
        <w:rPr>
          <w:rFonts w:ascii="Arial" w:cs="Arial" w:eastAsia="Arial" w:hAnsi="Arial"/>
          <w:sz w:val="23"/>
          <w:szCs w:val="23"/>
        </w:rPr>
        <w:t xml:space="preserve">• לדון ברכוש שלא כרוך כדין לגט</w:t>
      </w:r>
    </w:p>
    <w:p>
      <w:pPr>
        <w:bidi/>
        <w:spacing w:after="100"/>
        <w:jc w:val="right"/>
      </w:pPr>
      <w:r>
        <w:rPr>
          <w:rFonts w:ascii="Arial" w:cs="Arial" w:eastAsia="Arial" w:hAnsi="Arial"/>
          <w:sz w:val="23"/>
          <w:szCs w:val="23"/>
        </w:rPr>
        <w:t xml:space="preserve">• לדון בילדים אם לא נכרכו ובית המשפט קיבל סמכות</w:t>
      </w:r>
    </w:p>
    <w:p>
      <w:pPr>
        <w:bidi/>
        <w:spacing w:after="100"/>
        <w:jc w:val="right"/>
      </w:pPr>
      <w:r>
        <w:rPr>
          <w:rFonts w:ascii="Arial" w:cs="Arial" w:eastAsia="Arial" w:hAnsi="Arial"/>
          <w:sz w:val="23"/>
          <w:szCs w:val="23"/>
        </w:rPr>
        <w:t xml:space="preserve">• לאכוף פסיקותיו בעצמו (אכיפה דרך ההוצאה לפועל האזרחית)</w:t>
      </w:r>
    </w:p>
    <w:p>
      <w:pPr>
        <w:bidi/>
        <w:spacing w:after="100"/>
        <w:jc w:val="right"/>
      </w:pPr>
      <w:r>
        <w:rPr>
          <w:rFonts w:ascii="Arial" w:cs="Arial" w:eastAsia="Arial" w:hAnsi="Arial"/>
          <w:sz w:val="23"/>
          <w:szCs w:val="23"/>
        </w:rPr>
        <w:t xml:space="preserve">• לפסוק בנושאים שאינם קשורים לנישואין</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הגט — מה זה ואיך מקבלים   |   → כריכה לבית הדין הרבני</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3  |  URL: /hachricha-beit-din.html  |  מילת מפתח: כריכה בית דין רבני</w:t>
      </w:r>
    </w:p>
    <w:p>
      <w:r>
        <w:rPr>
          <w:sz w:val="22"/>
          <w:szCs w:val="22"/>
        </w:rPr>
        <w:t xml:space="preserve"/>
      </w:r>
    </w:p>
    <w:p>
      <w:pPr>
        <w:pStyle w:val="Heading1"/>
        <w:jc w:val="right"/>
      </w:pPr>
      <w:r>
        <w:rPr>
          <w:rFonts w:ascii="Arial" w:cs="Arial" w:eastAsia="Arial" w:hAnsi="Arial"/>
          <w:b/>
          <w:bCs/>
          <w:color w:val="1B4F8A"/>
          <w:sz w:val="40"/>
          <w:szCs w:val="40"/>
        </w:rPr>
        <w:t xml:space="preserve">כריכה בבית הדין הרבני — מה זה, למה חשוב, ואיך משפיע</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מהי כריכה?</w:t>
      </w:r>
    </w:p>
    <w:p>
      <w:pPr>
        <w:bidi/>
        <w:spacing w:after="160"/>
        <w:jc w:val="right"/>
      </w:pPr>
      <w:r>
        <w:rPr>
          <w:rFonts w:ascii="Arial" w:cs="Arial" w:eastAsia="Arial" w:hAnsi="Arial"/>
          <w:sz w:val="23"/>
          <w:szCs w:val="23"/>
        </w:rPr>
        <w:t xml:space="preserve">כריכה היא פעולה משפטית שבה הצד המגיש תביעת גירושין לבית הדין הרבני 'כורך' לתביעה נושאים נוספים — מזונות, רכוש, ילדים. כריכה תקינה מקנה לבית הדין הרבני סמכות לדון בנושאים אלה.</w:t>
      </w:r>
    </w:p>
    <w:p>
      <w:r>
        <w:rPr>
          <w:sz w:val="22"/>
          <w:szCs w:val="22"/>
        </w:rPr>
        <w:t xml:space="preserve"/>
      </w:r>
    </w:p>
    <w:p>
      <w:pPr>
        <w:pStyle w:val="Heading2"/>
        <w:jc w:val="right"/>
      </w:pPr>
      <w:r>
        <w:rPr>
          <w:rFonts w:ascii="Arial" w:cs="Arial" w:eastAsia="Arial" w:hAnsi="Arial"/>
          <w:b/>
          <w:bCs/>
          <w:color w:val="2E75B6"/>
          <w:sz w:val="30"/>
          <w:szCs w:val="30"/>
        </w:rPr>
        <w:t xml:space="preserve">למה חשוב כל כך?</w:t>
      </w:r>
    </w:p>
    <w:p>
      <w:pPr>
        <w:bidi/>
        <w:spacing w:after="160"/>
        <w:jc w:val="right"/>
      </w:pPr>
      <w:r>
        <w:rPr>
          <w:rFonts w:ascii="Arial" w:cs="Arial" w:eastAsia="Arial" w:hAnsi="Arial"/>
          <w:sz w:val="23"/>
          <w:szCs w:val="23"/>
        </w:rPr>
        <w:t xml:space="preserve">בלי כריכה — בית הדין הרבני יכול לדון רק בגט. עם כריכה תקינה — הוא דן גם בנכסים, מזונות וילדים. זה שינוי דרמטי שיש לו השלכות כלכליות ותוצאות שונות — כי הדין ההלכתי ואופן פסיקתו של בית הדין שונים מהדין האזרחי.</w:t>
      </w:r>
    </w:p>
    <w:p>
      <w:r>
        <w:rPr>
          <w:sz w:val="22"/>
          <w:szCs w:val="22"/>
        </w:rPr>
        <w:t xml:space="preserve"/>
      </w:r>
    </w:p>
    <w:p>
      <w:pPr>
        <w:pStyle w:val="Heading2"/>
        <w:jc w:val="right"/>
      </w:pPr>
      <w:r>
        <w:rPr>
          <w:rFonts w:ascii="Arial" w:cs="Arial" w:eastAsia="Arial" w:hAnsi="Arial"/>
          <w:b/>
          <w:bCs/>
          <w:color w:val="2E75B6"/>
          <w:sz w:val="30"/>
          <w:szCs w:val="30"/>
        </w:rPr>
        <w:t xml:space="preserve">תנאים לכריכה תקינה</w:t>
      </w:r>
    </w:p>
    <w:p>
      <w:pPr>
        <w:bidi/>
        <w:spacing w:after="100"/>
        <w:jc w:val="right"/>
      </w:pPr>
      <w:r>
        <w:rPr>
          <w:rFonts w:ascii="Arial" w:cs="Arial" w:eastAsia="Arial" w:hAnsi="Arial"/>
          <w:sz w:val="23"/>
          <w:szCs w:val="23"/>
        </w:rPr>
        <w:t xml:space="preserve">• הכריכה צריכה להיות בתביעה הראשונה — לא אפשרי להוסיף לאחר מכן</w:t>
      </w:r>
    </w:p>
    <w:p>
      <w:pPr>
        <w:bidi/>
        <w:spacing w:after="100"/>
        <w:jc w:val="right"/>
      </w:pPr>
      <w:r>
        <w:rPr>
          <w:rFonts w:ascii="Arial" w:cs="Arial" w:eastAsia="Arial" w:hAnsi="Arial"/>
          <w:sz w:val="23"/>
          <w:szCs w:val="23"/>
        </w:rPr>
        <w:t xml:space="preserve">• הכריכה צריכה להיות 'כדין' — כלומר, כריכה אמיתית ולא פיקטיבית</w:t>
      </w:r>
    </w:p>
    <w:p>
      <w:pPr>
        <w:bidi/>
        <w:spacing w:after="100"/>
        <w:jc w:val="right"/>
      </w:pPr>
      <w:r>
        <w:rPr>
          <w:rFonts w:ascii="Arial" w:cs="Arial" w:eastAsia="Arial" w:hAnsi="Arial"/>
          <w:sz w:val="23"/>
          <w:szCs w:val="23"/>
        </w:rPr>
        <w:t xml:space="preserve">• הצד השני לא הגיש קודם לכן תביעה בנושאים אלה לבית משפט אזרחי</w:t>
      </w:r>
    </w:p>
    <w:p>
      <w:r>
        <w:rPr>
          <w:sz w:val="22"/>
          <w:szCs w:val="22"/>
        </w:rPr>
        <w:t xml:space="preserve"/>
      </w:r>
    </w:p>
    <w:p>
      <w:pPr>
        <w:pStyle w:val="Heading2"/>
        <w:jc w:val="right"/>
      </w:pPr>
      <w:r>
        <w:rPr>
          <w:rFonts w:ascii="Arial" w:cs="Arial" w:eastAsia="Arial" w:hAnsi="Arial"/>
          <w:b/>
          <w:bCs/>
          <w:color w:val="2E75B6"/>
          <w:sz w:val="30"/>
          <w:szCs w:val="30"/>
        </w:rPr>
        <w:t xml:space="preserve">מי נהנה מכריכה?</w:t>
      </w:r>
    </w:p>
    <w:p>
      <w:pPr>
        <w:bidi/>
        <w:spacing w:after="160"/>
        <w:jc w:val="right"/>
      </w:pPr>
      <w:r>
        <w:rPr>
          <w:rFonts w:ascii="Arial" w:cs="Arial" w:eastAsia="Arial" w:hAnsi="Arial"/>
          <w:sz w:val="23"/>
          <w:szCs w:val="23"/>
        </w:rPr>
        <w:t xml:space="preserve">אסטרטגית — תלוי במקרה. לעיתים הדין ההלכתי נוח יותר לצד אחד, ולעיתים לצד שני. לכן הכריכה היא כלי שהצדדים 'מתחרים' עליו. עורך דין שמכיר את שני מערכות הדין יכול לייעץ לכם אם כריכה עוזרת לכם או פוגעת בכם.</w:t>
      </w:r>
    </w:p>
    <w:p>
      <w:r>
        <w:rPr>
          <w:sz w:val="22"/>
          <w:szCs w:val="22"/>
        </w:rPr>
        <w:t xml:space="preserve"/>
      </w:r>
    </w:p>
    <w:p>
      <w:pPr>
        <w:pStyle w:val="Heading2"/>
        <w:jc w:val="right"/>
      </w:pPr>
      <w:r>
        <w:rPr>
          <w:rFonts w:ascii="Arial" w:cs="Arial" w:eastAsia="Arial" w:hAnsi="Arial"/>
          <w:b/>
          <w:bCs/>
          <w:color w:val="2E75B6"/>
          <w:sz w:val="30"/>
          <w:szCs w:val="30"/>
        </w:rPr>
        <w:t xml:space="preserve">מה קורה אם יש כריכה לבית הדין ותביעה לבית המשפט?</w:t>
      </w:r>
    </w:p>
    <w:p>
      <w:pPr>
        <w:bidi/>
        <w:spacing w:after="160"/>
        <w:jc w:val="right"/>
      </w:pPr>
      <w:r>
        <w:rPr>
          <w:rFonts w:ascii="Arial" w:cs="Arial" w:eastAsia="Arial" w:hAnsi="Arial"/>
          <w:sz w:val="23"/>
          <w:szCs w:val="23"/>
        </w:rPr>
        <w:t xml:space="preserve">מצב זה של 'מרוץ סמכויות' הוא אחד הנפוצים והמורכבים. שני הגופים יכולים לנסות לפסוק בנושאים חופפים. בתי המשפט העליון פסקו כללים ברורים — אך הדרך לשם עלולה להיות יקרה וממושכת.</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סמכות בית הדין הרבני   |   → תהליך הגירושין בבית הדין</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4  |  URL: /tahlich-gerushin-beit-din.html  |  מילת מפתח: תהליך גירושין בית דין רבני</w:t>
      </w:r>
    </w:p>
    <w:p>
      <w:r>
        <w:rPr>
          <w:sz w:val="22"/>
          <w:szCs w:val="22"/>
        </w:rPr>
        <w:t xml:space="preserve"/>
      </w:r>
    </w:p>
    <w:p>
      <w:pPr>
        <w:pStyle w:val="Heading1"/>
        <w:jc w:val="right"/>
      </w:pPr>
      <w:r>
        <w:rPr>
          <w:rFonts w:ascii="Arial" w:cs="Arial" w:eastAsia="Arial" w:hAnsi="Arial"/>
          <w:b/>
          <w:bCs/>
          <w:color w:val="1B4F8A"/>
          <w:sz w:val="40"/>
          <w:szCs w:val="40"/>
        </w:rPr>
        <w:t xml:space="preserve">תהליך הגירושין בבית הדין הרבני — שלב אחר שלב</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שלב 1: הגשת תביעת גירושין</w:t>
      </w:r>
    </w:p>
    <w:p>
      <w:pPr>
        <w:bidi/>
        <w:spacing w:after="160"/>
        <w:jc w:val="right"/>
      </w:pPr>
      <w:r>
        <w:rPr>
          <w:rFonts w:ascii="Arial" w:cs="Arial" w:eastAsia="Arial" w:hAnsi="Arial"/>
          <w:sz w:val="23"/>
          <w:szCs w:val="23"/>
        </w:rPr>
        <w:t xml:space="preserve">אחד הצדדים (לרוב האב, אך גם האישה יכולה) מגיש תביעת גירושין לבית הדין הרבני האזורי. עם ההגשה — בית הדין שולח הזמנה לצד השני.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40"/>
              <w:bottom w:type="dxa" w:w="140"/>
              <w:right w:type="dxa" w:w="240"/>
            </w:tcMar>
          </w:tcPr>
          <w:p>
            <w:pPr>
              <w:bidi/>
              <w:jc w:val="right"/>
            </w:pPr>
            <w:r>
              <w:rPr>
                <w:rFonts w:ascii="Arial" w:cs="Arial" w:eastAsia="Arial" w:hAnsi="Arial"/>
                <w:i/>
                <w:iCs/>
                <w:sz w:val="22"/>
                <w:szCs w:val="22"/>
              </w:rPr>
              <w:t xml:space="preserve">💡 מי שמגיש ראשון יכול לבחור את בית הדין (תל אביב, ירושלים וכו') — בחירה שיכולה להשפיע על התוצאה.</w:t>
            </w:r>
          </w:p>
        </w:tc>
      </w:tr>
    </w:tbl>
    <w:p>
      <w:r>
        <w:rPr>
          <w:sz w:val="22"/>
          <w:szCs w:val="22"/>
        </w:rPr>
        <w:t xml:space="preserve"/>
      </w:r>
    </w:p>
    <w:p>
      <w:pPr>
        <w:pStyle w:val="Heading2"/>
        <w:jc w:val="right"/>
      </w:pPr>
      <w:r>
        <w:rPr>
          <w:rFonts w:ascii="Arial" w:cs="Arial" w:eastAsia="Arial" w:hAnsi="Arial"/>
          <w:b/>
          <w:bCs/>
          <w:color w:val="2E75B6"/>
          <w:sz w:val="30"/>
          <w:szCs w:val="30"/>
        </w:rPr>
        <w:t xml:space="preserve">שלב 2: הדיון הראשון</w:t>
      </w:r>
    </w:p>
    <w:p>
      <w:pPr>
        <w:bidi/>
        <w:spacing w:after="160"/>
        <w:jc w:val="right"/>
      </w:pPr>
      <w:r>
        <w:rPr>
          <w:rFonts w:ascii="Arial" w:cs="Arial" w:eastAsia="Arial" w:hAnsi="Arial"/>
          <w:sz w:val="23"/>
          <w:szCs w:val="23"/>
        </w:rPr>
        <w:t xml:space="preserve">בדיון הראשון, הדיינים מנסים לגשר בין הצדדים ולבדוק אפשרות פיוס. אם שני הצדדים מעוניינים בגירושין — עוברים לשלב הבא.</w:t>
      </w:r>
    </w:p>
    <w:p>
      <w:r>
        <w:rPr>
          <w:sz w:val="22"/>
          <w:szCs w:val="22"/>
        </w:rPr>
        <w:t xml:space="preserve"/>
      </w:r>
    </w:p>
    <w:p>
      <w:pPr>
        <w:pStyle w:val="Heading2"/>
        <w:jc w:val="right"/>
      </w:pPr>
      <w:r>
        <w:rPr>
          <w:rFonts w:ascii="Arial" w:cs="Arial" w:eastAsia="Arial" w:hAnsi="Arial"/>
          <w:b/>
          <w:bCs/>
          <w:color w:val="2E75B6"/>
          <w:sz w:val="30"/>
          <w:szCs w:val="30"/>
        </w:rPr>
        <w:t xml:space="preserve">שלב 3: דיוני הגירושין</w:t>
      </w:r>
    </w:p>
    <w:p>
      <w:pPr>
        <w:bidi/>
        <w:spacing w:after="160"/>
        <w:jc w:val="right"/>
      </w:pPr>
      <w:r>
        <w:rPr>
          <w:rFonts w:ascii="Arial" w:cs="Arial" w:eastAsia="Arial" w:hAnsi="Arial"/>
          <w:sz w:val="23"/>
          <w:szCs w:val="23"/>
        </w:rPr>
        <w:t xml:space="preserve">אם יש מחלוקות על נושאים שכרוכים לגט — מתנהלים דיונים נוספים. שני הצדדים מגישים כתבי טענות, ראיות ועדים. בית הדין שומע את שני הצדדים ופוסק.</w:t>
      </w:r>
    </w:p>
    <w:p>
      <w:r>
        <w:rPr>
          <w:sz w:val="22"/>
          <w:szCs w:val="22"/>
        </w:rPr>
        <w:t xml:space="preserve"/>
      </w:r>
    </w:p>
    <w:p>
      <w:pPr>
        <w:pStyle w:val="Heading2"/>
        <w:jc w:val="right"/>
      </w:pPr>
      <w:r>
        <w:rPr>
          <w:rFonts w:ascii="Arial" w:cs="Arial" w:eastAsia="Arial" w:hAnsi="Arial"/>
          <w:b/>
          <w:bCs/>
          <w:color w:val="2E75B6"/>
          <w:sz w:val="30"/>
          <w:szCs w:val="30"/>
        </w:rPr>
        <w:t xml:space="preserve">שלב 4: פסק הדין / הסכמה</w:t>
      </w:r>
    </w:p>
    <w:p>
      <w:pPr>
        <w:bidi/>
        <w:spacing w:after="160"/>
        <w:jc w:val="right"/>
      </w:pPr>
      <w:r>
        <w:rPr>
          <w:rFonts w:ascii="Arial" w:cs="Arial" w:eastAsia="Arial" w:hAnsi="Arial"/>
          <w:sz w:val="23"/>
          <w:szCs w:val="23"/>
        </w:rPr>
        <w:t xml:space="preserve">לאחר דיונים — בית הדין פוסק, או שהצדדים מגיעים להסכמה שמאושרת בבית הדין. בית הדין קובע מועד לנתינת הגט.</w:t>
      </w:r>
    </w:p>
    <w:p>
      <w:r>
        <w:rPr>
          <w:sz w:val="22"/>
          <w:szCs w:val="22"/>
        </w:rPr>
        <w:t xml:space="preserve"/>
      </w:r>
    </w:p>
    <w:p>
      <w:pPr>
        <w:pStyle w:val="Heading2"/>
        <w:jc w:val="right"/>
      </w:pPr>
      <w:r>
        <w:rPr>
          <w:rFonts w:ascii="Arial" w:cs="Arial" w:eastAsia="Arial" w:hAnsi="Arial"/>
          <w:b/>
          <w:bCs/>
          <w:color w:val="2E75B6"/>
          <w:sz w:val="30"/>
          <w:szCs w:val="30"/>
        </w:rPr>
        <w:t xml:space="preserve">שלב 5: טקס הגט</w:t>
      </w:r>
    </w:p>
    <w:p>
      <w:pPr>
        <w:bidi/>
        <w:spacing w:after="160"/>
        <w:jc w:val="right"/>
      </w:pPr>
      <w:r>
        <w:rPr>
          <w:rFonts w:ascii="Arial" w:cs="Arial" w:eastAsia="Arial" w:hAnsi="Arial"/>
          <w:sz w:val="23"/>
          <w:szCs w:val="23"/>
        </w:rPr>
        <w:t xml:space="preserve">שני הצדדים מגיעים לבית הדין. הסופר כותב את הגט. הבעל נותן, האישה מקבלת. הדיינים מאשרים. האישה מקבלת שובר גט.</w:t>
      </w:r>
    </w:p>
    <w:p>
      <w:r>
        <w:rPr>
          <w:sz w:val="22"/>
          <w:szCs w:val="22"/>
        </w:rPr>
        <w:t xml:space="preserve"/>
      </w:r>
    </w:p>
    <w:p>
      <w:pPr>
        <w:pStyle w:val="Heading2"/>
        <w:jc w:val="right"/>
      </w:pPr>
      <w:r>
        <w:rPr>
          <w:rFonts w:ascii="Arial" w:cs="Arial" w:eastAsia="Arial" w:hAnsi="Arial"/>
          <w:b/>
          <w:bCs/>
          <w:color w:val="2E75B6"/>
          <w:sz w:val="30"/>
          <w:szCs w:val="30"/>
        </w:rPr>
        <w:t xml:space="preserve">ציר הזמן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גירושין בהסכמה (כשהסכם קיים): 3-5 חודשים מהגשה עד גט | גירושין עם מחלוקות: 8-24 חודשים | גירושין עם סרבנות: שנים רבות ולפעמים לעולם לא | ממוצע כולל: כ-14 חודשים לפי נתוני הרבנות 2024</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כריכה בבית הדין הרבני   |   → עגינות וסרבנות גט</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5  |  URL: /igun-sarvanut-get.html  |  מילת מפתח: עגינות סרבנות גט</w:t>
      </w:r>
    </w:p>
    <w:p>
      <w:r>
        <w:rPr>
          <w:sz w:val="22"/>
          <w:szCs w:val="22"/>
        </w:rPr>
        <w:t xml:space="preserve"/>
      </w:r>
    </w:p>
    <w:p>
      <w:pPr>
        <w:pStyle w:val="Heading1"/>
        <w:jc w:val="right"/>
      </w:pPr>
      <w:r>
        <w:rPr>
          <w:rFonts w:ascii="Arial" w:cs="Arial" w:eastAsia="Arial" w:hAnsi="Arial"/>
          <w:b/>
          <w:bCs/>
          <w:color w:val="1B4F8A"/>
          <w:sz w:val="40"/>
          <w:szCs w:val="40"/>
        </w:rPr>
        <w:t xml:space="preserve">עגינות וסרבנות גט — המצב הקשה ביותר בגירושין יהודיים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מהי עגינות?</w:t>
      </w:r>
    </w:p>
    <w:p>
      <w:pPr>
        <w:bidi/>
        <w:spacing w:after="160"/>
        <w:jc w:val="right"/>
      </w:pPr>
      <w:r>
        <w:rPr>
          <w:rFonts w:ascii="Arial" w:cs="Arial" w:eastAsia="Arial" w:hAnsi="Arial"/>
          <w:sz w:val="23"/>
          <w:szCs w:val="23"/>
        </w:rPr>
        <w:t xml:space="preserve">אישה עגונה היא אישה שנישואיה הסתיימו בפועל — בני הזוג נפרדו, חיים חיים נפרדים — אך בעלה מסרב לתת לה גט. היא תקועה: לא נשואה בפועל, אבל גם לא יכולה להינשא מחדש מבחינה הלכתית.</w:t>
      </w:r>
    </w:p>
    <w:p>
      <w:pPr>
        <w:bidi/>
        <w:spacing w:after="160"/>
        <w:jc w:val="right"/>
      </w:pPr>
      <w:r>
        <w:rPr>
          <w:rFonts w:ascii="Arial" w:cs="Arial" w:eastAsia="Arial" w:hAnsi="Arial"/>
          <w:sz w:val="23"/>
          <w:szCs w:val="23"/>
        </w:rPr>
        <w:t xml:space="preserve">עגינות היא אחת הבעיות הקשות ביותר בדין הישראלי, ומאפיינת גברים שמשתמשים בסירוב לגט כנשק במשא ומתן — 'גט כסף' או 'גט נקם'.</w:t>
      </w:r>
    </w:p>
    <w:p>
      <w:r>
        <w:rPr>
          <w:sz w:val="22"/>
          <w:szCs w:val="22"/>
        </w:rPr>
        <w:t xml:space="preserve"/>
      </w:r>
    </w:p>
    <w:p>
      <w:pPr>
        <w:pStyle w:val="Heading2"/>
        <w:jc w:val="right"/>
      </w:pPr>
      <w:r>
        <w:rPr>
          <w:rFonts w:ascii="Arial" w:cs="Arial" w:eastAsia="Arial" w:hAnsi="Arial"/>
          <w:b/>
          <w:bCs/>
          <w:color w:val="2E75B6"/>
          <w:sz w:val="30"/>
          <w:szCs w:val="30"/>
        </w:rPr>
        <w:t xml:space="preserve">מה יכול בית הדין לעשות?</w:t>
      </w:r>
    </w:p>
    <w:p>
      <w:pPr>
        <w:bidi/>
        <w:spacing w:after="160"/>
        <w:jc w:val="right"/>
      </w:pPr>
      <w:r>
        <w:rPr>
          <w:rFonts w:ascii="Arial" w:cs="Arial" w:eastAsia="Arial" w:hAnsi="Arial"/>
          <w:sz w:val="23"/>
          <w:szCs w:val="23"/>
        </w:rPr>
        <w:t xml:space="preserve">כאשר בית הדין קובע שהאב חייב לתת גט — הוא יכול לנקוט בסנקציות:</w:t>
      </w:r>
    </w:p>
    <w:p>
      <w:pPr>
        <w:bidi/>
        <w:spacing w:after="100"/>
        <w:jc w:val="right"/>
      </w:pPr>
      <w:r>
        <w:rPr>
          <w:rFonts w:ascii="Arial" w:cs="Arial" w:eastAsia="Arial" w:hAnsi="Arial"/>
          <w:sz w:val="23"/>
          <w:szCs w:val="23"/>
        </w:rPr>
        <w:t xml:space="preserve">• ביטול דרכון</w:t>
      </w:r>
    </w:p>
    <w:p>
      <w:pPr>
        <w:bidi/>
        <w:spacing w:after="100"/>
        <w:jc w:val="right"/>
      </w:pPr>
      <w:r>
        <w:rPr>
          <w:rFonts w:ascii="Arial" w:cs="Arial" w:eastAsia="Arial" w:hAnsi="Arial"/>
          <w:sz w:val="23"/>
          <w:szCs w:val="23"/>
        </w:rPr>
        <w:t xml:space="preserve">• שלילת רישיון עסק</w:t>
      </w:r>
    </w:p>
    <w:p>
      <w:pPr>
        <w:bidi/>
        <w:spacing w:after="100"/>
        <w:jc w:val="right"/>
      </w:pPr>
      <w:r>
        <w:rPr>
          <w:rFonts w:ascii="Arial" w:cs="Arial" w:eastAsia="Arial" w:hAnsi="Arial"/>
          <w:sz w:val="23"/>
          <w:szCs w:val="23"/>
        </w:rPr>
        <w:t xml:space="preserve">• פרסום שם הסרבן</w:t>
      </w:r>
    </w:p>
    <w:p>
      <w:pPr>
        <w:bidi/>
        <w:spacing w:after="100"/>
        <w:jc w:val="right"/>
      </w:pPr>
      <w:r>
        <w:rPr>
          <w:rFonts w:ascii="Arial" w:cs="Arial" w:eastAsia="Arial" w:hAnsi="Arial"/>
          <w:sz w:val="23"/>
          <w:szCs w:val="23"/>
        </w:rPr>
        <w:t xml:space="preserve">• מאסר — בנסיבות קיצוניות</w:t>
      </w:r>
    </w:p>
    <w:p>
      <w:pPr>
        <w:bidi/>
        <w:spacing w:after="100"/>
        <w:jc w:val="right"/>
      </w:pPr>
      <w:r>
        <w:rPr>
          <w:rFonts w:ascii="Arial" w:cs="Arial" w:eastAsia="Arial" w:hAnsi="Arial"/>
          <w:sz w:val="23"/>
          <w:szCs w:val="23"/>
        </w:rPr>
        <w:t xml:space="preserve">• שלילת הגנות שונות</w:t>
      </w:r>
    </w:p>
    <w:p>
      <w:pPr>
        <w:bidi/>
        <w:spacing w:after="160"/>
        <w:jc w:val="right"/>
      </w:pPr>
      <w:r>
        <w:rPr>
          <w:rFonts w:ascii="Arial" w:cs="Arial" w:eastAsia="Arial" w:hAnsi="Arial"/>
          <w:sz w:val="23"/>
          <w:szCs w:val="23"/>
        </w:rPr>
        <w:t xml:space="preserve">אך כפייה גמורה לתת גט ('גט מעושה') פסול הלכתית — ולכן בית הדין מוגבל בכלים.</w:t>
      </w:r>
    </w:p>
    <w:p>
      <w:r>
        <w:rPr>
          <w:sz w:val="22"/>
          <w:szCs w:val="22"/>
        </w:rPr>
        <w:t xml:space="preserve"/>
      </w:r>
    </w:p>
    <w:p>
      <w:pPr>
        <w:pStyle w:val="Heading2"/>
        <w:jc w:val="right"/>
      </w:pPr>
      <w:r>
        <w:rPr>
          <w:rFonts w:ascii="Arial" w:cs="Arial" w:eastAsia="Arial" w:hAnsi="Arial"/>
          <w:b/>
          <w:bCs/>
          <w:color w:val="2E75B6"/>
          <w:sz w:val="30"/>
          <w:szCs w:val="30"/>
        </w:rPr>
        <w:t xml:space="preserve">חוק הגנת הנפגע מגט</w:t>
      </w:r>
    </w:p>
    <w:p>
      <w:pPr>
        <w:bidi/>
        <w:spacing w:after="160"/>
        <w:jc w:val="right"/>
      </w:pPr>
      <w:r>
        <w:rPr>
          <w:rFonts w:ascii="Arial" w:cs="Arial" w:eastAsia="Arial" w:hAnsi="Arial"/>
          <w:sz w:val="23"/>
          <w:szCs w:val="23"/>
        </w:rPr>
        <w:t xml:space="preserve">בשנת 2019 תוקן חוק ייחודי שמאפשר לבית המשפט לפסוק פיצוי כספי לאישה עגונה מסרבן הגט — גם ללא הוכחת נזק ספציפי. הפיצוי נע בין עשרות לאלפי שקלים לחודש ויכול להצטבר לסכומים גדולים.</w:t>
      </w:r>
    </w:p>
    <w:p>
      <w:r>
        <w:rPr>
          <w:sz w:val="22"/>
          <w:szCs w:val="22"/>
        </w:rPr>
        <w:t xml:space="preserve"/>
      </w:r>
    </w:p>
    <w:p>
      <w:pPr>
        <w:pStyle w:val="Heading2"/>
        <w:jc w:val="right"/>
      </w:pPr>
      <w:r>
        <w:rPr>
          <w:rFonts w:ascii="Arial" w:cs="Arial" w:eastAsia="Arial" w:hAnsi="Arial"/>
          <w:b/>
          <w:bCs/>
          <w:color w:val="2E75B6"/>
          <w:sz w:val="30"/>
          <w:szCs w:val="30"/>
        </w:rPr>
        <w:t xml:space="preserve">מה עושה האישה בינתיים?</w:t>
      </w:r>
    </w:p>
    <w:p>
      <w:pPr>
        <w:bidi/>
        <w:spacing w:after="160"/>
        <w:jc w:val="right"/>
      </w:pPr>
      <w:r>
        <w:rPr>
          <w:rFonts w:ascii="Arial" w:cs="Arial" w:eastAsia="Arial" w:hAnsi="Arial"/>
          <w:sz w:val="23"/>
          <w:szCs w:val="23"/>
        </w:rPr>
        <w:t xml:space="preserve">האישה יכולה:</w:t>
      </w:r>
    </w:p>
    <w:p>
      <w:pPr>
        <w:bidi/>
        <w:spacing w:after="100"/>
        <w:jc w:val="right"/>
      </w:pPr>
      <w:r>
        <w:rPr>
          <w:rFonts w:ascii="Arial" w:cs="Arial" w:eastAsia="Arial" w:hAnsi="Arial"/>
          <w:sz w:val="23"/>
          <w:szCs w:val="23"/>
        </w:rPr>
        <w:t xml:space="preserve">• לתבוע מזונות מבעלה כל עוד היא עגונה</w:t>
      </w:r>
    </w:p>
    <w:p>
      <w:pPr>
        <w:bidi/>
        <w:spacing w:after="100"/>
        <w:jc w:val="right"/>
      </w:pPr>
      <w:r>
        <w:rPr>
          <w:rFonts w:ascii="Arial" w:cs="Arial" w:eastAsia="Arial" w:hAnsi="Arial"/>
          <w:sz w:val="23"/>
          <w:szCs w:val="23"/>
        </w:rPr>
        <w:t xml:space="preserve">• לתבוע פיצויים על עגינות</w:t>
      </w:r>
    </w:p>
    <w:p>
      <w:pPr>
        <w:bidi/>
        <w:spacing w:after="100"/>
        <w:jc w:val="right"/>
      </w:pPr>
      <w:r>
        <w:rPr>
          <w:rFonts w:ascii="Arial" w:cs="Arial" w:eastAsia="Arial" w:hAnsi="Arial"/>
          <w:sz w:val="23"/>
          <w:szCs w:val="23"/>
        </w:rPr>
        <w:t xml:space="preserve">• לפנות לארגונים שמסייעים לעגונות</w:t>
      </w:r>
    </w:p>
    <w:p>
      <w:pPr>
        <w:bidi/>
        <w:spacing w:after="100"/>
        <w:jc w:val="right"/>
      </w:pPr>
      <w:r>
        <w:rPr>
          <w:rFonts w:ascii="Arial" w:cs="Arial" w:eastAsia="Arial" w:hAnsi="Arial"/>
          <w:sz w:val="23"/>
          <w:szCs w:val="23"/>
        </w:rPr>
        <w:t xml:space="preserve">• לפעול דרך קהילות ורבנים ללחוץ על הסרבן</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תהליך הגירושין בבית הדין   |   → גירושין בהסכמה בבית דין</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6  |  URL: /gerushin-behaskama-beit-din.html  |  מילת מפתח: גירושין בהסכמה בית דין רבני</w:t>
      </w:r>
    </w:p>
    <w:p>
      <w:r>
        <w:rPr>
          <w:sz w:val="22"/>
          <w:szCs w:val="22"/>
        </w:rPr>
        <w:t xml:space="preserve"/>
      </w:r>
    </w:p>
    <w:p>
      <w:pPr>
        <w:pStyle w:val="Heading1"/>
        <w:jc w:val="right"/>
      </w:pPr>
      <w:r>
        <w:rPr>
          <w:rFonts w:ascii="Arial" w:cs="Arial" w:eastAsia="Arial" w:hAnsi="Arial"/>
          <w:b/>
          <w:bCs/>
          <w:color w:val="1B4F8A"/>
          <w:sz w:val="40"/>
          <w:szCs w:val="40"/>
        </w:rPr>
        <w:t xml:space="preserve">גירושין בהסכמה בבית הדין הרבני — הדרך המהירה והיעילה</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למה לבחור בית דין רבני לגירושין בהסכמה?</w:t>
      </w:r>
    </w:p>
    <w:p>
      <w:pPr>
        <w:bidi/>
        <w:spacing w:after="160"/>
        <w:jc w:val="right"/>
      </w:pPr>
      <w:r>
        <w:rPr>
          <w:rFonts w:ascii="Arial" w:cs="Arial" w:eastAsia="Arial" w:hAnsi="Arial"/>
          <w:sz w:val="23"/>
          <w:szCs w:val="23"/>
        </w:rPr>
        <w:t xml:space="preserve">זוגות שהגיעו להסכמה על כל הנושאים — רכוש, ילדים, מזונות — יכולים לאשר את ההסכם ולקבל את הגט באותו הליך בבית הדין הרבני. זה חוסך פנייה נפרדת לבית המשפט האזרחי.</w:t>
      </w:r>
    </w:p>
    <w:p>
      <w:r>
        <w:rPr>
          <w:sz w:val="22"/>
          <w:szCs w:val="22"/>
        </w:rPr>
        <w:t xml:space="preserve"/>
      </w:r>
    </w:p>
    <w:p>
      <w:pPr>
        <w:pStyle w:val="Heading2"/>
        <w:jc w:val="right"/>
      </w:pPr>
      <w:r>
        <w:rPr>
          <w:rFonts w:ascii="Arial" w:cs="Arial" w:eastAsia="Arial" w:hAnsi="Arial"/>
          <w:b/>
          <w:bCs/>
          <w:color w:val="2E75B6"/>
          <w:sz w:val="30"/>
          <w:szCs w:val="30"/>
        </w:rPr>
        <w:t xml:space="preserve">היתרונות</w:t>
      </w:r>
    </w:p>
    <w:p>
      <w:pPr>
        <w:bidi/>
        <w:spacing w:after="100"/>
        <w:jc w:val="right"/>
      </w:pPr>
      <w:r>
        <w:rPr>
          <w:rFonts w:ascii="Arial" w:cs="Arial" w:eastAsia="Arial" w:hAnsi="Arial"/>
          <w:sz w:val="23"/>
          <w:szCs w:val="23"/>
        </w:rPr>
        <w:t xml:space="preserve">• הליך אחד — אישור הסכם + גט בו-זמנית</w:t>
      </w:r>
    </w:p>
    <w:p>
      <w:pPr>
        <w:bidi/>
        <w:spacing w:after="100"/>
        <w:jc w:val="right"/>
      </w:pPr>
      <w:r>
        <w:rPr>
          <w:rFonts w:ascii="Arial" w:cs="Arial" w:eastAsia="Arial" w:hAnsi="Arial"/>
          <w:sz w:val="23"/>
          <w:szCs w:val="23"/>
        </w:rPr>
        <w:t xml:space="preserve">• מהיר יחסית — 3-5 חודשים</w:t>
      </w:r>
    </w:p>
    <w:p>
      <w:pPr>
        <w:bidi/>
        <w:spacing w:after="100"/>
        <w:jc w:val="right"/>
      </w:pPr>
      <w:r>
        <w:rPr>
          <w:rFonts w:ascii="Arial" w:cs="Arial" w:eastAsia="Arial" w:hAnsi="Arial"/>
          <w:sz w:val="23"/>
          <w:szCs w:val="23"/>
        </w:rPr>
        <w:t xml:space="preserve">• עלות נמוכה יחסית</w:t>
      </w:r>
    </w:p>
    <w:p>
      <w:pPr>
        <w:bidi/>
        <w:spacing w:after="100"/>
        <w:jc w:val="right"/>
      </w:pPr>
      <w:r>
        <w:rPr>
          <w:rFonts w:ascii="Arial" w:cs="Arial" w:eastAsia="Arial" w:hAnsi="Arial"/>
          <w:sz w:val="23"/>
          <w:szCs w:val="23"/>
        </w:rPr>
        <w:t xml:space="preserve">• פחות דיונים</w:t>
      </w:r>
    </w:p>
    <w:p>
      <w:r>
        <w:rPr>
          <w:sz w:val="22"/>
          <w:szCs w:val="22"/>
        </w:rPr>
        <w:t xml:space="preserve"/>
      </w:r>
    </w:p>
    <w:p>
      <w:pPr>
        <w:pStyle w:val="Heading2"/>
        <w:jc w:val="right"/>
      </w:pPr>
      <w:r>
        <w:rPr>
          <w:rFonts w:ascii="Arial" w:cs="Arial" w:eastAsia="Arial" w:hAnsi="Arial"/>
          <w:b/>
          <w:bCs/>
          <w:color w:val="2E75B6"/>
          <w:sz w:val="30"/>
          <w:szCs w:val="30"/>
        </w:rPr>
        <w:t xml:space="preserve">החסרונות</w:t>
      </w:r>
    </w:p>
    <w:p>
      <w:pPr>
        <w:bidi/>
        <w:spacing w:after="100"/>
        <w:jc w:val="right"/>
      </w:pPr>
      <w:r>
        <w:rPr>
          <w:rFonts w:ascii="Arial" w:cs="Arial" w:eastAsia="Arial" w:hAnsi="Arial"/>
          <w:sz w:val="23"/>
          <w:szCs w:val="23"/>
        </w:rPr>
        <w:t xml:space="preserve">• בית הדין בוחן ההסכם גם תחת פרשנות הלכתית</w:t>
      </w:r>
    </w:p>
    <w:p>
      <w:pPr>
        <w:bidi/>
        <w:spacing w:after="100"/>
        <w:jc w:val="right"/>
      </w:pPr>
      <w:r>
        <w:rPr>
          <w:rFonts w:ascii="Arial" w:cs="Arial" w:eastAsia="Arial" w:hAnsi="Arial"/>
          <w:sz w:val="23"/>
          <w:szCs w:val="23"/>
        </w:rPr>
        <w:t xml:space="preserve">• פחות גמישות בנוסח מסוים מההסכם</w:t>
      </w:r>
    </w:p>
    <w:p>
      <w:pPr>
        <w:bidi/>
        <w:spacing w:after="100"/>
        <w:jc w:val="right"/>
      </w:pPr>
      <w:r>
        <w:rPr>
          <w:rFonts w:ascii="Arial" w:cs="Arial" w:eastAsia="Arial" w:hAnsi="Arial"/>
          <w:sz w:val="23"/>
          <w:szCs w:val="23"/>
        </w:rPr>
        <w:t xml:space="preserve">• לא כל עורך דין מנוסה בייצוג שם</w:t>
      </w:r>
    </w:p>
    <w:p>
      <w:r>
        <w:rPr>
          <w:sz w:val="22"/>
          <w:szCs w:val="22"/>
        </w:rPr>
        <w:t xml:space="preserve"/>
      </w:r>
    </w:p>
    <w:p>
      <w:pPr>
        <w:pStyle w:val="Heading2"/>
        <w:jc w:val="right"/>
      </w:pPr>
      <w:r>
        <w:rPr>
          <w:rFonts w:ascii="Arial" w:cs="Arial" w:eastAsia="Arial" w:hAnsi="Arial"/>
          <w:b/>
          <w:bCs/>
          <w:color w:val="2E75B6"/>
          <w:sz w:val="30"/>
          <w:szCs w:val="30"/>
        </w:rPr>
        <w:t xml:space="preserve">כיצד מתנהל ההליך?</w:t>
      </w:r>
    </w:p>
    <w:p>
      <w:pPr>
        <w:bidi/>
        <w:spacing w:after="100"/>
        <w:jc w:val="right"/>
      </w:pPr>
      <w:r>
        <w:rPr>
          <w:rFonts w:ascii="Arial" w:cs="Arial" w:eastAsia="Arial" w:hAnsi="Arial"/>
          <w:sz w:val="23"/>
          <w:szCs w:val="23"/>
        </w:rPr>
        <w:t xml:space="preserve">.1 הכנת הסכם גירושין מלא ומאושר</w:t>
      </w:r>
    </w:p>
    <w:p>
      <w:pPr>
        <w:bidi/>
        <w:spacing w:after="100"/>
        <w:jc w:val="right"/>
      </w:pPr>
      <w:r>
        <w:rPr>
          <w:rFonts w:ascii="Arial" w:cs="Arial" w:eastAsia="Arial" w:hAnsi="Arial"/>
          <w:sz w:val="23"/>
          <w:szCs w:val="23"/>
        </w:rPr>
        <w:t xml:space="preserve">.2 הגשת ההסכם לבית הדין יחד עם בקשת גירושין</w:t>
      </w:r>
    </w:p>
    <w:p>
      <w:pPr>
        <w:bidi/>
        <w:spacing w:after="100"/>
        <w:jc w:val="right"/>
      </w:pPr>
      <w:r>
        <w:rPr>
          <w:rFonts w:ascii="Arial" w:cs="Arial" w:eastAsia="Arial" w:hAnsi="Arial"/>
          <w:sz w:val="23"/>
          <w:szCs w:val="23"/>
        </w:rPr>
        <w:t xml:space="preserve">.3 דיון קצר לאישור</w:t>
      </w:r>
    </w:p>
    <w:p>
      <w:pPr>
        <w:bidi/>
        <w:spacing w:after="100"/>
        <w:jc w:val="right"/>
      </w:pPr>
      <w:r>
        <w:rPr>
          <w:rFonts w:ascii="Arial" w:cs="Arial" w:eastAsia="Arial" w:hAnsi="Arial"/>
          <w:sz w:val="23"/>
          <w:szCs w:val="23"/>
        </w:rPr>
        <w:t xml:space="preserve">.4 טקס הגט</w:t>
      </w:r>
    </w:p>
    <w:p>
      <w:r>
        <w:rPr>
          <w:sz w:val="22"/>
          <w:szCs w:val="22"/>
        </w:rPr>
        <w:t xml:space="preserve"/>
      </w:r>
    </w:p>
    <w:p>
      <w:pPr>
        <w:pStyle w:val="Heading2"/>
        <w:jc w:val="right"/>
      </w:pPr>
      <w:r>
        <w:rPr>
          <w:rFonts w:ascii="Arial" w:cs="Arial" w:eastAsia="Arial" w:hAnsi="Arial"/>
          <w:b/>
          <w:bCs/>
          <w:color w:val="2E75B6"/>
          <w:sz w:val="30"/>
          <w:szCs w:val="30"/>
        </w:rPr>
        <w:t xml:space="preserve">הסכם גירושין שמוגש לבית הדין — מה שונה?</w:t>
      </w:r>
    </w:p>
    <w:p>
      <w:pPr>
        <w:bidi/>
        <w:spacing w:after="160"/>
        <w:jc w:val="right"/>
      </w:pPr>
      <w:r>
        <w:rPr>
          <w:rFonts w:ascii="Arial" w:cs="Arial" w:eastAsia="Arial" w:hAnsi="Arial"/>
          <w:sz w:val="23"/>
          <w:szCs w:val="23"/>
        </w:rPr>
        <w:t xml:space="preserve">הסכם שמוגש לבית הדין הרבני חייב לכלול סעיפים הלכתיים ספציפיים — ובמיוחד סעיף גט ברור ומפורט. עורך דין שמנסח הסכמים לבית הדין יכיר את הדרישות הייחודיות.</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עגינות וסרבנות גט   |   → ערעור על פסיקת בית הדין</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7  |  URL: /iruv-beit-din-rabani.html  |  מילת מפתח: ערעור פסיקת בית דין רבני</w:t>
      </w:r>
    </w:p>
    <w:p>
      <w:r>
        <w:rPr>
          <w:sz w:val="22"/>
          <w:szCs w:val="22"/>
        </w:rPr>
        <w:t xml:space="preserve"/>
      </w:r>
    </w:p>
    <w:p>
      <w:pPr>
        <w:pStyle w:val="Heading1"/>
        <w:jc w:val="right"/>
      </w:pPr>
      <w:r>
        <w:rPr>
          <w:rFonts w:ascii="Arial" w:cs="Arial" w:eastAsia="Arial" w:hAnsi="Arial"/>
          <w:b/>
          <w:bCs/>
          <w:color w:val="1B4F8A"/>
          <w:sz w:val="40"/>
          <w:szCs w:val="40"/>
        </w:rPr>
        <w:t xml:space="preserve">ערעור על פסיקת בית הדין הרבני — מתי ואיך</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ניתן לערעור?</w:t>
      </w:r>
    </w:p>
    <w:p>
      <w:pPr>
        <w:bidi/>
        <w:spacing w:after="160"/>
        <w:jc w:val="right"/>
      </w:pPr>
      <w:r>
        <w:rPr>
          <w:rFonts w:ascii="Arial" w:cs="Arial" w:eastAsia="Arial" w:hAnsi="Arial"/>
          <w:sz w:val="23"/>
          <w:szCs w:val="23"/>
        </w:rPr>
        <w:t xml:space="preserve">על פסיקות בית הדין הרבני האזורי ניתן לערער לבית הדין הרבני הגדול (מועצת הרבנות הראשית). ניתן גם לעתור לבית המשפט הגבוה לצדק (בג"ץ) בעניינים שחורגים מסמכות בית הדין.</w:t>
      </w:r>
    </w:p>
    <w:p>
      <w:r>
        <w:rPr>
          <w:sz w:val="22"/>
          <w:szCs w:val="22"/>
        </w:rPr>
        <w:t xml:space="preserve"/>
      </w:r>
    </w:p>
    <w:p>
      <w:pPr>
        <w:pStyle w:val="Heading2"/>
        <w:jc w:val="right"/>
      </w:pPr>
      <w:r>
        <w:rPr>
          <w:rFonts w:ascii="Arial" w:cs="Arial" w:eastAsia="Arial" w:hAnsi="Arial"/>
          <w:b/>
          <w:bCs/>
          <w:color w:val="2E75B6"/>
          <w:sz w:val="30"/>
          <w:szCs w:val="30"/>
        </w:rPr>
        <w:t xml:space="preserve">מתי כדאי לערער?</w:t>
      </w:r>
    </w:p>
    <w:p>
      <w:pPr>
        <w:bidi/>
        <w:spacing w:after="100"/>
        <w:jc w:val="right"/>
      </w:pPr>
      <w:r>
        <w:rPr>
          <w:rFonts w:ascii="Arial" w:cs="Arial" w:eastAsia="Arial" w:hAnsi="Arial"/>
          <w:sz w:val="23"/>
          <w:szCs w:val="23"/>
        </w:rPr>
        <w:t xml:space="preserve">• בית הדין חרג מסמכותו</w:t>
      </w:r>
    </w:p>
    <w:p>
      <w:pPr>
        <w:bidi/>
        <w:spacing w:after="100"/>
        <w:jc w:val="right"/>
      </w:pPr>
      <w:r>
        <w:rPr>
          <w:rFonts w:ascii="Arial" w:cs="Arial" w:eastAsia="Arial" w:hAnsi="Arial"/>
          <w:sz w:val="23"/>
          <w:szCs w:val="23"/>
        </w:rPr>
        <w:t xml:space="preserve">• פסיקה בנושא שלא כרוך כדין</w:t>
      </w:r>
    </w:p>
    <w:p>
      <w:pPr>
        <w:bidi/>
        <w:spacing w:after="100"/>
        <w:jc w:val="right"/>
      </w:pPr>
      <w:r>
        <w:rPr>
          <w:rFonts w:ascii="Arial" w:cs="Arial" w:eastAsia="Arial" w:hAnsi="Arial"/>
          <w:sz w:val="23"/>
          <w:szCs w:val="23"/>
        </w:rPr>
        <w:t xml:space="preserve">• הפרה בוטה של הליך הוגן</w:t>
      </w:r>
    </w:p>
    <w:p>
      <w:pPr>
        <w:bidi/>
        <w:spacing w:after="100"/>
        <w:jc w:val="right"/>
      </w:pPr>
      <w:r>
        <w:rPr>
          <w:rFonts w:ascii="Arial" w:cs="Arial" w:eastAsia="Arial" w:hAnsi="Arial"/>
          <w:sz w:val="23"/>
          <w:szCs w:val="23"/>
        </w:rPr>
        <w:t xml:space="preserve">• פסיקה הסותרת פסיקות עליון מחייבות</w:t>
      </w:r>
    </w:p>
    <w:p>
      <w:r>
        <w:rPr>
          <w:sz w:val="22"/>
          <w:szCs w:val="22"/>
        </w:rPr>
        <w:t xml:space="preserve"/>
      </w:r>
    </w:p>
    <w:p>
      <w:pPr>
        <w:pStyle w:val="Heading2"/>
        <w:jc w:val="right"/>
      </w:pPr>
      <w:r>
        <w:rPr>
          <w:rFonts w:ascii="Arial" w:cs="Arial" w:eastAsia="Arial" w:hAnsi="Arial"/>
          <w:b/>
          <w:bCs/>
          <w:color w:val="2E75B6"/>
          <w:sz w:val="30"/>
          <w:szCs w:val="30"/>
        </w:rPr>
        <w:t xml:space="preserve">מה לגבי בג"ץ?</w:t>
      </w:r>
    </w:p>
    <w:p>
      <w:pPr>
        <w:bidi/>
        <w:spacing w:after="160"/>
        <w:jc w:val="right"/>
      </w:pPr>
      <w:r>
        <w:rPr>
          <w:rFonts w:ascii="Arial" w:cs="Arial" w:eastAsia="Arial" w:hAnsi="Arial"/>
          <w:sz w:val="23"/>
          <w:szCs w:val="23"/>
        </w:rPr>
        <w:t xml:space="preserve">בית המשפט הגבוה לצדק מוסמך לבקר את פסיקות בית הדין הרבני בנושאים כגון:</w:t>
      </w:r>
    </w:p>
    <w:p>
      <w:pPr>
        <w:bidi/>
        <w:spacing w:after="100"/>
        <w:jc w:val="right"/>
      </w:pPr>
      <w:r>
        <w:rPr>
          <w:rFonts w:ascii="Arial" w:cs="Arial" w:eastAsia="Arial" w:hAnsi="Arial"/>
          <w:sz w:val="23"/>
          <w:szCs w:val="23"/>
        </w:rPr>
        <w:t xml:space="preserve">• חריגה מסמכות</w:t>
      </w:r>
    </w:p>
    <w:p>
      <w:pPr>
        <w:bidi/>
        <w:spacing w:after="100"/>
        <w:jc w:val="right"/>
      </w:pPr>
      <w:r>
        <w:rPr>
          <w:rFonts w:ascii="Arial" w:cs="Arial" w:eastAsia="Arial" w:hAnsi="Arial"/>
          <w:sz w:val="23"/>
          <w:szCs w:val="23"/>
        </w:rPr>
        <w:t xml:space="preserve">• הפרת עקרון ההגינות וטבעי הצדק</w:t>
      </w:r>
    </w:p>
    <w:p>
      <w:pPr>
        <w:bidi/>
        <w:spacing w:after="100"/>
        <w:jc w:val="right"/>
      </w:pPr>
      <w:r>
        <w:rPr>
          <w:rFonts w:ascii="Arial" w:cs="Arial" w:eastAsia="Arial" w:hAnsi="Arial"/>
          <w:sz w:val="23"/>
          <w:szCs w:val="23"/>
        </w:rPr>
        <w:t xml:space="preserve">• פגיעה בזכויות יסוד (שוויון, כבוד האדם)</w:t>
      </w:r>
    </w:p>
    <w:p>
      <w:pPr>
        <w:bidi/>
        <w:spacing w:after="160"/>
        <w:jc w:val="right"/>
      </w:pPr>
      <w:r>
        <w:rPr>
          <w:rFonts w:ascii="Arial" w:cs="Arial" w:eastAsia="Arial" w:hAnsi="Arial"/>
          <w:sz w:val="23"/>
          <w:szCs w:val="23"/>
        </w:rPr>
        <w:t xml:space="preserve">בג"ץ אינו ערעור על תוכן הפסיקה ההלכתית — אלא בקרה על חוקיות ההליך.</w:t>
      </w:r>
    </w:p>
    <w:p>
      <w:r>
        <w:rPr>
          <w:sz w:val="22"/>
          <w:szCs w:val="22"/>
        </w:rPr>
        <w:t xml:space="preserve"/>
      </w:r>
    </w:p>
    <w:p>
      <w:pPr>
        <w:pStyle w:val="Heading2"/>
        <w:jc w:val="right"/>
      </w:pPr>
      <w:r>
        <w:rPr>
          <w:rFonts w:ascii="Arial" w:cs="Arial" w:eastAsia="Arial" w:hAnsi="Arial"/>
          <w:b/>
          <w:bCs/>
          <w:color w:val="2E75B6"/>
          <w:sz w:val="30"/>
          <w:szCs w:val="30"/>
        </w:rPr>
        <w:t xml:space="preserve">כמה זמן לוקח ערעור?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ערעור לבית הדין הגדול: 6-18 חודשים | עתירה לבג"ץ: 6-24 חודשים | ממוצע: כשנה | בנסיבות דחופות: ניתן לבקש צו ביניים מהיר יותר</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גירושין בהסכמה בבית דין   |   → עורך דין בבית הדין הרבני</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8  |  URL: /od-beit-din-rabani.html  |  מילת מפתח: עורך דין בית דין רבני</w:t>
      </w:r>
    </w:p>
    <w:p>
      <w:r>
        <w:rPr>
          <w:sz w:val="22"/>
          <w:szCs w:val="22"/>
        </w:rPr>
        <w:t xml:space="preserve"/>
      </w:r>
    </w:p>
    <w:p>
      <w:pPr>
        <w:pStyle w:val="Heading1"/>
        <w:jc w:val="right"/>
      </w:pPr>
      <w:r>
        <w:rPr>
          <w:rFonts w:ascii="Arial" w:cs="Arial" w:eastAsia="Arial" w:hAnsi="Arial"/>
          <w:b/>
          <w:bCs/>
          <w:color w:val="1B4F8A"/>
          <w:sz w:val="40"/>
          <w:szCs w:val="40"/>
        </w:rPr>
        <w:t xml:space="preserve">עורך דין בבית הדין הרבני — למה חשוב ומה לחפש</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ההבדל בין עורך דין 'רגיל' לעורך דין עם ניסיון בבית דין</w:t>
      </w:r>
    </w:p>
    <w:p>
      <w:pPr>
        <w:bidi/>
        <w:spacing w:after="160"/>
        <w:jc w:val="right"/>
      </w:pPr>
      <w:r>
        <w:rPr>
          <w:rFonts w:ascii="Arial" w:cs="Arial" w:eastAsia="Arial" w:hAnsi="Arial"/>
          <w:sz w:val="23"/>
          <w:szCs w:val="23"/>
        </w:rPr>
        <w:t xml:space="preserve">לא כל עורך דין מדיני משפחה מתמחה בבית הדין הרבני. ההבדל הוא מהותי:</w:t>
      </w:r>
    </w:p>
    <w:p>
      <w:pPr>
        <w:bidi/>
        <w:spacing w:after="100"/>
        <w:jc w:val="right"/>
      </w:pPr>
      <w:r>
        <w:rPr>
          <w:rFonts w:ascii="Arial" w:cs="Arial" w:eastAsia="Arial" w:hAnsi="Arial"/>
          <w:sz w:val="23"/>
          <w:szCs w:val="23"/>
        </w:rPr>
        <w:t xml:space="preserve">• שפה — בית הדין הרבני עובד עם מושגים הלכתיים ייחודיים</w:t>
      </w:r>
    </w:p>
    <w:p>
      <w:pPr>
        <w:bidi/>
        <w:spacing w:after="100"/>
        <w:jc w:val="right"/>
      </w:pPr>
      <w:r>
        <w:rPr>
          <w:rFonts w:ascii="Arial" w:cs="Arial" w:eastAsia="Arial" w:hAnsi="Arial"/>
          <w:sz w:val="23"/>
          <w:szCs w:val="23"/>
        </w:rPr>
        <w:t xml:space="preserve">• פרוצדורה — כלי הצגת הטיעונים שונים</w:t>
      </w:r>
    </w:p>
    <w:p>
      <w:pPr>
        <w:bidi/>
        <w:spacing w:after="100"/>
        <w:jc w:val="right"/>
      </w:pPr>
      <w:r>
        <w:rPr>
          <w:rFonts w:ascii="Arial" w:cs="Arial" w:eastAsia="Arial" w:hAnsi="Arial"/>
          <w:sz w:val="23"/>
          <w:szCs w:val="23"/>
        </w:rPr>
        <w:t xml:space="preserve">• אסטרטגיה — מה נאמר ומה לא, מה מוגש ומה לא</w:t>
      </w:r>
    </w:p>
    <w:p>
      <w:pPr>
        <w:bidi/>
        <w:spacing w:after="100"/>
        <w:jc w:val="right"/>
      </w:pPr>
      <w:r>
        <w:rPr>
          <w:rFonts w:ascii="Arial" w:cs="Arial" w:eastAsia="Arial" w:hAnsi="Arial"/>
          <w:sz w:val="23"/>
          <w:szCs w:val="23"/>
        </w:rPr>
        <w:t xml:space="preserve">• ניסוח הסכמים — לבית הדין צריך ניסוח ספציפי</w:t>
      </w:r>
    </w:p>
    <w:p>
      <w:pPr>
        <w:bidi/>
        <w:spacing w:after="100"/>
        <w:jc w:val="right"/>
      </w:pPr>
      <w:r>
        <w:rPr>
          <w:rFonts w:ascii="Arial" w:cs="Arial" w:eastAsia="Arial" w:hAnsi="Arial"/>
          <w:sz w:val="23"/>
          <w:szCs w:val="23"/>
        </w:rPr>
        <w:t xml:space="preserve">• קשרים — ניסיון מול דיינים ספציפיים</w:t>
      </w:r>
    </w:p>
    <w:p>
      <w:r>
        <w:rPr>
          <w:sz w:val="22"/>
          <w:szCs w:val="22"/>
        </w:rPr>
        <w:t xml:space="preserve"/>
      </w:r>
    </w:p>
    <w:p>
      <w:pPr>
        <w:pStyle w:val="Heading2"/>
        <w:jc w:val="right"/>
      </w:pPr>
      <w:r>
        <w:rPr>
          <w:rFonts w:ascii="Arial" w:cs="Arial" w:eastAsia="Arial" w:hAnsi="Arial"/>
          <w:b/>
          <w:bCs/>
          <w:color w:val="2E75B6"/>
          <w:sz w:val="30"/>
          <w:szCs w:val="30"/>
        </w:rPr>
        <w:t xml:space="preserve">עורך דין vs. טוען רבני</w:t>
      </w:r>
    </w:p>
    <w:p>
      <w:pPr>
        <w:bidi/>
        <w:spacing w:after="160"/>
        <w:jc w:val="right"/>
      </w:pPr>
      <w:r>
        <w:rPr>
          <w:rFonts w:ascii="Arial" w:cs="Arial" w:eastAsia="Arial" w:hAnsi="Arial"/>
          <w:sz w:val="23"/>
          <w:szCs w:val="23"/>
        </w:rPr>
        <w:t xml:space="preserve">טוען רבני הוא מומחה ספציפי לדיני הלכה בבית הדין, ללא תואר עורך דין. עורך דין עם ניסיון בבית הדין הרבני — מביא יתרון כפול: ידע משפטי מלא ויכולת לייצג בשתי הערכאות.</w:t>
      </w:r>
    </w:p>
    <w:p>
      <w:r>
        <w:rPr>
          <w:sz w:val="22"/>
          <w:szCs w:val="22"/>
        </w:rPr>
        <w:t xml:space="preserve"/>
      </w:r>
    </w:p>
    <w:p>
      <w:pPr>
        <w:pStyle w:val="Heading2"/>
        <w:jc w:val="right"/>
      </w:pPr>
      <w:r>
        <w:rPr>
          <w:rFonts w:ascii="Arial" w:cs="Arial" w:eastAsia="Arial" w:hAnsi="Arial"/>
          <w:b/>
          <w:bCs/>
          <w:color w:val="2E75B6"/>
          <w:sz w:val="30"/>
          <w:szCs w:val="30"/>
        </w:rPr>
        <w:t xml:space="preserve">מה לשאול עורך דין לפני שכירתו לבית הדין?</w:t>
      </w:r>
    </w:p>
    <w:p>
      <w:pPr>
        <w:bidi/>
        <w:spacing w:after="100"/>
        <w:jc w:val="right"/>
      </w:pPr>
      <w:r>
        <w:rPr>
          <w:rFonts w:ascii="Arial" w:cs="Arial" w:eastAsia="Arial" w:hAnsi="Arial"/>
          <w:sz w:val="23"/>
          <w:szCs w:val="23"/>
        </w:rPr>
        <w:t xml:space="preserve">• כמה תיקים ניהלת בבית הדין הרבני?</w:t>
      </w:r>
    </w:p>
    <w:p>
      <w:pPr>
        <w:bidi/>
        <w:spacing w:after="100"/>
        <w:jc w:val="right"/>
      </w:pPr>
      <w:r>
        <w:rPr>
          <w:rFonts w:ascii="Arial" w:cs="Arial" w:eastAsia="Arial" w:hAnsi="Arial"/>
          <w:sz w:val="23"/>
          <w:szCs w:val="23"/>
        </w:rPr>
        <w:t xml:space="preserve">• האם אתה מכיר את הדיינים בבית הדין שלנו?</w:t>
      </w:r>
    </w:p>
    <w:p>
      <w:pPr>
        <w:bidi/>
        <w:spacing w:after="100"/>
        <w:jc w:val="right"/>
      </w:pPr>
      <w:r>
        <w:rPr>
          <w:rFonts w:ascii="Arial" w:cs="Arial" w:eastAsia="Arial" w:hAnsi="Arial"/>
          <w:sz w:val="23"/>
          <w:szCs w:val="23"/>
        </w:rPr>
        <w:t xml:space="preserve">• האם אתה יכול לייצג גם בבית המשפט האזרחי במקביל?</w:t>
      </w:r>
    </w:p>
    <w:p>
      <w:pPr>
        <w:bidi/>
        <w:spacing w:after="100"/>
        <w:jc w:val="right"/>
      </w:pPr>
      <w:r>
        <w:rPr>
          <w:rFonts w:ascii="Arial" w:cs="Arial" w:eastAsia="Arial" w:hAnsi="Arial"/>
          <w:sz w:val="23"/>
          <w:szCs w:val="23"/>
        </w:rPr>
        <w:t xml:space="preserve">• מה האסטרטגיה שלך לגבי כריכה?</w:t>
      </w:r>
    </w:p>
    <w:p>
      <w:r>
        <w:rPr>
          <w:sz w:val="22"/>
          <w:szCs w:val="22"/>
        </w:rPr>
        <w:t xml:space="preserve"/>
      </w:r>
    </w:p>
    <w:p>
      <w:pPr>
        <w:pStyle w:val="Heading2"/>
        <w:jc w:val="right"/>
      </w:pPr>
      <w:r>
        <w:rPr>
          <w:rFonts w:ascii="Arial" w:cs="Arial" w:eastAsia="Arial" w:hAnsi="Arial"/>
          <w:b/>
          <w:bCs/>
          <w:color w:val="2E75B6"/>
          <w:sz w:val="30"/>
          <w:szCs w:val="30"/>
        </w:rPr>
        <w:t xml:space="preserve">עו"ד יניב גיל — ניסיון ייחודי</w:t>
      </w:r>
    </w:p>
    <w:p>
      <w:pPr>
        <w:bidi/>
        <w:spacing w:after="160"/>
        <w:jc w:val="right"/>
      </w:pPr>
      <w:r>
        <w:rPr>
          <w:rFonts w:ascii="Arial" w:cs="Arial" w:eastAsia="Arial" w:hAnsi="Arial"/>
          <w:sz w:val="23"/>
          <w:szCs w:val="23"/>
        </w:rPr>
        <w:t xml:space="preserve">עו"ד יניב גיל הוא עורך דין דיני משפחה עם ניסיון נרחב הן בבתי המשפט האזרחיים הן בבתי הדין הרבניים. הוא מכיר את שתי המערכות לעומק ויכול לגבש אסטרטגיה משולבת המיטבית לנסיבות כל לקוח.</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ערעור על פסיקת בית הדין   |   → גירושין אזרחיים vs. דתיים</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9  |  URL: /gerushin-azrachi-vs-dati.html  |  מילת מפתח: גירושין אזרחיים דתיים</w:t>
      </w:r>
    </w:p>
    <w:p>
      <w:r>
        <w:rPr>
          <w:sz w:val="22"/>
          <w:szCs w:val="22"/>
        </w:rPr>
        <w:t xml:space="preserve"/>
      </w:r>
    </w:p>
    <w:p>
      <w:pPr>
        <w:pStyle w:val="Heading1"/>
        <w:jc w:val="right"/>
      </w:pPr>
      <w:r>
        <w:rPr>
          <w:rFonts w:ascii="Arial" w:cs="Arial" w:eastAsia="Arial" w:hAnsi="Arial"/>
          <w:b/>
          <w:bCs/>
          <w:color w:val="1B4F8A"/>
          <w:sz w:val="40"/>
          <w:szCs w:val="40"/>
        </w:rPr>
        <w:t xml:space="preserve">גירושין אזרחיים לעומת דתיים — מה ההבדל ומה נחוץ בישראל</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ובעל ניסיון נרחב בייצוג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ייחודי לישראל?</w:t>
      </w:r>
    </w:p>
    <w:p>
      <w:pPr>
        <w:bidi/>
        <w:spacing w:after="160"/>
        <w:jc w:val="right"/>
      </w:pPr>
      <w:r>
        <w:rPr>
          <w:rFonts w:ascii="Arial" w:cs="Arial" w:eastAsia="Arial" w:hAnsi="Arial"/>
          <w:sz w:val="23"/>
          <w:szCs w:val="23"/>
        </w:rPr>
        <w:t xml:space="preserve">ישראל היא אחת המדינות הבודדות בעולם שבהן אין נישואין אזרחיים ליהודים. הנישואין הם דתיים — ולכן גם הגירושין דורשים מרכיב דתי. זה יוצר מציאות שאין לה מקבילה ברוב מדינות העולם.</w:t>
      </w:r>
    </w:p>
    <w:p>
      <w:r>
        <w:rPr>
          <w:sz w:val="22"/>
          <w:szCs w:val="22"/>
        </w:rPr>
        <w:t xml:space="preserve"/>
      </w:r>
    </w:p>
    <w:p>
      <w:pPr>
        <w:pStyle w:val="Heading2"/>
        <w:jc w:val="right"/>
      </w:pPr>
      <w:r>
        <w:rPr>
          <w:rFonts w:ascii="Arial" w:cs="Arial" w:eastAsia="Arial" w:hAnsi="Arial"/>
          <w:b/>
          <w:bCs/>
          <w:color w:val="2E75B6"/>
          <w:sz w:val="30"/>
          <w:szCs w:val="30"/>
        </w:rPr>
        <w:t xml:space="preserve">מה אפשרי אזרחית ומה דתית?</w:t>
      </w:r>
    </w:p>
    <w:p>
      <w:pPr>
        <w:pStyle w:val="Heading3"/>
        <w:jc w:val="right"/>
      </w:pPr>
      <w:r>
        <w:rPr>
          <w:rFonts w:ascii="Arial" w:cs="Arial" w:eastAsia="Arial" w:hAnsi="Arial"/>
          <w:b/>
          <w:bCs/>
          <w:color w:val="1F5C8B"/>
          <w:sz w:val="26"/>
          <w:szCs w:val="26"/>
        </w:rPr>
        <w:t xml:space="preserve">אזרחית — בית המשפט לענייני משפחה</w:t>
      </w:r>
    </w:p>
    <w:p>
      <w:pPr>
        <w:bidi/>
        <w:spacing w:after="100"/>
        <w:jc w:val="right"/>
      </w:pPr>
      <w:r>
        <w:rPr>
          <w:rFonts w:ascii="Arial" w:cs="Arial" w:eastAsia="Arial" w:hAnsi="Arial"/>
          <w:sz w:val="23"/>
          <w:szCs w:val="23"/>
        </w:rPr>
        <w:t xml:space="preserve">• חלוקת רכוש</w:t>
      </w:r>
    </w:p>
    <w:p>
      <w:pPr>
        <w:bidi/>
        <w:spacing w:after="100"/>
        <w:jc w:val="right"/>
      </w:pPr>
      <w:r>
        <w:rPr>
          <w:rFonts w:ascii="Arial" w:cs="Arial" w:eastAsia="Arial" w:hAnsi="Arial"/>
          <w:sz w:val="23"/>
          <w:szCs w:val="23"/>
        </w:rPr>
        <w:t xml:space="preserve">• משמורת ילדים</w:t>
      </w:r>
    </w:p>
    <w:p>
      <w:pPr>
        <w:bidi/>
        <w:spacing w:after="100"/>
        <w:jc w:val="right"/>
      </w:pPr>
      <w:r>
        <w:rPr>
          <w:rFonts w:ascii="Arial" w:cs="Arial" w:eastAsia="Arial" w:hAnsi="Arial"/>
          <w:sz w:val="23"/>
          <w:szCs w:val="23"/>
        </w:rPr>
        <w:t xml:space="preserve">• מזונות (ילדים ואישה)</w:t>
      </w:r>
    </w:p>
    <w:p>
      <w:pPr>
        <w:bidi/>
        <w:spacing w:after="100"/>
        <w:jc w:val="right"/>
      </w:pPr>
      <w:r>
        <w:rPr>
          <w:rFonts w:ascii="Arial" w:cs="Arial" w:eastAsia="Arial" w:hAnsi="Arial"/>
          <w:sz w:val="23"/>
          <w:szCs w:val="23"/>
        </w:rPr>
        <w:t xml:space="preserve">• אישור הסכם גירושין</w:t>
      </w:r>
    </w:p>
    <w:p>
      <w:pPr>
        <w:pStyle w:val="Heading3"/>
        <w:jc w:val="right"/>
      </w:pPr>
      <w:r>
        <w:rPr>
          <w:rFonts w:ascii="Arial" w:cs="Arial" w:eastAsia="Arial" w:hAnsi="Arial"/>
          <w:b/>
          <w:bCs/>
          <w:color w:val="1F5C8B"/>
          <w:sz w:val="26"/>
          <w:szCs w:val="26"/>
        </w:rPr>
        <w:t xml:space="preserve">דתית — בית הדין הרבני</w:t>
      </w:r>
    </w:p>
    <w:p>
      <w:pPr>
        <w:bidi/>
        <w:spacing w:after="100"/>
        <w:jc w:val="right"/>
      </w:pPr>
      <w:r>
        <w:rPr>
          <w:rFonts w:ascii="Arial" w:cs="Arial" w:eastAsia="Arial" w:hAnsi="Arial"/>
          <w:sz w:val="23"/>
          <w:szCs w:val="23"/>
        </w:rPr>
        <w:t xml:space="preserve">• הגט — חובה לזוגות יהודים</w:t>
      </w:r>
    </w:p>
    <w:p>
      <w:pPr>
        <w:bidi/>
        <w:spacing w:after="100"/>
        <w:jc w:val="right"/>
      </w:pPr>
      <w:r>
        <w:rPr>
          <w:rFonts w:ascii="Arial" w:cs="Arial" w:eastAsia="Arial" w:hAnsi="Arial"/>
          <w:sz w:val="23"/>
          <w:szCs w:val="23"/>
        </w:rPr>
        <w:t xml:space="preserve">• נושאים שנכרכו כדין</w:t>
      </w:r>
    </w:p>
    <w:p>
      <w:r>
        <w:rPr>
          <w:sz w:val="22"/>
          <w:szCs w:val="22"/>
        </w:rPr>
        <w:t xml:space="preserve"/>
      </w:r>
    </w:p>
    <w:p>
      <w:pPr>
        <w:pStyle w:val="Heading2"/>
        <w:jc w:val="right"/>
      </w:pPr>
      <w:r>
        <w:rPr>
          <w:rFonts w:ascii="Arial" w:cs="Arial" w:eastAsia="Arial" w:hAnsi="Arial"/>
          <w:b/>
          <w:bCs/>
          <w:color w:val="2E75B6"/>
          <w:sz w:val="30"/>
          <w:szCs w:val="30"/>
        </w:rPr>
        <w:t xml:space="preserve">האם אפשר לדלג על בית הדין הרבני?</w:t>
      </w:r>
    </w:p>
    <w:p>
      <w:pPr>
        <w:bidi/>
        <w:spacing w:after="160"/>
        <w:jc w:val="right"/>
      </w:pPr>
      <w:r>
        <w:rPr>
          <w:rFonts w:ascii="Arial" w:cs="Arial" w:eastAsia="Arial" w:hAnsi="Arial"/>
          <w:sz w:val="23"/>
          <w:szCs w:val="23"/>
        </w:rPr>
        <w:t xml:space="preserve">לא — אם הנישואין היו דתיים, הגט הוא חובה. זוג שאושרו לו גירושין בבית המשפט האזרחי אך לא קיבל גט — לא מגורש הלכתית. הילדים מנישואין חדשים עלולים להיות ממזרים.</w:t>
      </w:r>
    </w:p>
    <w:p>
      <w:r>
        <w:rPr>
          <w:sz w:val="22"/>
          <w:szCs w:val="22"/>
        </w:rPr>
        <w:t xml:space="preserve"/>
      </w:r>
    </w:p>
    <w:p>
      <w:pPr>
        <w:pStyle w:val="Heading2"/>
        <w:jc w:val="right"/>
      </w:pPr>
      <w:r>
        <w:rPr>
          <w:rFonts w:ascii="Arial" w:cs="Arial" w:eastAsia="Arial" w:hAnsi="Arial"/>
          <w:b/>
          <w:bCs/>
          <w:color w:val="2E75B6"/>
          <w:sz w:val="30"/>
          <w:szCs w:val="30"/>
        </w:rPr>
        <w:t xml:space="preserve">מה לגבי זוגות שנישאו בחו"ל?</w:t>
      </w:r>
    </w:p>
    <w:p>
      <w:pPr>
        <w:bidi/>
        <w:spacing w:after="160"/>
        <w:jc w:val="right"/>
      </w:pPr>
      <w:r>
        <w:rPr>
          <w:rFonts w:ascii="Arial" w:cs="Arial" w:eastAsia="Arial" w:hAnsi="Arial"/>
          <w:sz w:val="23"/>
          <w:szCs w:val="23"/>
        </w:rPr>
        <w:t xml:space="preserve">זוגות יהודים שנישאו בנישואין אזרחיים בחו"ל (למשל קפריסין) — המצב מורכב. בתי המשפט בישראל מכירים בנישואין אלה, ולכן גם בגירושין. השאלה אם נדרש גט — תלויה ברבנות ובנסיבות.</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w:t>
      </w:r>
    </w:p>
    <w:p>
      <w:pPr>
        <w:bidi/>
        <w:spacing w:before="200" w:after="80"/>
        <w:jc w:val="right"/>
      </w:pPr>
      <w:r>
        <w:rPr>
          <w:rFonts w:ascii="Arial" w:cs="Arial" w:eastAsia="Arial" w:hAnsi="Arial"/>
          <w:b/>
          <w:bCs/>
          <w:color w:val="1B4F8A"/>
          <w:sz w:val="23"/>
          <w:szCs w:val="23"/>
        </w:rPr>
        <w:t xml:space="preserve">זוג שנישא בחו"ל — האם צריך גט ?</w:t>
      </w:r>
    </w:p>
    <w:p>
      <w:pPr>
        <w:bidi/>
        <w:spacing w:after="180"/>
        <w:jc w:val="right"/>
      </w:pPr>
      <w:r>
        <w:rPr>
          <w:rFonts w:ascii="Arial" w:cs="Arial" w:eastAsia="Arial" w:hAnsi="Arial"/>
          <w:color w:val="333333"/>
          <w:sz w:val="23"/>
          <w:szCs w:val="23"/>
        </w:rPr>
        <w:t xml:space="preserve">תלוי בסוג הנישואין. נישואין דתיים בחו"ל — צריך גט. נישואין אזרחיים בחו"ל שאינם מוכרים כנישואין הלכתיים — ייתכן שלא. יש להתייעץ עם עורך דין.</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קורה אם אחד הצדדים לא יהודי ?</w:t>
      </w:r>
    </w:p>
    <w:p>
      <w:pPr>
        <w:bidi/>
        <w:spacing w:after="180"/>
        <w:jc w:val="right"/>
      </w:pPr>
      <w:r>
        <w:rPr>
          <w:rFonts w:ascii="Arial" w:cs="Arial" w:eastAsia="Arial" w:hAnsi="Arial"/>
          <w:color w:val="333333"/>
          <w:sz w:val="23"/>
          <w:szCs w:val="23"/>
        </w:rPr>
        <w:t xml:space="preserve">כאשר אחד הצדדים אינו יהודי, הנישואין לא נכנסים לתחום סמכות בית הדין הרבני. הגירושין הם אזרחיים בלבד.</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עורך דין בבית הדין הרבני   |   → גירושין בית הדין הרבני — מדריך מלא</w:t>
            </w:r>
          </w:p>
        </w:tc>
      </w:tr>
    </w:tbl>
    <w:p>
      <w:r>
        <w:br w:type="page"/>
      </w:r>
    </w:p>
    <w:p>
      <w:r>
        <w:rPr>
          <w:sz w:val="22"/>
          <w:szCs w:val="22"/>
        </w:rPr>
        <w:t xml:space="preserve"/>
      </w:r>
    </w:p>
    <w:p>
      <w:r>
        <w:rPr>
          <w:sz w:val="22"/>
          <w:szCs w:val="22"/>
        </w:rPr>
        <w:t xml:space="preserve"/>
      </w:r>
    </w:p>
    <w:p>
      <w:pPr>
        <w:jc w:val="center"/>
      </w:pPr>
      <w:r>
        <w:rPr>
          <w:rFonts w:ascii="Arial" w:cs="Arial" w:eastAsia="Arial" w:hAnsi="Arial"/>
          <w:b/>
          <w:bCs/>
          <w:color w:val="1B4F8A"/>
          <w:sz w:val="36"/>
          <w:szCs w:val="36"/>
        </w:rPr>
        <w:t xml:space="preserve">עו"ד יניב גיל — משרד דיני משפחה</w:t>
      </w:r>
    </w:p>
    <w:p>
      <w:pPr>
        <w:jc w:val="center"/>
      </w:pPr>
      <w:r>
        <w:rPr>
          <w:rFonts w:ascii="Arial" w:cs="Arial" w:eastAsia="Arial" w:hAnsi="Arial"/>
          <w:color w:val="555555"/>
          <w:sz w:val="24"/>
          <w:szCs w:val="24"/>
        </w:rPr>
        <w:t xml:space="preserve">מגדל WE-TLV, דרך מנחם בגין 150, תל אביב</w:t>
      </w:r>
    </w:p>
    <w:p>
      <w:pPr>
        <w:jc w:val="center"/>
      </w:pPr>
      <w:r>
        <w:rPr>
          <w:rFonts w:ascii="Arial" w:cs="Arial" w:eastAsia="Arial" w:hAnsi="Arial"/>
          <w:color w:val="2E75B6"/>
          <w:sz w:val="24"/>
          <w:szCs w:val="24"/>
        </w:rPr>
        <w:t xml:space="preserve">03-6092414  |  054-8184581  |  yanivgil.co.il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2026-02-19T22:12:46.622Z</dcterms:created>
  <dcterms:modified xsi:type="dcterms:W3CDTF">2026-02-19T22:12:46.623Z</dcterms:modified>
</cp:coreProperties>
</file>

<file path=docProps/custom.xml><?xml version="1.0" encoding="utf-8"?>
<Properties xmlns="http://schemas.openxmlformats.org/officeDocument/2006/custom-properties" xmlns:vt="http://schemas.openxmlformats.org/officeDocument/2006/docPropsVTypes"/>
</file>