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1B4F8A"/>
          <w:sz w:val="64"/>
          <w:szCs w:val="64"/>
        </w:rPr>
        <w:t xml:space="preserve">ידועים בציבור</w:t>
      </w:r>
    </w:p>
    <w:p>
      <w:pPr>
        <w:jc w:val="center"/>
      </w:pPr>
      <w:r>
        <w:rPr>
          <w:rFonts w:ascii="Arial" w:cs="Arial" w:eastAsia="Arial" w:hAnsi="Arial"/>
          <w:color w:val="555555"/>
          <w:sz w:val="30"/>
          <w:szCs w:val="30"/>
        </w:rPr>
        <w:t xml:space="preserve">Pillar מרכזי + 6 תתי-עמודים — תוכן מוכן לפרסום</w:t>
      </w:r>
    </w:p>
    <w:p>
      <w:r>
        <w:rPr>
          <w:sz w:val="22"/>
          <w:szCs w:val="22"/>
        </w:rPr>
        <w:t xml:space="preserve"/>
      </w:r>
    </w:p>
    <w:p>
      <w:pPr>
        <w:jc w:val="center"/>
      </w:pPr>
      <w:r>
        <w:rPr>
          <w:rFonts w:ascii="Arial" w:cs="Arial" w:eastAsia="Arial" w:hAnsi="Arial"/>
          <w:i/>
          <w:iCs/>
          <w:color w:val="777777"/>
          <w:sz w:val="26"/>
          <w:szCs w:val="26"/>
        </w:rPr>
        <w:t xml:space="preserve">עו"ד יניב גיל | yanivgil.co.il | 2026</w:t>
      </w:r>
    </w:p>
    <w:p>
      <w:r>
        <w:rPr>
          <w:sz w:val="22"/>
          <w:szCs w:val="22"/>
        </w:rPr>
        <w:t xml:space="preserve"/>
      </w:r>
    </w:p>
    <w:p>
      <w:r>
        <w:rPr>
          <w:sz w:val="22"/>
          <w:szCs w:val="22"/>
        </w:rPr>
        <w:t xml:space="preserve"/>
      </w:r>
    </w:p>
    <w:p>
      <w:pPr>
        <w:jc w:val="center"/>
      </w:pPr>
      <w:r>
        <w:rPr>
          <w:rFonts w:ascii="Arial" w:cs="Arial" w:eastAsia="Arial" w:hAnsi="Arial"/>
          <w:color w:val="999999"/>
          <w:sz w:val="22"/>
          <w:szCs w:val="22"/>
        </w:rPr>
        <w:t xml:space="preserve">~10,000 מילים | SEO מלא | כולל מונחים כפולים | מוכן להעלאה</w:t>
      </w:r>
    </w:p>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Pillar ראשי  |  URL: /yaduyim-batzibur.html  |  מילת מפתח: ידועים בציבור זכויות</w:t>
      </w:r>
    </w:p>
    <w:p>
      <w:r>
        <w:rPr>
          <w:sz w:val="22"/>
          <w:szCs w:val="22"/>
        </w:rPr>
        <w:t xml:space="preserve"/>
      </w:r>
    </w:p>
    <w:p>
      <w:pPr>
        <w:pStyle w:val="Heading1"/>
        <w:jc w:val="right"/>
      </w:pPr>
      <w:r>
        <w:rPr>
          <w:rFonts w:ascii="Arial" w:cs="Arial" w:eastAsia="Arial" w:hAnsi="Arial"/>
          <w:b/>
          <w:bCs/>
          <w:color w:val="1B4F8A"/>
          <w:sz w:val="40"/>
          <w:szCs w:val="40"/>
        </w:rPr>
        <w:t xml:space="preserve">ידועים בציבור בישראל – המדריך המשפטי המלא 2026</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מבוא: יחד מבלי לחתום — המצב המשפטי</w:t>
      </w:r>
    </w:p>
    <w:p>
      <w:pPr>
        <w:bidi/>
        <w:spacing w:after="160"/>
        <w:jc w:val="right"/>
      </w:pPr>
      <w:r>
        <w:rPr>
          <w:rFonts w:ascii="Arial" w:cs="Arial" w:eastAsia="Arial" w:hAnsi="Arial"/>
          <w:sz w:val="23"/>
          <w:szCs w:val="23"/>
        </w:rPr>
        <w:t xml:space="preserve">בישראל חיים מאות אלפי זוגות כ'ידועים בציבור' — בני זוג שחולקים חיים משותפים, לעיתים שנים ועשרות שנים, מבלי להינשא רשמית. חלקם בוחרים בכך מסיבות אידיאולוגיות, חלקם בשל מחסומים משפטיים (למשל, מי שאינו יכול לשאת בבית הרבנות), וחלקם פשוט לא חשו צורך.</w:t>
      </w:r>
    </w:p>
    <w:p>
      <w:pPr>
        <w:bidi/>
        <w:spacing w:after="160"/>
        <w:jc w:val="right"/>
      </w:pPr>
      <w:r>
        <w:rPr>
          <w:rFonts w:ascii="Arial" w:cs="Arial" w:eastAsia="Arial" w:hAnsi="Arial"/>
          <w:sz w:val="23"/>
          <w:szCs w:val="23"/>
        </w:rPr>
        <w:t xml:space="preserve">השאלה המרכזית: מהן הזכויות והחובות של ידועים בציבור? האם הם שונים מנשואים? והאם הם מוגנים כשהקשר מסתיים?</w:t>
      </w:r>
    </w:p>
    <w:p>
      <w:r>
        <w:rPr>
          <w:sz w:val="22"/>
          <w:szCs w:val="22"/>
        </w:rPr>
        <w:t xml:space="preserve"/>
      </w:r>
    </w:p>
    <w:p>
      <w:pPr>
        <w:pStyle w:val="Heading2"/>
        <w:jc w:val="right"/>
      </w:pPr>
      <w:r>
        <w:rPr>
          <w:rFonts w:ascii="Arial" w:cs="Arial" w:eastAsia="Arial" w:hAnsi="Arial"/>
          <w:b/>
          <w:bCs/>
          <w:color w:val="2E75B6"/>
          <w:sz w:val="30"/>
          <w:szCs w:val="30"/>
        </w:rPr>
        <w:t xml:space="preserve">הגדרת 'ידועים בציבור' בחוק</w:t>
      </w:r>
    </w:p>
    <w:p>
      <w:pPr>
        <w:bidi/>
        <w:spacing w:after="160"/>
        <w:jc w:val="right"/>
      </w:pPr>
      <w:r>
        <w:rPr>
          <w:rFonts w:ascii="Arial" w:cs="Arial" w:eastAsia="Arial" w:hAnsi="Arial"/>
          <w:sz w:val="23"/>
          <w:szCs w:val="23"/>
        </w:rPr>
        <w:t xml:space="preserve">החוק הישראלי אינו מגדיר 'ידועים בציבור' בהגדרה אחת סגורה. ההגדרה מפוזרת בחוקים שונים ובפסיקה. הקריטריונים שבתי המשפט בוחנים:</w:t>
      </w:r>
    </w:p>
    <w:p>
      <w:pPr>
        <w:bidi/>
        <w:spacing w:after="100"/>
        <w:jc w:val="right"/>
      </w:pPr>
      <w:r>
        <w:rPr>
          <w:rFonts w:ascii="Arial" w:cs="Arial" w:eastAsia="Arial" w:hAnsi="Arial"/>
          <w:sz w:val="23"/>
          <w:szCs w:val="23"/>
        </w:rPr>
        <w:t xml:space="preserve">• מגורים משותפים — ממושכים ורציפים</w:t>
      </w:r>
    </w:p>
    <w:p>
      <w:pPr>
        <w:bidi/>
        <w:spacing w:after="100"/>
        <w:jc w:val="right"/>
      </w:pPr>
      <w:r>
        <w:rPr>
          <w:rFonts w:ascii="Arial" w:cs="Arial" w:eastAsia="Arial" w:hAnsi="Arial"/>
          <w:sz w:val="23"/>
          <w:szCs w:val="23"/>
        </w:rPr>
        <w:t xml:space="preserve">• ניהול משק בית משותף — הוצאות, חשבונות</w:t>
      </w:r>
    </w:p>
    <w:p>
      <w:pPr>
        <w:bidi/>
        <w:spacing w:after="100"/>
        <w:jc w:val="right"/>
      </w:pPr>
      <w:r>
        <w:rPr>
          <w:rFonts w:ascii="Arial" w:cs="Arial" w:eastAsia="Arial" w:hAnsi="Arial"/>
          <w:sz w:val="23"/>
          <w:szCs w:val="23"/>
        </w:rPr>
        <w:t xml:space="preserve">• חיי אישות</w:t>
      </w:r>
    </w:p>
    <w:p>
      <w:pPr>
        <w:bidi/>
        <w:spacing w:after="100"/>
        <w:jc w:val="right"/>
      </w:pPr>
      <w:r>
        <w:rPr>
          <w:rFonts w:ascii="Arial" w:cs="Arial" w:eastAsia="Arial" w:hAnsi="Arial"/>
          <w:sz w:val="23"/>
          <w:szCs w:val="23"/>
        </w:rPr>
        <w:t xml:space="preserve">• הצגה כזוג בפני הסביבה</w:t>
      </w:r>
    </w:p>
    <w:p>
      <w:pPr>
        <w:bidi/>
        <w:spacing w:after="100"/>
        <w:jc w:val="right"/>
      </w:pPr>
      <w:r>
        <w:rPr>
          <w:rFonts w:ascii="Arial" w:cs="Arial" w:eastAsia="Arial" w:hAnsi="Arial"/>
          <w:sz w:val="23"/>
          <w:szCs w:val="23"/>
        </w:rPr>
        <w:t xml:space="preserve">• תלות כלכלית הדדית</w:t>
      </w:r>
    </w:p>
    <w:p>
      <w:pPr>
        <w:bidi/>
        <w:spacing w:after="100"/>
        <w:jc w:val="right"/>
      </w:pPr>
      <w:r>
        <w:rPr>
          <w:rFonts w:ascii="Arial" w:cs="Arial" w:eastAsia="Arial" w:hAnsi="Arial"/>
          <w:sz w:val="23"/>
          <w:szCs w:val="23"/>
        </w:rPr>
        <w:t xml:space="preserve">• כוונה לחיות יחד לטווח ארוך</w:t>
      </w:r>
    </w:p>
    <w:p>
      <w:pPr>
        <w:bidi/>
        <w:spacing w:after="160"/>
        <w:jc w:val="right"/>
      </w:pPr>
      <w:r>
        <w:rPr>
          <w:rFonts w:ascii="Arial" w:cs="Arial" w:eastAsia="Arial" w:hAnsi="Arial"/>
          <w:sz w:val="23"/>
          <w:szCs w:val="23"/>
        </w:rPr>
        <w:t xml:space="preserve">אין 'תעודת ידועים בציבור' — הסטטוס נקבע על פי הנסיבות בפועל.</w:t>
      </w:r>
    </w:p>
    <w:p>
      <w:r>
        <w:rPr>
          <w:sz w:val="22"/>
          <w:szCs w:val="22"/>
        </w:rPr>
        <w:t xml:space="preserve"/>
      </w:r>
    </w:p>
    <w:p>
      <w:pPr>
        <w:pStyle w:val="Heading2"/>
        <w:jc w:val="right"/>
      </w:pPr>
      <w:r>
        <w:rPr>
          <w:rFonts w:ascii="Arial" w:cs="Arial" w:eastAsia="Arial" w:hAnsi="Arial"/>
          <w:b/>
          <w:bCs/>
          <w:color w:val="2E75B6"/>
          <w:sz w:val="30"/>
          <w:szCs w:val="30"/>
        </w:rPr>
        <w:t xml:space="preserve">ידועים בציבור לעומת נשואים — ההבדלים המרכזיים</w:t>
      </w:r>
    </w:p>
    <w:p>
      <w:pPr>
        <w:pStyle w:val="Heading3"/>
        <w:jc w:val="right"/>
      </w:pPr>
      <w:r>
        <w:rPr>
          <w:rFonts w:ascii="Arial" w:cs="Arial" w:eastAsia="Arial" w:hAnsi="Arial"/>
          <w:b/>
          <w:bCs/>
          <w:color w:val="1F5C8B"/>
          <w:sz w:val="26"/>
          <w:szCs w:val="26"/>
        </w:rPr>
        <w:t xml:space="preserve">ירושה</w:t>
      </w:r>
    </w:p>
    <w:p>
      <w:pPr>
        <w:bidi/>
        <w:spacing w:after="160"/>
        <w:jc w:val="right"/>
      </w:pPr>
      <w:r>
        <w:rPr>
          <w:rFonts w:ascii="Arial" w:cs="Arial" w:eastAsia="Arial" w:hAnsi="Arial"/>
          <w:sz w:val="23"/>
          <w:szCs w:val="23"/>
        </w:rPr>
        <w:t xml:space="preserve">נשואים: בן זוג נשוי יורש אוטומטית לפי חוק הירושה. ידועים בציבור: בן הזוג הידוע בציבור יורש רק אם נכלל בצוואה, או אם הוכר כ'תלוי' לפי חוק הירושה. ללא צוואה — לא יורש!</w:t>
      </w:r>
    </w:p>
    <w:p>
      <w:pPr>
        <w:pStyle w:val="Heading3"/>
        <w:jc w:val="right"/>
      </w:pPr>
      <w:r>
        <w:rPr>
          <w:rFonts w:ascii="Arial" w:cs="Arial" w:eastAsia="Arial" w:hAnsi="Arial"/>
          <w:b/>
          <w:bCs/>
          <w:color w:val="1F5C8B"/>
          <w:sz w:val="26"/>
          <w:szCs w:val="26"/>
        </w:rPr>
        <w:t xml:space="preserve">חלוקת רכוש</w:t>
      </w:r>
    </w:p>
    <w:p>
      <w:pPr>
        <w:bidi/>
        <w:spacing w:after="160"/>
        <w:jc w:val="right"/>
      </w:pPr>
      <w:r>
        <w:rPr>
          <w:rFonts w:ascii="Arial" w:cs="Arial" w:eastAsia="Arial" w:hAnsi="Arial"/>
          <w:sz w:val="23"/>
          <w:szCs w:val="23"/>
        </w:rPr>
        <w:t xml:space="preserve">נשואים: חל חוק יחסי ממון — איזון משאבים. ידועים בציבור: חל חוק המקרקעין ועקרון 'שיתוף ספציפי' — מה שנרשם על שניהם שייך לשניהם, מה שרשום על אחד — שלו בלבד (עם חריגים).</w:t>
      </w:r>
    </w:p>
    <w:p>
      <w:pPr>
        <w:pStyle w:val="Heading3"/>
        <w:jc w:val="right"/>
      </w:pPr>
      <w:r>
        <w:rPr>
          <w:rFonts w:ascii="Arial" w:cs="Arial" w:eastAsia="Arial" w:hAnsi="Arial"/>
          <w:b/>
          <w:bCs/>
          <w:color w:val="1F5C8B"/>
          <w:sz w:val="26"/>
          <w:szCs w:val="26"/>
        </w:rPr>
        <w:t xml:space="preserve">מזונות</w:t>
      </w:r>
    </w:p>
    <w:p>
      <w:pPr>
        <w:bidi/>
        <w:spacing w:after="160"/>
        <w:jc w:val="right"/>
      </w:pPr>
      <w:r>
        <w:rPr>
          <w:rFonts w:ascii="Arial" w:cs="Arial" w:eastAsia="Arial" w:hAnsi="Arial"/>
          <w:sz w:val="23"/>
          <w:szCs w:val="23"/>
        </w:rPr>
        <w:t xml:space="preserve">נשואים: בן/בת הזוג זכאי למזונות לפי הדין הדתי ו/או האזרחי. ידועים בציבור: אין חיוב מזונות אוטומטי — אך בית המשפט יכול לפסוק 'דמי מחיה' בנסיבות מסוימות.</w:t>
      </w:r>
    </w:p>
    <w:p>
      <w:pPr>
        <w:pStyle w:val="Heading3"/>
        <w:jc w:val="right"/>
      </w:pPr>
      <w:r>
        <w:rPr>
          <w:rFonts w:ascii="Arial" w:cs="Arial" w:eastAsia="Arial" w:hAnsi="Arial"/>
          <w:b/>
          <w:bCs/>
          <w:color w:val="1F5C8B"/>
          <w:sz w:val="26"/>
          <w:szCs w:val="26"/>
        </w:rPr>
        <w:t xml:space="preserve">זכויות סוציאליות</w:t>
      </w:r>
    </w:p>
    <w:p>
      <w:pPr>
        <w:bidi/>
        <w:spacing w:after="160"/>
        <w:jc w:val="right"/>
      </w:pPr>
      <w:r>
        <w:rPr>
          <w:rFonts w:ascii="Arial" w:cs="Arial" w:eastAsia="Arial" w:hAnsi="Arial"/>
          <w:sz w:val="23"/>
          <w:szCs w:val="23"/>
        </w:rPr>
        <w:t xml:space="preserve">ידועים בציבור מוכרים לצורך: קצבאות ביטוח לאומי, זכויות שכירות, ביטוח בריאות, הגנות מינימליות שונות. רשימת ההכרות גדלה עם השנים.</w:t>
      </w:r>
    </w:p>
    <w:p>
      <w:r>
        <w:rPr>
          <w:sz w:val="22"/>
          <w:szCs w:val="22"/>
        </w:rPr>
        <w:t xml:space="preserve"/>
      </w:r>
    </w:p>
    <w:p>
      <w:pPr>
        <w:pStyle w:val="Heading2"/>
        <w:jc w:val="right"/>
      </w:pPr>
      <w:r>
        <w:rPr>
          <w:rFonts w:ascii="Arial" w:cs="Arial" w:eastAsia="Arial" w:hAnsi="Arial"/>
          <w:b/>
          <w:bCs/>
          <w:color w:val="2E75B6"/>
          <w:sz w:val="30"/>
          <w:szCs w:val="30"/>
        </w:rPr>
        <w:t xml:space="preserve">הכרה כ'ידועים בציבור' — כיצד מוכיחים?</w:t>
      </w:r>
    </w:p>
    <w:p>
      <w:pPr>
        <w:bidi/>
        <w:spacing w:after="160"/>
        <w:jc w:val="right"/>
      </w:pPr>
      <w:r>
        <w:rPr>
          <w:rFonts w:ascii="Arial" w:cs="Arial" w:eastAsia="Arial" w:hAnsi="Arial"/>
          <w:sz w:val="23"/>
          <w:szCs w:val="23"/>
        </w:rPr>
        <w:t xml:space="preserve">כאשר יש סכסוך — למשל, בני משפחה של הנפטר טוענים שהמנוח לא היה 'ידוע בציבור' — יש להוכיח את הסטטוס. ראיות שמקובלות:</w:t>
      </w:r>
    </w:p>
    <w:p>
      <w:pPr>
        <w:bidi/>
        <w:spacing w:after="100"/>
        <w:jc w:val="right"/>
      </w:pPr>
      <w:r>
        <w:rPr>
          <w:rFonts w:ascii="Arial" w:cs="Arial" w:eastAsia="Arial" w:hAnsi="Arial"/>
          <w:sz w:val="23"/>
          <w:szCs w:val="23"/>
        </w:rPr>
        <w:t xml:space="preserve">• חוזה שכירות משותף</w:t>
      </w:r>
    </w:p>
    <w:p>
      <w:pPr>
        <w:bidi/>
        <w:spacing w:after="100"/>
        <w:jc w:val="right"/>
      </w:pPr>
      <w:r>
        <w:rPr>
          <w:rFonts w:ascii="Arial" w:cs="Arial" w:eastAsia="Arial" w:hAnsi="Arial"/>
          <w:sz w:val="23"/>
          <w:szCs w:val="23"/>
        </w:rPr>
        <w:t xml:space="preserve">• חשבונות משותפים — בנק, ארנונה, חשמל</w:t>
      </w:r>
    </w:p>
    <w:p>
      <w:pPr>
        <w:bidi/>
        <w:spacing w:after="100"/>
        <w:jc w:val="right"/>
      </w:pPr>
      <w:r>
        <w:rPr>
          <w:rFonts w:ascii="Arial" w:cs="Arial" w:eastAsia="Arial" w:hAnsi="Arial"/>
          <w:sz w:val="23"/>
          <w:szCs w:val="23"/>
        </w:rPr>
        <w:t xml:space="preserve">• עדויות של חברים ושכנים</w:t>
      </w:r>
    </w:p>
    <w:p>
      <w:pPr>
        <w:bidi/>
        <w:spacing w:after="100"/>
        <w:jc w:val="right"/>
      </w:pPr>
      <w:r>
        <w:rPr>
          <w:rFonts w:ascii="Arial" w:cs="Arial" w:eastAsia="Arial" w:hAnsi="Arial"/>
          <w:sz w:val="23"/>
          <w:szCs w:val="23"/>
        </w:rPr>
        <w:t xml:space="preserve">• תמונות ומסמכים המציגים אתכם כזוג</w:t>
      </w:r>
    </w:p>
    <w:p>
      <w:pPr>
        <w:bidi/>
        <w:spacing w:after="100"/>
        <w:jc w:val="right"/>
      </w:pPr>
      <w:r>
        <w:rPr>
          <w:rFonts w:ascii="Arial" w:cs="Arial" w:eastAsia="Arial" w:hAnsi="Arial"/>
          <w:sz w:val="23"/>
          <w:szCs w:val="23"/>
        </w:rPr>
        <w:t xml:space="preserve">• מסמכים רפואיים שמציגים בן הזוג כאיש קשר</w:t>
      </w:r>
    </w:p>
    <w:p>
      <w:pPr>
        <w:bidi/>
        <w:spacing w:after="100"/>
        <w:jc w:val="right"/>
      </w:pPr>
      <w:r>
        <w:rPr>
          <w:rFonts w:ascii="Arial" w:cs="Arial" w:eastAsia="Arial" w:hAnsi="Arial"/>
          <w:sz w:val="23"/>
          <w:szCs w:val="23"/>
        </w:rPr>
        <w:t xml:space="preserve">• ביטוחים משותפים</w:t>
      </w:r>
    </w:p>
    <w:p>
      <w:r>
        <w:rPr>
          <w:sz w:val="22"/>
          <w:szCs w:val="22"/>
        </w:rPr>
        <w:t xml:space="preserve"/>
      </w:r>
    </w:p>
    <w:p>
      <w:pPr>
        <w:pStyle w:val="Heading2"/>
        <w:jc w:val="right"/>
      </w:pPr>
      <w:r>
        <w:rPr>
          <w:rFonts w:ascii="Arial" w:cs="Arial" w:eastAsia="Arial" w:hAnsi="Arial"/>
          <w:b/>
          <w:bCs/>
          <w:color w:val="2E75B6"/>
          <w:sz w:val="30"/>
          <w:szCs w:val="30"/>
        </w:rPr>
        <w:t xml:space="preserve">הגנה על ידועים בציבור — מה מומלץ לעשות?</w:t>
      </w:r>
    </w:p>
    <w:p>
      <w:pPr>
        <w:bidi/>
        <w:spacing w:after="160"/>
        <w:jc w:val="right"/>
      </w:pPr>
      <w:r>
        <w:rPr>
          <w:rFonts w:ascii="Arial" w:cs="Arial" w:eastAsia="Arial" w:hAnsi="Arial"/>
          <w:sz w:val="23"/>
          <w:szCs w:val="23"/>
        </w:rPr>
        <w:t xml:space="preserve">הדרך הטובה ביותר להגן על זכויותיכם כידועים בציבור היא לעגן אותן בכתב:</w:t>
      </w:r>
    </w:p>
    <w:p>
      <w:pPr>
        <w:bidi/>
        <w:spacing w:after="100"/>
        <w:jc w:val="right"/>
      </w:pPr>
      <w:r>
        <w:rPr>
          <w:rFonts w:ascii="Arial" w:cs="Arial" w:eastAsia="Arial" w:hAnsi="Arial"/>
          <w:sz w:val="23"/>
          <w:szCs w:val="23"/>
        </w:rPr>
        <w:t xml:space="preserve">• צוואה — הגנה על הירושה</w:t>
      </w:r>
    </w:p>
    <w:p>
      <w:pPr>
        <w:bidi/>
        <w:spacing w:after="100"/>
        <w:jc w:val="right"/>
      </w:pPr>
      <w:r>
        <w:rPr>
          <w:rFonts w:ascii="Arial" w:cs="Arial" w:eastAsia="Arial" w:hAnsi="Arial"/>
          <w:sz w:val="23"/>
          <w:szCs w:val="23"/>
        </w:rPr>
        <w:t xml:space="preserve">• הסכם ידועים בציבור — דומה להסכם ממון, מסדיר רכוש ומזונות</w:t>
      </w:r>
    </w:p>
    <w:p>
      <w:pPr>
        <w:bidi/>
        <w:spacing w:after="100"/>
        <w:jc w:val="right"/>
      </w:pPr>
      <w:r>
        <w:rPr>
          <w:rFonts w:ascii="Arial" w:cs="Arial" w:eastAsia="Arial" w:hAnsi="Arial"/>
          <w:sz w:val="23"/>
          <w:szCs w:val="23"/>
        </w:rPr>
        <w:t xml:space="preserve">• רכישת נכסים בשני השמות</w:t>
      </w:r>
    </w:p>
    <w:p>
      <w:pPr>
        <w:bidi/>
        <w:spacing w:after="100"/>
        <w:jc w:val="right"/>
      </w:pPr>
      <w:r>
        <w:rPr>
          <w:rFonts w:ascii="Arial" w:cs="Arial" w:eastAsia="Arial" w:hAnsi="Arial"/>
          <w:sz w:val="23"/>
          <w:szCs w:val="23"/>
        </w:rPr>
        <w:t xml:space="preserve">• מינוי בן הזוג כמיטיב/מוטב בפנסיה</w:t>
      </w:r>
    </w:p>
    <w:p>
      <w:pPr>
        <w:bidi/>
        <w:spacing w:after="100"/>
        <w:jc w:val="right"/>
      </w:pPr>
      <w:r>
        <w:rPr>
          <w:rFonts w:ascii="Arial" w:cs="Arial" w:eastAsia="Arial" w:hAnsi="Arial"/>
          <w:sz w:val="23"/>
          <w:szCs w:val="23"/>
        </w:rPr>
        <w:t xml:space="preserve">• ייפוי כוח מתמשך — לקבלת החלטות רפואיות</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 — ידועים בציבור</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ידועים בציבור נחשבים נשואים בישראל ?</w:t>
      </w:r>
    </w:p>
    <w:p>
      <w:pPr>
        <w:bidi/>
        <w:spacing w:after="180"/>
        <w:jc w:val="right"/>
      </w:pPr>
      <w:r>
        <w:rPr>
          <w:rFonts w:ascii="Arial" w:cs="Arial" w:eastAsia="Arial" w:hAnsi="Arial"/>
          <w:color w:val="333333"/>
          <w:sz w:val="23"/>
          <w:szCs w:val="23"/>
        </w:rPr>
        <w:t xml:space="preserve">לא — ידועים בציבור אינם נחשבים נשואים מבחינה משפטית. יש להם זכויות ספציפיות שנקבעו בחוק ובפסיקה, אך מדובר בסטטוס שונה מנישואין.</w:t>
      </w:r>
    </w:p>
    <w:p>
      <w:r>
        <w:rPr>
          <w:sz w:val="22"/>
          <w:szCs w:val="22"/>
        </w:rPr>
        <w:t xml:space="preserve"/>
      </w:r>
    </w:p>
    <w:p>
      <w:pPr>
        <w:bidi/>
        <w:spacing w:before="200" w:after="80"/>
        <w:jc w:val="right"/>
      </w:pPr>
      <w:r>
        <w:rPr>
          <w:rFonts w:ascii="Arial" w:cs="Arial" w:eastAsia="Arial" w:hAnsi="Arial"/>
          <w:b/>
          <w:bCs/>
          <w:color w:val="1B4F8A"/>
          <w:sz w:val="23"/>
          <w:szCs w:val="23"/>
        </w:rPr>
        <w:t xml:space="preserve">כמה זמן צריך לחיות ביחד כדי להיחשב ידועים בציבור ?</w:t>
      </w:r>
    </w:p>
    <w:p>
      <w:pPr>
        <w:bidi/>
        <w:spacing w:after="180"/>
        <w:jc w:val="right"/>
      </w:pPr>
      <w:r>
        <w:rPr>
          <w:rFonts w:ascii="Arial" w:cs="Arial" w:eastAsia="Arial" w:hAnsi="Arial"/>
          <w:color w:val="333333"/>
          <w:sz w:val="23"/>
          <w:szCs w:val="23"/>
        </w:rPr>
        <w:t xml:space="preserve">אין מינימום קבוע בחוק. בית המשפט בוחן את מכלול הנסיבות. זוגות שחיו יחד שנה-שנתיים הוכרו, ולעומתם זוגות שחיו יחד שנים רבות לא הוכרו — הכל תלוי באיכות הקשר.</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ידועים בציבור יכולים לתבוע מזונות ?</w:t>
      </w:r>
    </w:p>
    <w:p>
      <w:pPr>
        <w:bidi/>
        <w:spacing w:after="180"/>
        <w:jc w:val="right"/>
      </w:pPr>
      <w:r>
        <w:rPr>
          <w:rFonts w:ascii="Arial" w:cs="Arial" w:eastAsia="Arial" w:hAnsi="Arial"/>
          <w:color w:val="333333"/>
          <w:sz w:val="23"/>
          <w:szCs w:val="23"/>
        </w:rPr>
        <w:t xml:space="preserve">אין חיוב מזונות אוטומטי, אך בית המשפט יכול לפסוק 'דמי מחיה' לבן הזוג הנזקק — במיוחד כאשר ויתר על קריירה לטובת הזוגיות. זה מורכב יותר מנשואים.</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קורה לרכוש של ידועים בציבור כשמתפרדים ?</w:t>
      </w:r>
    </w:p>
    <w:p>
      <w:pPr>
        <w:bidi/>
        <w:spacing w:after="180"/>
        <w:jc w:val="right"/>
      </w:pPr>
      <w:r>
        <w:rPr>
          <w:rFonts w:ascii="Arial" w:cs="Arial" w:eastAsia="Arial" w:hAnsi="Arial"/>
          <w:color w:val="333333"/>
          <w:sz w:val="23"/>
          <w:szCs w:val="23"/>
        </w:rPr>
        <w:t xml:space="preserve">כל אחד שומר על מה שרשום על שמו. מה שנרכש יחד — מתחלק. אין 'איזון משאבים' אוטומטי כמו בנישואין. לכן חשוב לרשום נכסים משותפים על שני השמות.</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ידועים בציבור יכולים לאמץ ילדים ?</w:t>
      </w:r>
    </w:p>
    <w:p>
      <w:pPr>
        <w:bidi/>
        <w:spacing w:after="180"/>
        <w:jc w:val="right"/>
      </w:pPr>
      <w:r>
        <w:rPr>
          <w:rFonts w:ascii="Arial" w:cs="Arial" w:eastAsia="Arial" w:hAnsi="Arial"/>
          <w:color w:val="333333"/>
          <w:sz w:val="23"/>
          <w:szCs w:val="23"/>
        </w:rPr>
        <w:t xml:space="preserve">כן — החוק הישראלי מאפשר לידועים בציבור לאמץ ילדים, בתנאים מסוימים. בתי המשפט בוחנים את יציבות הקשר ואת יכולת ההורות.</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צריך עורך דין לעגן סטטוס ידועים בציבור ?</w:t>
      </w:r>
    </w:p>
    <w:p>
      <w:pPr>
        <w:bidi/>
        <w:spacing w:after="180"/>
        <w:jc w:val="right"/>
      </w:pPr>
      <w:r>
        <w:rPr>
          <w:rFonts w:ascii="Arial" w:cs="Arial" w:eastAsia="Arial" w:hAnsi="Arial"/>
          <w:color w:val="333333"/>
          <w:sz w:val="23"/>
          <w:szCs w:val="23"/>
        </w:rPr>
        <w:t xml:space="preserve">לא חובה — אך מומלץ. הסכם ידועים בציבור שנוסח על ידי עורך דין מנוסה מספק הגנה הרבה יותר טובה ממסמכים שנכתבים ללא ייעוץ.</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זכויות ידועים בציבור</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1  |  URL: /zkuyot-yaduyim-batzibur.html  |  מילת מפתח: זכויות ידועים בציבור</w:t>
      </w:r>
    </w:p>
    <w:p>
      <w:r>
        <w:rPr>
          <w:sz w:val="22"/>
          <w:szCs w:val="22"/>
        </w:rPr>
        <w:t xml:space="preserve"/>
      </w:r>
    </w:p>
    <w:p>
      <w:pPr>
        <w:pStyle w:val="Heading1"/>
        <w:jc w:val="right"/>
      </w:pPr>
      <w:r>
        <w:rPr>
          <w:rFonts w:ascii="Arial" w:cs="Arial" w:eastAsia="Arial" w:hAnsi="Arial"/>
          <w:b/>
          <w:bCs/>
          <w:color w:val="1B4F8A"/>
          <w:sz w:val="40"/>
          <w:szCs w:val="40"/>
        </w:rPr>
        <w:t xml:space="preserve">זכויות ידועים בציבור בישראל — מה מגיע ומה לא</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סקירת הזכויות לפי תחומים</w:t>
      </w:r>
    </w:p>
    <w:p>
      <w:pPr>
        <w:pStyle w:val="Heading3"/>
        <w:jc w:val="right"/>
      </w:pPr>
      <w:r>
        <w:rPr>
          <w:rFonts w:ascii="Arial" w:cs="Arial" w:eastAsia="Arial" w:hAnsi="Arial"/>
          <w:b/>
          <w:bCs/>
          <w:color w:val="1F5C8B"/>
          <w:sz w:val="26"/>
          <w:szCs w:val="26"/>
        </w:rPr>
        <w:t xml:space="preserve">ביטוח לאומי</w:t>
      </w:r>
    </w:p>
    <w:p>
      <w:pPr>
        <w:bidi/>
        <w:spacing w:after="160"/>
        <w:jc w:val="right"/>
      </w:pPr>
      <w:r>
        <w:rPr>
          <w:rFonts w:ascii="Arial" w:cs="Arial" w:eastAsia="Arial" w:hAnsi="Arial"/>
          <w:sz w:val="23"/>
          <w:szCs w:val="23"/>
        </w:rPr>
        <w:t xml:space="preserve">ידועים בציבור מוכרים לצרכי ביטוח לאומי — קצבת שאירים, קצבת נפגעי עבודה, ודמי לידה. ההכרה מחייבת הוכחת הסטטוס למוסד לביטוח לאומי, לרוב עם מסמכים תומכים.</w:t>
      </w:r>
    </w:p>
    <w:p>
      <w:pPr>
        <w:pStyle w:val="Heading3"/>
        <w:jc w:val="right"/>
      </w:pPr>
      <w:r>
        <w:rPr>
          <w:rFonts w:ascii="Arial" w:cs="Arial" w:eastAsia="Arial" w:hAnsi="Arial"/>
          <w:b/>
          <w:bCs/>
          <w:color w:val="1F5C8B"/>
          <w:sz w:val="26"/>
          <w:szCs w:val="26"/>
        </w:rPr>
        <w:t xml:space="preserve">פנסיה</w:t>
      </w:r>
    </w:p>
    <w:p>
      <w:pPr>
        <w:bidi/>
        <w:spacing w:after="160"/>
        <w:jc w:val="right"/>
      </w:pPr>
      <w:r>
        <w:rPr>
          <w:rFonts w:ascii="Arial" w:cs="Arial" w:eastAsia="Arial" w:hAnsi="Arial"/>
          <w:sz w:val="23"/>
          <w:szCs w:val="23"/>
        </w:rPr>
        <w:t xml:space="preserve">בן זוג ידוע בציבור יכול להיות מוטב בפנסיה — אך זה לא אוטומטי. יש לדאוג לציין אותו/אותה מפורשות כמוטב. ללא ציון מפורש — לאחר פטירה יכול הכסף לעבור לילדים או לירושה החוקית.</w:t>
      </w:r>
    </w:p>
    <w:p>
      <w:pPr>
        <w:pStyle w:val="Heading3"/>
        <w:jc w:val="right"/>
      </w:pPr>
      <w:r>
        <w:rPr>
          <w:rFonts w:ascii="Arial" w:cs="Arial" w:eastAsia="Arial" w:hAnsi="Arial"/>
          <w:b/>
          <w:bCs/>
          <w:color w:val="1F5C8B"/>
          <w:sz w:val="26"/>
          <w:szCs w:val="26"/>
        </w:rPr>
        <w:t xml:space="preserve">דיור</w:t>
      </w:r>
    </w:p>
    <w:p>
      <w:pPr>
        <w:bidi/>
        <w:spacing w:after="160"/>
        <w:jc w:val="right"/>
      </w:pPr>
      <w:r>
        <w:rPr>
          <w:rFonts w:ascii="Arial" w:cs="Arial" w:eastAsia="Arial" w:hAnsi="Arial"/>
          <w:sz w:val="23"/>
          <w:szCs w:val="23"/>
        </w:rPr>
        <w:t xml:space="preserve">ידוע בציבור של שוכר דירה יכול, בנסיבות מסוימות, להמשיך ולהתגורר בדירה אחרי פטירת בן הזוג. הדין בנושא זה מורכב ותלוי בנסיבות.</w:t>
      </w:r>
    </w:p>
    <w:p>
      <w:pPr>
        <w:pStyle w:val="Heading3"/>
        <w:jc w:val="right"/>
      </w:pPr>
      <w:r>
        <w:rPr>
          <w:rFonts w:ascii="Arial" w:cs="Arial" w:eastAsia="Arial" w:hAnsi="Arial"/>
          <w:b/>
          <w:bCs/>
          <w:color w:val="1F5C8B"/>
          <w:sz w:val="26"/>
          <w:szCs w:val="26"/>
        </w:rPr>
        <w:t xml:space="preserve">ירושה</w:t>
      </w:r>
    </w:p>
    <w:p>
      <w:pPr>
        <w:bidi/>
        <w:spacing w:after="160"/>
        <w:jc w:val="right"/>
      </w:pPr>
      <w:r>
        <w:rPr>
          <w:rFonts w:ascii="Arial" w:cs="Arial" w:eastAsia="Arial" w:hAnsi="Arial"/>
          <w:sz w:val="23"/>
          <w:szCs w:val="23"/>
        </w:rPr>
        <w:t xml:space="preserve">כאמור — ללא צוואה, ידוע/ה בציבור אינו יורש. הוא/היא יכול/ה לתבוע כ'תלוי' לפי חוק הירושה, אך זה הליך מורכב ולא מובטח.</w:t>
      </w:r>
    </w:p>
    <w:p>
      <w:pPr>
        <w:pStyle w:val="Heading3"/>
        <w:jc w:val="right"/>
      </w:pPr>
      <w:r>
        <w:rPr>
          <w:rFonts w:ascii="Arial" w:cs="Arial" w:eastAsia="Arial" w:hAnsi="Arial"/>
          <w:b/>
          <w:bCs/>
          <w:color w:val="1F5C8B"/>
          <w:sz w:val="26"/>
          <w:szCs w:val="26"/>
        </w:rPr>
        <w:t xml:space="preserve">מס ירושה ומס שבח</w:t>
      </w:r>
    </w:p>
    <w:p>
      <w:pPr>
        <w:bidi/>
        <w:spacing w:after="160"/>
        <w:jc w:val="right"/>
      </w:pPr>
      <w:r>
        <w:rPr>
          <w:rFonts w:ascii="Arial" w:cs="Arial" w:eastAsia="Arial" w:hAnsi="Arial"/>
          <w:sz w:val="23"/>
          <w:szCs w:val="23"/>
        </w:rPr>
        <w:t xml:space="preserve">ידועים בציבור מוכרים לחלק מהפטורים ממס שבח ומס ירושה — בנסיבות מסוימות. חשוב לבדוק עם יועץ מס.</w:t>
      </w:r>
    </w:p>
    <w:p>
      <w:r>
        <w:rPr>
          <w:sz w:val="22"/>
          <w:szCs w:val="22"/>
        </w:rPr>
        <w:t xml:space="preserve"/>
      </w:r>
    </w:p>
    <w:p>
      <w:pPr>
        <w:pStyle w:val="Heading2"/>
        <w:jc w:val="right"/>
      </w:pPr>
      <w:r>
        <w:rPr>
          <w:rFonts w:ascii="Arial" w:cs="Arial" w:eastAsia="Arial" w:hAnsi="Arial"/>
          <w:b/>
          <w:bCs/>
          <w:color w:val="2E75B6"/>
          <w:sz w:val="30"/>
          <w:szCs w:val="30"/>
        </w:rPr>
        <w:t xml:space="preserve">זכויות שידועים בציבור אינם נהנים מהן (לעומת נשואים)</w:t>
      </w:r>
    </w:p>
    <w:p>
      <w:pPr>
        <w:bidi/>
        <w:spacing w:after="100"/>
        <w:jc w:val="right"/>
      </w:pPr>
      <w:r>
        <w:rPr>
          <w:rFonts w:ascii="Arial" w:cs="Arial" w:eastAsia="Arial" w:hAnsi="Arial"/>
          <w:sz w:val="23"/>
          <w:szCs w:val="23"/>
        </w:rPr>
        <w:t xml:space="preserve">• ירושה אוטומטית ללא צוואה</w:t>
      </w:r>
    </w:p>
    <w:p>
      <w:pPr>
        <w:bidi/>
        <w:spacing w:after="100"/>
        <w:jc w:val="right"/>
      </w:pPr>
      <w:r>
        <w:rPr>
          <w:rFonts w:ascii="Arial" w:cs="Arial" w:eastAsia="Arial" w:hAnsi="Arial"/>
          <w:sz w:val="23"/>
          <w:szCs w:val="23"/>
        </w:rPr>
        <w:t xml:space="preserve">• מזונות אוטומטיים</w:t>
      </w:r>
    </w:p>
    <w:p>
      <w:pPr>
        <w:bidi/>
        <w:spacing w:after="100"/>
        <w:jc w:val="right"/>
      </w:pPr>
      <w:r>
        <w:rPr>
          <w:rFonts w:ascii="Arial" w:cs="Arial" w:eastAsia="Arial" w:hAnsi="Arial"/>
          <w:sz w:val="23"/>
          <w:szCs w:val="23"/>
        </w:rPr>
        <w:t xml:space="preserve">• איזון משאבים</w:t>
      </w:r>
    </w:p>
    <w:p>
      <w:pPr>
        <w:bidi/>
        <w:spacing w:after="100"/>
        <w:jc w:val="right"/>
      </w:pPr>
      <w:r>
        <w:rPr>
          <w:rFonts w:ascii="Arial" w:cs="Arial" w:eastAsia="Arial" w:hAnsi="Arial"/>
          <w:sz w:val="23"/>
          <w:szCs w:val="23"/>
        </w:rPr>
        <w:t xml:space="preserve">• גט (ייתכן יתרון — אין עגינות)</w:t>
      </w:r>
    </w:p>
    <w:p>
      <w:pPr>
        <w:bidi/>
        <w:spacing w:after="100"/>
        <w:jc w:val="right"/>
      </w:pPr>
      <w:r>
        <w:rPr>
          <w:rFonts w:ascii="Arial" w:cs="Arial" w:eastAsia="Arial" w:hAnsi="Arial"/>
          <w:sz w:val="23"/>
          <w:szCs w:val="23"/>
        </w:rPr>
        <w:t xml:space="preserve">• אימוץ משותף — מורכב יותר</w:t>
      </w:r>
    </w:p>
    <w:p>
      <w:r>
        <w:rPr>
          <w:sz w:val="22"/>
          <w:szCs w:val="22"/>
        </w:rPr>
        <w:t xml:space="preserve"/>
      </w:r>
    </w:p>
    <w:p>
      <w:pPr>
        <w:pStyle w:val="Heading2"/>
        <w:jc w:val="right"/>
      </w:pPr>
      <w:r>
        <w:rPr>
          <w:rFonts w:ascii="Arial" w:cs="Arial" w:eastAsia="Arial" w:hAnsi="Arial"/>
          <w:b/>
          <w:bCs/>
          <w:color w:val="2E75B6"/>
          <w:sz w:val="30"/>
          <w:szCs w:val="30"/>
        </w:rPr>
        <w:t xml:space="preserve">כיצד מגנים על הזכויות?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40"/>
              <w:bottom w:type="dxa" w:w="140"/>
              <w:right w:type="dxa" w:w="240"/>
            </w:tcMar>
          </w:tcPr>
          <w:p>
            <w:pPr>
              <w:bidi/>
              <w:jc w:val="right"/>
            </w:pPr>
            <w:r>
              <w:rPr>
                <w:rFonts w:ascii="Arial" w:cs="Arial" w:eastAsia="Arial" w:hAnsi="Arial"/>
                <w:i/>
                <w:iCs/>
                <w:sz w:val="22"/>
                <w:szCs w:val="22"/>
              </w:rPr>
              <w:t xml:space="preserve">💡 עו"ד יניב גיל ממליץ: כל זוג ידועים בציבור שחי יחד מעל שנה — כדאי שיערוך צוואות הדדיות, הסכם ידועים בציבור, ויציין את בן הזוג כמוטב בפנסיה. עלות נמוכה, הגנה גדולה.</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ידועים בציבור — מדריך מלא   |   → הסכם ידועים בציבור</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2  |  URL: /heskem-yaduyim-batzibur.html  |  מילת מפתח: הסכם ידועים בציבור</w:t>
      </w:r>
    </w:p>
    <w:p>
      <w:r>
        <w:rPr>
          <w:sz w:val="22"/>
          <w:szCs w:val="22"/>
        </w:rPr>
        <w:t xml:space="preserve"/>
      </w:r>
    </w:p>
    <w:p>
      <w:pPr>
        <w:pStyle w:val="Heading1"/>
        <w:jc w:val="right"/>
      </w:pPr>
      <w:r>
        <w:rPr>
          <w:rFonts w:ascii="Arial" w:cs="Arial" w:eastAsia="Arial" w:hAnsi="Arial"/>
          <w:b/>
          <w:bCs/>
          <w:color w:val="1B4F8A"/>
          <w:sz w:val="40"/>
          <w:szCs w:val="40"/>
        </w:rPr>
        <w:t xml:space="preserve">הסכם ידועים בציבור — מה זה, מה כולל, ולמה כדאי</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מהו הסכם ידועים בציבור?</w:t>
      </w:r>
    </w:p>
    <w:p>
      <w:pPr>
        <w:bidi/>
        <w:spacing w:after="160"/>
        <w:jc w:val="right"/>
      </w:pPr>
      <w:r>
        <w:rPr>
          <w:rFonts w:ascii="Arial" w:cs="Arial" w:eastAsia="Arial" w:hAnsi="Arial"/>
          <w:sz w:val="23"/>
          <w:szCs w:val="23"/>
        </w:rPr>
        <w:t xml:space="preserve">הסכם ידועים בציבור הוא חוזה בין בני זוג שאינם נשואים רשמית, שמסדיר את מערכת היחסים הכלכלית ביניהם — רכוש, מזונות, ירושה, וזכויות שונות. הוא מקביל לשילוב של הסכם ממון וצוואה, מותאם למצב הספציפי של ידועים בציבור.</w:t>
      </w:r>
    </w:p>
    <w:p>
      <w:r>
        <w:rPr>
          <w:sz w:val="22"/>
          <w:szCs w:val="22"/>
        </w:rPr>
        <w:t xml:space="preserve"/>
      </w:r>
    </w:p>
    <w:p>
      <w:pPr>
        <w:pStyle w:val="Heading2"/>
        <w:jc w:val="right"/>
      </w:pPr>
      <w:r>
        <w:rPr>
          <w:rFonts w:ascii="Arial" w:cs="Arial" w:eastAsia="Arial" w:hAnsi="Arial"/>
          <w:b/>
          <w:bCs/>
          <w:color w:val="2E75B6"/>
          <w:sz w:val="30"/>
          <w:szCs w:val="30"/>
        </w:rPr>
        <w:t xml:space="preserve">מה ניתן לכלול?</w:t>
      </w:r>
    </w:p>
    <w:p>
      <w:pPr>
        <w:bidi/>
        <w:spacing w:after="100"/>
        <w:jc w:val="right"/>
      </w:pPr>
      <w:r>
        <w:rPr>
          <w:rFonts w:ascii="Arial" w:cs="Arial" w:eastAsia="Arial" w:hAnsi="Arial"/>
          <w:sz w:val="23"/>
          <w:szCs w:val="23"/>
        </w:rPr>
        <w:t xml:space="preserve">• הגדרת נכסים משותפים ונכסים נפרדים</w:t>
      </w:r>
    </w:p>
    <w:p>
      <w:pPr>
        <w:bidi/>
        <w:spacing w:after="100"/>
        <w:jc w:val="right"/>
      </w:pPr>
      <w:r>
        <w:rPr>
          <w:rFonts w:ascii="Arial" w:cs="Arial" w:eastAsia="Arial" w:hAnsi="Arial"/>
          <w:sz w:val="23"/>
          <w:szCs w:val="23"/>
        </w:rPr>
        <w:t xml:space="preserve">• קביעת חלוקת הרכוש בפרידה</w:t>
      </w:r>
    </w:p>
    <w:p>
      <w:pPr>
        <w:bidi/>
        <w:spacing w:after="100"/>
        <w:jc w:val="right"/>
      </w:pPr>
      <w:r>
        <w:rPr>
          <w:rFonts w:ascii="Arial" w:cs="Arial" w:eastAsia="Arial" w:hAnsi="Arial"/>
          <w:sz w:val="23"/>
          <w:szCs w:val="23"/>
        </w:rPr>
        <w:t xml:space="preserve">• הסכמה על מזונות / דמי מחיה</w:t>
      </w:r>
    </w:p>
    <w:p>
      <w:pPr>
        <w:bidi/>
        <w:spacing w:after="100"/>
        <w:jc w:val="right"/>
      </w:pPr>
      <w:r>
        <w:rPr>
          <w:rFonts w:ascii="Arial" w:cs="Arial" w:eastAsia="Arial" w:hAnsi="Arial"/>
          <w:sz w:val="23"/>
          <w:szCs w:val="23"/>
        </w:rPr>
        <w:t xml:space="preserve">• הגנה על ירושה — לצד ההסכם יש לעשות גם צוואה</w:t>
      </w:r>
    </w:p>
    <w:p>
      <w:pPr>
        <w:bidi/>
        <w:spacing w:after="100"/>
        <w:jc w:val="right"/>
      </w:pPr>
      <w:r>
        <w:rPr>
          <w:rFonts w:ascii="Arial" w:cs="Arial" w:eastAsia="Arial" w:hAnsi="Arial"/>
          <w:sz w:val="23"/>
          <w:szCs w:val="23"/>
        </w:rPr>
        <w:t xml:space="preserve">• זכויות לגבי ילדים (אם יש)</w:t>
      </w:r>
    </w:p>
    <w:p>
      <w:pPr>
        <w:bidi/>
        <w:spacing w:after="100"/>
        <w:jc w:val="right"/>
      </w:pPr>
      <w:r>
        <w:rPr>
          <w:rFonts w:ascii="Arial" w:cs="Arial" w:eastAsia="Arial" w:hAnsi="Arial"/>
          <w:sz w:val="23"/>
          <w:szCs w:val="23"/>
        </w:rPr>
        <w:t xml:space="preserve">• מה קורה בפטירת אחד הצדדים</w:t>
      </w:r>
    </w:p>
    <w:p>
      <w:r>
        <w:rPr>
          <w:sz w:val="22"/>
          <w:szCs w:val="22"/>
        </w:rPr>
        <w:t xml:space="preserve"/>
      </w:r>
    </w:p>
    <w:p>
      <w:pPr>
        <w:pStyle w:val="Heading2"/>
        <w:jc w:val="right"/>
      </w:pPr>
      <w:r>
        <w:rPr>
          <w:rFonts w:ascii="Arial" w:cs="Arial" w:eastAsia="Arial" w:hAnsi="Arial"/>
          <w:b/>
          <w:bCs/>
          <w:color w:val="2E75B6"/>
          <w:sz w:val="30"/>
          <w:szCs w:val="30"/>
        </w:rPr>
        <w:t xml:space="preserve">האם הסכם ידועים בציבור צריך אישור?</w:t>
      </w:r>
    </w:p>
    <w:p>
      <w:pPr>
        <w:bidi/>
        <w:spacing w:after="160"/>
        <w:jc w:val="right"/>
      </w:pPr>
      <w:r>
        <w:rPr>
          <w:rFonts w:ascii="Arial" w:cs="Arial" w:eastAsia="Arial" w:hAnsi="Arial"/>
          <w:sz w:val="23"/>
          <w:szCs w:val="23"/>
        </w:rPr>
        <w:t xml:space="preserve">שלא כמו הסכם ממון לנשואים — הסכם ידועים בציבור אינו דורש אישור בית משפט. אך מומלץ לאשרו בנוטריון — כדי לחזק את תוקפו ולמנוע טענות כפייה.</w:t>
      </w:r>
    </w:p>
    <w:p>
      <w:r>
        <w:rPr>
          <w:sz w:val="22"/>
          <w:szCs w:val="22"/>
        </w:rPr>
        <w:t xml:space="preserve"/>
      </w:r>
    </w:p>
    <w:p>
      <w:pPr>
        <w:pStyle w:val="Heading2"/>
        <w:jc w:val="right"/>
      </w:pPr>
      <w:r>
        <w:rPr>
          <w:rFonts w:ascii="Arial" w:cs="Arial" w:eastAsia="Arial" w:hAnsi="Arial"/>
          <w:b/>
          <w:bCs/>
          <w:color w:val="2E75B6"/>
          <w:sz w:val="30"/>
          <w:szCs w:val="30"/>
        </w:rPr>
        <w:t xml:space="preserve">מתי לחתום?</w:t>
      </w:r>
    </w:p>
    <w:p>
      <w:pPr>
        <w:bidi/>
        <w:spacing w:after="160"/>
        <w:jc w:val="right"/>
      </w:pPr>
      <w:r>
        <w:rPr>
          <w:rFonts w:ascii="Arial" w:cs="Arial" w:eastAsia="Arial" w:hAnsi="Arial"/>
          <w:sz w:val="23"/>
          <w:szCs w:val="23"/>
        </w:rPr>
        <w:t xml:space="preserve">מוקדם ככל האפשר — לא בזמן משבר. הסכם שנחתם בתחילת הדרך, מרצון, עם ייצוג לכל צד — הוא הסכם חזק. הסכם שנחתם כשכבר יש סכסוך — פגיע יותר.</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w:t>
      </w:r>
    </w:p>
    <w:p>
      <w:pPr>
        <w:bidi/>
        <w:spacing w:before="200" w:after="80"/>
        <w:jc w:val="right"/>
      </w:pPr>
      <w:r>
        <w:rPr>
          <w:rFonts w:ascii="Arial" w:cs="Arial" w:eastAsia="Arial" w:hAnsi="Arial"/>
          <w:b/>
          <w:bCs/>
          <w:color w:val="1B4F8A"/>
          <w:sz w:val="23"/>
          <w:szCs w:val="23"/>
        </w:rPr>
        <w:t xml:space="preserve">האם הסכם ידועים בציבור מחליף צוואה ?</w:t>
      </w:r>
    </w:p>
    <w:p>
      <w:pPr>
        <w:bidi/>
        <w:spacing w:after="180"/>
        <w:jc w:val="right"/>
      </w:pPr>
      <w:r>
        <w:rPr>
          <w:rFonts w:ascii="Arial" w:cs="Arial" w:eastAsia="Arial" w:hAnsi="Arial"/>
          <w:color w:val="333333"/>
          <w:sz w:val="23"/>
          <w:szCs w:val="23"/>
        </w:rPr>
        <w:t xml:space="preserve">לא — הם משלימים זה את זה. הסכם ידועים בציבור מסדיר חלוקת רכוש בחיים ובפרידה. צוואה מסדירה ירושה לאחר מוות. כדאי לעשות את שניהם.</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עדיף — הסכם ידועים בציבור או נישואין ?</w:t>
      </w:r>
    </w:p>
    <w:p>
      <w:pPr>
        <w:bidi/>
        <w:spacing w:after="180"/>
        <w:jc w:val="right"/>
      </w:pPr>
      <w:r>
        <w:rPr>
          <w:rFonts w:ascii="Arial" w:cs="Arial" w:eastAsia="Arial" w:hAnsi="Arial"/>
          <w:color w:val="333333"/>
          <w:sz w:val="23"/>
          <w:szCs w:val="23"/>
        </w:rPr>
        <w:t xml:space="preserve">זה תלוי בנסיבות. נישואין מספקים הגנות אוטומטיות — ירושה, מזונות, איזון משאבים. אך הם גם מחייבים גט. ידועים בציבור עם הסכם טוב יכולים להשיג רוב ההגנות הללו — אך צריך לפעול אקטיבית לעגנן.</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זכויות ידועים בציבור   |   → ירושה ידועים בציבור</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3  |  URL: /yerusha-yaduyim-batzibur.html  |  מילת מפתח: ירושה ידועים בציבור</w:t>
      </w:r>
    </w:p>
    <w:p>
      <w:r>
        <w:rPr>
          <w:sz w:val="22"/>
          <w:szCs w:val="22"/>
        </w:rPr>
        <w:t xml:space="preserve"/>
      </w:r>
    </w:p>
    <w:p>
      <w:pPr>
        <w:pStyle w:val="Heading1"/>
        <w:jc w:val="right"/>
      </w:pPr>
      <w:r>
        <w:rPr>
          <w:rFonts w:ascii="Arial" w:cs="Arial" w:eastAsia="Arial" w:hAnsi="Arial"/>
          <w:b/>
          <w:bCs/>
          <w:color w:val="1B4F8A"/>
          <w:sz w:val="40"/>
          <w:szCs w:val="40"/>
        </w:rPr>
        <w:t xml:space="preserve">ירושה של ידועים בציבור — כיצד מבטיחים שבן הזוג יירש</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הסכנה: ידועים בציבור לא יורשים אוטומטית</w:t>
      </w:r>
    </w:p>
    <w:p>
      <w:pPr>
        <w:bidi/>
        <w:spacing w:after="160"/>
        <w:jc w:val="right"/>
      </w:pPr>
      <w:r>
        <w:rPr>
          <w:rFonts w:ascii="Arial" w:cs="Arial" w:eastAsia="Arial" w:hAnsi="Arial"/>
          <w:sz w:val="23"/>
          <w:szCs w:val="23"/>
        </w:rPr>
        <w:t xml:space="preserve">זוהי אחת הפגיעות הגדולות ביותר של ידועים בציבור. כאשר אחד הצדדים נפטר ללא צוואה — הרכוש עובר לפי חוק הירושה: לילדים, להורים, לאחים — אך לא לבן הזוג הידוע בציבור, גם אם חיו יחד 30 שנה.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pPr>
              <w:bidi/>
              <w:jc w:val="right"/>
            </w:pPr>
            <w:r>
              <w:rPr>
                <w:rFonts w:ascii="Arial" w:cs="Arial" w:eastAsia="Arial" w:hAnsi="Arial"/>
                <w:i/>
                <w:iCs/>
                <w:sz w:val="22"/>
                <w:szCs w:val="22"/>
              </w:rPr>
              <w:t xml:space="preserve">⚠️ ידועים בציבור ללא צוואה — בני זוגכם אינם יורשים! זהו אחד המצבים הכואבים ביותר שאנו רואים: בן/ת זוג נשארים ללא בית, ללא כסף, מתמודדים עם ילדי הנפטר/ת שתובעים הכל.</w:t>
            </w:r>
          </w:p>
        </w:tc>
      </w:tr>
    </w:tbl>
    <w:p>
      <w:r>
        <w:rPr>
          <w:sz w:val="22"/>
          <w:szCs w:val="22"/>
        </w:rPr>
        <w:t xml:space="preserve"/>
      </w:r>
    </w:p>
    <w:p>
      <w:pPr>
        <w:pStyle w:val="Heading2"/>
        <w:jc w:val="right"/>
      </w:pPr>
      <w:r>
        <w:rPr>
          <w:rFonts w:ascii="Arial" w:cs="Arial" w:eastAsia="Arial" w:hAnsi="Arial"/>
          <w:b/>
          <w:bCs/>
          <w:color w:val="2E75B6"/>
          <w:sz w:val="30"/>
          <w:szCs w:val="30"/>
        </w:rPr>
        <w:t xml:space="preserve">הפתרון: צוואה</w:t>
      </w:r>
    </w:p>
    <w:p>
      <w:pPr>
        <w:bidi/>
        <w:spacing w:after="160"/>
        <w:jc w:val="right"/>
      </w:pPr>
      <w:r>
        <w:rPr>
          <w:rFonts w:ascii="Arial" w:cs="Arial" w:eastAsia="Arial" w:hAnsi="Arial"/>
          <w:sz w:val="23"/>
          <w:szCs w:val="23"/>
        </w:rPr>
        <w:t xml:space="preserve">הדרך הטובה ביותר להבטיח שבן הזוג הידוע בציבור יירש — היא צוואה מפורשת. צוואה חוקית ותקינה גוברת על חוק הירושה.</w:t>
      </w:r>
    </w:p>
    <w:p>
      <w:pPr>
        <w:bidi/>
        <w:spacing w:after="160"/>
        <w:jc w:val="right"/>
      </w:pPr>
      <w:r>
        <w:rPr>
          <w:rFonts w:ascii="Arial" w:cs="Arial" w:eastAsia="Arial" w:hAnsi="Arial"/>
          <w:sz w:val="23"/>
          <w:szCs w:val="23"/>
        </w:rPr>
        <w:t xml:space="preserve">צוואה צריכה להיות: כתובה בכתב יד לחלוטין (צוואה הולוגרפית) או חתומה בפני עדים כשרים, או מאושרת בנוטריון. מומלץ מאוד לנסח צוואה עם עורך דין.</w:t>
      </w:r>
    </w:p>
    <w:p>
      <w:r>
        <w:rPr>
          <w:sz w:val="22"/>
          <w:szCs w:val="22"/>
        </w:rPr>
        <w:t xml:space="preserve"/>
      </w:r>
    </w:p>
    <w:p>
      <w:pPr>
        <w:pStyle w:val="Heading2"/>
        <w:jc w:val="right"/>
      </w:pPr>
      <w:r>
        <w:rPr>
          <w:rFonts w:ascii="Arial" w:cs="Arial" w:eastAsia="Arial" w:hAnsi="Arial"/>
          <w:b/>
          <w:bCs/>
          <w:color w:val="2E75B6"/>
          <w:sz w:val="30"/>
          <w:szCs w:val="30"/>
        </w:rPr>
        <w:t xml:space="preserve">'תלוי' לפי חוק הירושה — גם ללא צוואה</w:t>
      </w:r>
    </w:p>
    <w:p>
      <w:pPr>
        <w:bidi/>
        <w:spacing w:after="160"/>
        <w:jc w:val="right"/>
      </w:pPr>
      <w:r>
        <w:rPr>
          <w:rFonts w:ascii="Arial" w:cs="Arial" w:eastAsia="Arial" w:hAnsi="Arial"/>
          <w:sz w:val="23"/>
          <w:szCs w:val="23"/>
        </w:rPr>
        <w:t xml:space="preserve">חוק הירושה מכיר בזכות של 'תלוי' לקבל 'מה שהיה מקבל לולא מות המוריש'. אם ידוע/ה בציבור היה/ה תלוי/ה כלכלית בנפטר/ת — יכול/ה לתבוע מהעיזבון.</w:t>
      </w:r>
    </w:p>
    <w:p>
      <w:pPr>
        <w:bidi/>
        <w:spacing w:after="160"/>
        <w:jc w:val="right"/>
      </w:pPr>
      <w:r>
        <w:rPr>
          <w:rFonts w:ascii="Arial" w:cs="Arial" w:eastAsia="Arial" w:hAnsi="Arial"/>
          <w:sz w:val="23"/>
          <w:szCs w:val="23"/>
        </w:rPr>
        <w:t xml:space="preserve">אך זה הליך משפטי מורכב ולא מובטח. צוואה פשוטה הרבה יותר.</w:t>
      </w:r>
    </w:p>
    <w:p>
      <w:r>
        <w:rPr>
          <w:sz w:val="22"/>
          <w:szCs w:val="22"/>
        </w:rPr>
        <w:t xml:space="preserve"/>
      </w:r>
    </w:p>
    <w:p>
      <w:pPr>
        <w:pStyle w:val="Heading2"/>
        <w:jc w:val="right"/>
      </w:pPr>
      <w:r>
        <w:rPr>
          <w:rFonts w:ascii="Arial" w:cs="Arial" w:eastAsia="Arial" w:hAnsi="Arial"/>
          <w:b/>
          <w:bCs/>
          <w:color w:val="2E75B6"/>
          <w:sz w:val="30"/>
          <w:szCs w:val="30"/>
        </w:rPr>
        <w:t xml:space="preserve">מה עם פנסיה?</w:t>
      </w:r>
    </w:p>
    <w:p>
      <w:pPr>
        <w:bidi/>
        <w:spacing w:after="160"/>
        <w:jc w:val="right"/>
      </w:pPr>
      <w:r>
        <w:rPr>
          <w:rFonts w:ascii="Arial" w:cs="Arial" w:eastAsia="Arial" w:hAnsi="Arial"/>
          <w:sz w:val="23"/>
          <w:szCs w:val="23"/>
        </w:rPr>
        <w:t xml:space="preserve">בפנסיה, הכסף עובר למוטב שצוין — לא לפי צוואה ולא לפי חוק ירושה. יש לעדכן את רשימת המוטבים בכל קרנות הפנסיה, הביטוח, וחסכונות אחרים.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40"/>
              <w:bottom w:type="dxa" w:w="140"/>
              <w:right w:type="dxa" w:w="240"/>
            </w:tcMar>
          </w:tcPr>
          <w:p>
            <w:pPr>
              <w:bidi/>
              <w:jc w:val="right"/>
            </w:pPr>
            <w:r>
              <w:rPr>
                <w:rFonts w:ascii="Arial" w:cs="Arial" w:eastAsia="Arial" w:hAnsi="Arial"/>
                <w:i/>
                <w:iCs/>
                <w:sz w:val="22"/>
                <w:szCs w:val="22"/>
              </w:rPr>
              <w:t xml:space="preserve">💡 בדקו היום מי רשום כמוטב בפנסיה שלכם. אם לא עדכנתם — בן הזוג שלכם לא יקבל כלום לאחר פטירתכם.</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ידועים בציבור   |   → פרידה של ידועים בציבור</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4  |  URL: /prida-yaduyim-batzibur.html  |  מילת מפתח: פרידה ידועים בציבור</w:t>
      </w:r>
    </w:p>
    <w:p>
      <w:r>
        <w:rPr>
          <w:sz w:val="22"/>
          <w:szCs w:val="22"/>
        </w:rPr>
        <w:t xml:space="preserve"/>
      </w:r>
    </w:p>
    <w:p>
      <w:pPr>
        <w:pStyle w:val="Heading1"/>
        <w:jc w:val="right"/>
      </w:pPr>
      <w:r>
        <w:rPr>
          <w:rFonts w:ascii="Arial" w:cs="Arial" w:eastAsia="Arial" w:hAnsi="Arial"/>
          <w:b/>
          <w:bCs/>
          <w:color w:val="1B4F8A"/>
          <w:sz w:val="40"/>
          <w:szCs w:val="40"/>
        </w:rPr>
        <w:t xml:space="preserve">פרידה של ידועים בציבור — חלוקת רכוש, מזונות, וילדים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אין 'גירושין' — אך יש פרידה מורכבת</w:t>
      </w:r>
    </w:p>
    <w:p>
      <w:pPr>
        <w:bidi/>
        <w:spacing w:after="160"/>
        <w:jc w:val="right"/>
      </w:pPr>
      <w:r>
        <w:rPr>
          <w:rFonts w:ascii="Arial" w:cs="Arial" w:eastAsia="Arial" w:hAnsi="Arial"/>
          <w:sz w:val="23"/>
          <w:szCs w:val="23"/>
        </w:rPr>
        <w:t xml:space="preserve">ידועים בציבור שנפרדים אינם עוברים 'גירושין' רשמיים — אין גט, אין הסכם גירושין שחייב אישור בית משפט. אבל זה לא אומר שהפרידה פשוטה. יש רכוש לחלק, לפעמים ילדים, ולעיתים תביעות מזונות.</w:t>
      </w:r>
    </w:p>
    <w:p>
      <w:r>
        <w:rPr>
          <w:sz w:val="22"/>
          <w:szCs w:val="22"/>
        </w:rPr>
        <w:t xml:space="preserve"/>
      </w:r>
    </w:p>
    <w:p>
      <w:pPr>
        <w:pStyle w:val="Heading2"/>
        <w:jc w:val="right"/>
      </w:pPr>
      <w:r>
        <w:rPr>
          <w:rFonts w:ascii="Arial" w:cs="Arial" w:eastAsia="Arial" w:hAnsi="Arial"/>
          <w:b/>
          <w:bCs/>
          <w:color w:val="2E75B6"/>
          <w:sz w:val="30"/>
          <w:szCs w:val="30"/>
        </w:rPr>
        <w:t xml:space="preserve">חלוקת רכוש בפרידה</w:t>
      </w:r>
    </w:p>
    <w:p>
      <w:pPr>
        <w:pStyle w:val="Heading3"/>
        <w:jc w:val="right"/>
      </w:pPr>
      <w:r>
        <w:rPr>
          <w:rFonts w:ascii="Arial" w:cs="Arial" w:eastAsia="Arial" w:hAnsi="Arial"/>
          <w:b/>
          <w:bCs/>
          <w:color w:val="1F5C8B"/>
          <w:sz w:val="26"/>
          <w:szCs w:val="26"/>
        </w:rPr>
        <w:t xml:space="preserve">ברירת המחדל: מה רשום — שלך</w:t>
      </w:r>
    </w:p>
    <w:p>
      <w:pPr>
        <w:bidi/>
        <w:spacing w:after="160"/>
        <w:jc w:val="right"/>
      </w:pPr>
      <w:r>
        <w:rPr>
          <w:rFonts w:ascii="Arial" w:cs="Arial" w:eastAsia="Arial" w:hAnsi="Arial"/>
          <w:sz w:val="23"/>
          <w:szCs w:val="23"/>
        </w:rPr>
        <w:t xml:space="preserve">בניגוד לנשואים, ידועים בציבור אינם נהנים מ'איזון משאבים' אוטומטי. כלל הבסיס: מה שרשום על שמך — שלך. מה שרשום על שניכם — שייך לשניכם חצי-חצי.</w:t>
      </w:r>
    </w:p>
    <w:p>
      <w:pPr>
        <w:pStyle w:val="Heading3"/>
        <w:jc w:val="right"/>
      </w:pPr>
      <w:r>
        <w:rPr>
          <w:rFonts w:ascii="Arial" w:cs="Arial" w:eastAsia="Arial" w:hAnsi="Arial"/>
          <w:b/>
          <w:bCs/>
          <w:color w:val="1F5C8B"/>
          <w:sz w:val="26"/>
          <w:szCs w:val="26"/>
        </w:rPr>
        <w:t xml:space="preserve">חריג: שיתוף ספציפי</w:t>
      </w:r>
    </w:p>
    <w:p>
      <w:pPr>
        <w:bidi/>
        <w:spacing w:after="160"/>
        <w:jc w:val="right"/>
      </w:pPr>
      <w:r>
        <w:rPr>
          <w:rFonts w:ascii="Arial" w:cs="Arial" w:eastAsia="Arial" w:hAnsi="Arial"/>
          <w:sz w:val="23"/>
          <w:szCs w:val="23"/>
        </w:rPr>
        <w:t xml:space="preserve">בית המשפט יכיר ב'שיתוף ספציפי' בנכסים — גם אם נרשמו על שם אחד בלבד — אם יוכח שהיה כוונה לשתף. לדוגמה: שני הצדדים שילמו יחד על הדירה אך היא נרשמה רק על שם אחד.</w:t>
      </w:r>
    </w:p>
    <w:p>
      <w:r>
        <w:rPr>
          <w:sz w:val="22"/>
          <w:szCs w:val="22"/>
        </w:rPr>
        <w:t xml:space="preserve"/>
      </w:r>
    </w:p>
    <w:p>
      <w:pPr>
        <w:pStyle w:val="Heading2"/>
        <w:jc w:val="right"/>
      </w:pPr>
      <w:r>
        <w:rPr>
          <w:rFonts w:ascii="Arial" w:cs="Arial" w:eastAsia="Arial" w:hAnsi="Arial"/>
          <w:b/>
          <w:bCs/>
          <w:color w:val="2E75B6"/>
          <w:sz w:val="30"/>
          <w:szCs w:val="30"/>
        </w:rPr>
        <w:t xml:space="preserve">מזונות בפרידה — האם מגיע?</w:t>
      </w:r>
    </w:p>
    <w:p>
      <w:pPr>
        <w:bidi/>
        <w:spacing w:after="160"/>
        <w:jc w:val="right"/>
      </w:pPr>
      <w:r>
        <w:rPr>
          <w:rFonts w:ascii="Arial" w:cs="Arial" w:eastAsia="Arial" w:hAnsi="Arial"/>
          <w:sz w:val="23"/>
          <w:szCs w:val="23"/>
        </w:rPr>
        <w:t xml:space="preserve">אין חיוב מזונות אוטומטי לידועים בציבור שנפרדים. אך בית המשפט יכול לפסוק 'דמי מחיה' במקרים שבהם:</w:t>
      </w:r>
    </w:p>
    <w:p>
      <w:pPr>
        <w:bidi/>
        <w:spacing w:after="100"/>
        <w:jc w:val="right"/>
      </w:pPr>
      <w:r>
        <w:rPr>
          <w:rFonts w:ascii="Arial" w:cs="Arial" w:eastAsia="Arial" w:hAnsi="Arial"/>
          <w:sz w:val="23"/>
          <w:szCs w:val="23"/>
        </w:rPr>
        <w:t xml:space="preserve">• אחד הצדדים ויתר על קריירה לטובת הזוגיות</w:t>
      </w:r>
    </w:p>
    <w:p>
      <w:pPr>
        <w:bidi/>
        <w:spacing w:after="100"/>
        <w:jc w:val="right"/>
      </w:pPr>
      <w:r>
        <w:rPr>
          <w:rFonts w:ascii="Arial" w:cs="Arial" w:eastAsia="Arial" w:hAnsi="Arial"/>
          <w:sz w:val="23"/>
          <w:szCs w:val="23"/>
        </w:rPr>
        <w:t xml:space="preserve">• תלות כלכלית ממשית שנוצרה</w:t>
      </w:r>
    </w:p>
    <w:p>
      <w:pPr>
        <w:bidi/>
        <w:spacing w:after="100"/>
        <w:jc w:val="right"/>
      </w:pPr>
      <w:r>
        <w:rPr>
          <w:rFonts w:ascii="Arial" w:cs="Arial" w:eastAsia="Arial" w:hAnsi="Arial"/>
          <w:sz w:val="23"/>
          <w:szCs w:val="23"/>
        </w:rPr>
        <w:t xml:space="preserve">• שהות עם ילדים שמגבילה עבודה</w:t>
      </w:r>
    </w:p>
    <w:p>
      <w:pPr>
        <w:bidi/>
        <w:spacing w:after="160"/>
        <w:jc w:val="right"/>
      </w:pPr>
      <w:r>
        <w:rPr>
          <w:rFonts w:ascii="Arial" w:cs="Arial" w:eastAsia="Arial" w:hAnsi="Arial"/>
          <w:sz w:val="23"/>
          <w:szCs w:val="23"/>
        </w:rPr>
        <w:t xml:space="preserve">ה'דמי מחיה' דומים למזונות אישה, אך קשה יותר לתבוע אותם.</w:t>
      </w:r>
    </w:p>
    <w:p>
      <w:r>
        <w:rPr>
          <w:sz w:val="22"/>
          <w:szCs w:val="22"/>
        </w:rPr>
        <w:t xml:space="preserve"/>
      </w:r>
    </w:p>
    <w:p>
      <w:pPr>
        <w:pStyle w:val="Heading2"/>
        <w:jc w:val="right"/>
      </w:pPr>
      <w:r>
        <w:rPr>
          <w:rFonts w:ascii="Arial" w:cs="Arial" w:eastAsia="Arial" w:hAnsi="Arial"/>
          <w:b/>
          <w:bCs/>
          <w:color w:val="2E75B6"/>
          <w:sz w:val="30"/>
          <w:szCs w:val="30"/>
        </w:rPr>
        <w:t xml:space="preserve">ילדים בפרידה של ידועים בציבור</w:t>
      </w:r>
    </w:p>
    <w:p>
      <w:pPr>
        <w:bidi/>
        <w:spacing w:after="160"/>
        <w:jc w:val="right"/>
      </w:pPr>
      <w:r>
        <w:rPr>
          <w:rFonts w:ascii="Arial" w:cs="Arial" w:eastAsia="Arial" w:hAnsi="Arial"/>
          <w:sz w:val="23"/>
          <w:szCs w:val="23"/>
        </w:rPr>
        <w:t xml:space="preserve">ילדים של ידועים בציבור — זכויותיהם זהות לחלוטין לילדים של נשואים. משמורת / זמני שהות (המונח המשפטי המעודכן), מזונות ילדים, זכות לירושת שני ההורים — כל אלה נקבעים אותו אופן.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40"/>
              <w:left w:type="dxa" w:w="240"/>
              <w:bottom w:type="dxa" w:w="140"/>
              <w:right w:type="dxa" w:w="240"/>
            </w:tcMar>
          </w:tcPr>
          <w:p>
            <w:pPr>
              <w:bidi/>
              <w:jc w:val="right"/>
            </w:pPr>
            <w:r>
              <w:rPr>
                <w:rFonts w:ascii="Arial" w:cs="Arial" w:eastAsia="Arial" w:hAnsi="Arial"/>
                <w:i/>
                <w:iCs/>
                <w:sz w:val="22"/>
                <w:szCs w:val="22"/>
              </w:rPr>
              <w:t xml:space="preserve">הערת מונחים: 'משמורת' הוא המונח הנפוץ בחיפוש. המונח המשפטי העדכני (תיקון 14, 2021) הוא 'זמני שהות' ו'אחריות הורית'. שניהם נכונים ומשמשים בפסיקה.</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ירושה ידועים בציבור   |   → ידועים בציבור וביטוח לאומי</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5  |  URL: /yaduyim-batzibur-bituach-leumi.html  |  מילת מפתח: ידועים בציבור ביטוח לאומי</w:t>
      </w:r>
    </w:p>
    <w:p>
      <w:r>
        <w:rPr>
          <w:sz w:val="22"/>
          <w:szCs w:val="22"/>
        </w:rPr>
        <w:t xml:space="preserve"/>
      </w:r>
    </w:p>
    <w:p>
      <w:pPr>
        <w:pStyle w:val="Heading1"/>
        <w:jc w:val="right"/>
      </w:pPr>
      <w:r>
        <w:rPr>
          <w:rFonts w:ascii="Arial" w:cs="Arial" w:eastAsia="Arial" w:hAnsi="Arial"/>
          <w:b/>
          <w:bCs/>
          <w:color w:val="1B4F8A"/>
          <w:sz w:val="40"/>
          <w:szCs w:val="40"/>
        </w:rPr>
        <w:t xml:space="preserve">ידועים בציבור וביטוח לאומי — הזכויות, ההכרה, וכיצד מוכיחים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האם ביטוח לאומי מכיר בידועים בציבור?</w:t>
      </w:r>
    </w:p>
    <w:p>
      <w:pPr>
        <w:bidi/>
        <w:spacing w:after="160"/>
        <w:jc w:val="right"/>
      </w:pPr>
      <w:r>
        <w:rPr>
          <w:rFonts w:ascii="Arial" w:cs="Arial" w:eastAsia="Arial" w:hAnsi="Arial"/>
          <w:sz w:val="23"/>
          <w:szCs w:val="23"/>
        </w:rPr>
        <w:t xml:space="preserve">כן — המוסד לביטוח לאומי מכיר בידועים בציבור לצרכים שונים. ההכרה אינה אוטומטית — יש להגיש בקשה עם הוכחות.</w:t>
      </w:r>
    </w:p>
    <w:p>
      <w:r>
        <w:rPr>
          <w:sz w:val="22"/>
          <w:szCs w:val="22"/>
        </w:rPr>
        <w:t xml:space="preserve"/>
      </w:r>
    </w:p>
    <w:p>
      <w:pPr>
        <w:pStyle w:val="Heading2"/>
        <w:jc w:val="right"/>
      </w:pPr>
      <w:r>
        <w:rPr>
          <w:rFonts w:ascii="Arial" w:cs="Arial" w:eastAsia="Arial" w:hAnsi="Arial"/>
          <w:b/>
          <w:bCs/>
          <w:color w:val="2E75B6"/>
          <w:sz w:val="30"/>
          <w:szCs w:val="30"/>
        </w:rPr>
        <w:t xml:space="preserve">הזכויות הרלוונטיות</w:t>
      </w:r>
    </w:p>
    <w:p>
      <w:pPr>
        <w:pStyle w:val="Heading3"/>
        <w:jc w:val="right"/>
      </w:pPr>
      <w:r>
        <w:rPr>
          <w:rFonts w:ascii="Arial" w:cs="Arial" w:eastAsia="Arial" w:hAnsi="Arial"/>
          <w:b/>
          <w:bCs/>
          <w:color w:val="1F5C8B"/>
          <w:sz w:val="26"/>
          <w:szCs w:val="26"/>
        </w:rPr>
        <w:t xml:space="preserve">קצבת שאירים</w:t>
      </w:r>
    </w:p>
    <w:p>
      <w:pPr>
        <w:bidi/>
        <w:spacing w:after="160"/>
        <w:jc w:val="right"/>
      </w:pPr>
      <w:r>
        <w:rPr>
          <w:rFonts w:ascii="Arial" w:cs="Arial" w:eastAsia="Arial" w:hAnsi="Arial"/>
          <w:sz w:val="23"/>
          <w:szCs w:val="23"/>
        </w:rPr>
        <w:t xml:space="preserve">בן/ת זוג ידוע/ה בציבור זכאי/ת לקצבת שאירים לאחר פטירת בן הזוג — בתנאי שהוכח הסטטוס. הקצבה מחושבת כמו לבן זוג נשוי.</w:t>
      </w:r>
    </w:p>
    <w:p>
      <w:pPr>
        <w:pStyle w:val="Heading3"/>
        <w:jc w:val="right"/>
      </w:pPr>
      <w:r>
        <w:rPr>
          <w:rFonts w:ascii="Arial" w:cs="Arial" w:eastAsia="Arial" w:hAnsi="Arial"/>
          <w:b/>
          <w:bCs/>
          <w:color w:val="1F5C8B"/>
          <w:sz w:val="26"/>
          <w:szCs w:val="26"/>
        </w:rPr>
        <w:t xml:space="preserve">דמי לידה</w:t>
      </w:r>
    </w:p>
    <w:p>
      <w:pPr>
        <w:bidi/>
        <w:spacing w:after="160"/>
        <w:jc w:val="right"/>
      </w:pPr>
      <w:r>
        <w:rPr>
          <w:rFonts w:ascii="Arial" w:cs="Arial" w:eastAsia="Arial" w:hAnsi="Arial"/>
          <w:sz w:val="23"/>
          <w:szCs w:val="23"/>
        </w:rPr>
        <w:t xml:space="preserve">אישה ידועה בציבור זכאית לדמי לידה — זכות זו אינה תלויה בנישואין אלא בעצם העסקה ותשלום דמי ביטוח.</w:t>
      </w:r>
    </w:p>
    <w:p>
      <w:pPr>
        <w:pStyle w:val="Heading3"/>
        <w:jc w:val="right"/>
      </w:pPr>
      <w:r>
        <w:rPr>
          <w:rFonts w:ascii="Arial" w:cs="Arial" w:eastAsia="Arial" w:hAnsi="Arial"/>
          <w:b/>
          <w:bCs/>
          <w:color w:val="1F5C8B"/>
          <w:sz w:val="26"/>
          <w:szCs w:val="26"/>
        </w:rPr>
        <w:t xml:space="preserve">פגיעה בעבודה</w:t>
      </w:r>
    </w:p>
    <w:p>
      <w:pPr>
        <w:bidi/>
        <w:spacing w:after="160"/>
        <w:jc w:val="right"/>
      </w:pPr>
      <w:r>
        <w:rPr>
          <w:rFonts w:ascii="Arial" w:cs="Arial" w:eastAsia="Arial" w:hAnsi="Arial"/>
          <w:sz w:val="23"/>
          <w:szCs w:val="23"/>
        </w:rPr>
        <w:t xml:space="preserve">בן זוג ידוע בציבור של נפגע עבודה מוכר כשאיר לצרכי קצבה — בהתאם לסטטוס שיוכח.</w:t>
      </w:r>
    </w:p>
    <w:p>
      <w:r>
        <w:rPr>
          <w:sz w:val="22"/>
          <w:szCs w:val="22"/>
        </w:rPr>
        <w:t xml:space="preserve"/>
      </w:r>
    </w:p>
    <w:p>
      <w:pPr>
        <w:pStyle w:val="Heading2"/>
        <w:jc w:val="right"/>
      </w:pPr>
      <w:r>
        <w:rPr>
          <w:rFonts w:ascii="Arial" w:cs="Arial" w:eastAsia="Arial" w:hAnsi="Arial"/>
          <w:b/>
          <w:bCs/>
          <w:color w:val="2E75B6"/>
          <w:sz w:val="30"/>
          <w:szCs w:val="30"/>
        </w:rPr>
        <w:t xml:space="preserve">כיצד מוכיחים את הסטטוס לביטוח לאומי?</w:t>
      </w:r>
    </w:p>
    <w:p>
      <w:pPr>
        <w:bidi/>
        <w:spacing w:after="160"/>
        <w:jc w:val="right"/>
      </w:pPr>
      <w:r>
        <w:rPr>
          <w:rFonts w:ascii="Arial" w:cs="Arial" w:eastAsia="Arial" w:hAnsi="Arial"/>
          <w:sz w:val="23"/>
          <w:szCs w:val="23"/>
        </w:rPr>
        <w:t xml:space="preserve">ביטוח לאומי בוחן ראיות מגוונות:</w:t>
      </w:r>
    </w:p>
    <w:p>
      <w:pPr>
        <w:bidi/>
        <w:spacing w:after="100"/>
        <w:jc w:val="right"/>
      </w:pPr>
      <w:r>
        <w:rPr>
          <w:rFonts w:ascii="Arial" w:cs="Arial" w:eastAsia="Arial" w:hAnsi="Arial"/>
          <w:sz w:val="23"/>
          <w:szCs w:val="23"/>
        </w:rPr>
        <w:t xml:space="preserve">• טופס הצהרה על ידועים בציבור — ניתן להגיש מראש</w:t>
      </w:r>
    </w:p>
    <w:p>
      <w:pPr>
        <w:bidi/>
        <w:spacing w:after="100"/>
        <w:jc w:val="right"/>
      </w:pPr>
      <w:r>
        <w:rPr>
          <w:rFonts w:ascii="Arial" w:cs="Arial" w:eastAsia="Arial" w:hAnsi="Arial"/>
          <w:sz w:val="23"/>
          <w:szCs w:val="23"/>
        </w:rPr>
        <w:t xml:space="preserve">• חוזה שכירות משותף</w:t>
      </w:r>
    </w:p>
    <w:p>
      <w:pPr>
        <w:bidi/>
        <w:spacing w:after="100"/>
        <w:jc w:val="right"/>
      </w:pPr>
      <w:r>
        <w:rPr>
          <w:rFonts w:ascii="Arial" w:cs="Arial" w:eastAsia="Arial" w:hAnsi="Arial"/>
          <w:sz w:val="23"/>
          <w:szCs w:val="23"/>
        </w:rPr>
        <w:t xml:space="preserve">• חשבונות על שניהם (ארנונה, חשמל, גז)</w:t>
      </w:r>
    </w:p>
    <w:p>
      <w:pPr>
        <w:bidi/>
        <w:spacing w:after="100"/>
        <w:jc w:val="right"/>
      </w:pPr>
      <w:r>
        <w:rPr>
          <w:rFonts w:ascii="Arial" w:cs="Arial" w:eastAsia="Arial" w:hAnsi="Arial"/>
          <w:sz w:val="23"/>
          <w:szCs w:val="23"/>
        </w:rPr>
        <w:t xml:space="preserve">• עדויות שכנים, חברים, בני משפחה</w:t>
      </w:r>
    </w:p>
    <w:p>
      <w:pPr>
        <w:bidi/>
        <w:spacing w:after="100"/>
        <w:jc w:val="right"/>
      </w:pPr>
      <w:r>
        <w:rPr>
          <w:rFonts w:ascii="Arial" w:cs="Arial" w:eastAsia="Arial" w:hAnsi="Arial"/>
          <w:sz w:val="23"/>
          <w:szCs w:val="23"/>
        </w:rPr>
        <w:t xml:space="preserve">• ביטוחים משותפים</w:t>
      </w:r>
    </w:p>
    <w:p>
      <w:pPr>
        <w:bidi/>
        <w:spacing w:after="100"/>
        <w:jc w:val="right"/>
      </w:pPr>
      <w:r>
        <w:rPr>
          <w:rFonts w:ascii="Arial" w:cs="Arial" w:eastAsia="Arial" w:hAnsi="Arial"/>
          <w:sz w:val="23"/>
          <w:szCs w:val="23"/>
        </w:rPr>
        <w:t xml:space="preserve">• תמונות ומסמכים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40"/>
              <w:bottom w:type="dxa" w:w="140"/>
              <w:right w:type="dxa" w:w="240"/>
            </w:tcMar>
          </w:tcPr>
          <w:p>
            <w:pPr>
              <w:bidi/>
              <w:jc w:val="right"/>
            </w:pPr>
            <w:r>
              <w:rPr>
                <w:rFonts w:ascii="Arial" w:cs="Arial" w:eastAsia="Arial" w:hAnsi="Arial"/>
                <w:i/>
                <w:iCs/>
                <w:sz w:val="22"/>
                <w:szCs w:val="22"/>
              </w:rPr>
              <w:t xml:space="preserve">💡 כדאי להגיש הצהרת ידועים בציבור לביטוח לאומי עוד בזמן חיים — כדי שלא צריך להיאבק על ההכרה לאחר פטירה.</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לא מוכר בביטוח לאומי?</w:t>
      </w:r>
    </w:p>
    <w:p>
      <w:pPr>
        <w:bidi/>
        <w:spacing w:after="100"/>
        <w:jc w:val="right"/>
      </w:pPr>
      <w:r>
        <w:rPr>
          <w:rFonts w:ascii="Arial" w:cs="Arial" w:eastAsia="Arial" w:hAnsi="Arial"/>
          <w:sz w:val="23"/>
          <w:szCs w:val="23"/>
        </w:rPr>
        <w:t xml:space="preserve">• קשר רומנטי ללא מגורים משותפים — לא מספיק</w:t>
      </w:r>
    </w:p>
    <w:p>
      <w:pPr>
        <w:bidi/>
        <w:spacing w:after="100"/>
        <w:jc w:val="right"/>
      </w:pPr>
      <w:r>
        <w:rPr>
          <w:rFonts w:ascii="Arial" w:cs="Arial" w:eastAsia="Arial" w:hAnsi="Arial"/>
          <w:sz w:val="23"/>
          <w:szCs w:val="23"/>
        </w:rPr>
        <w:t xml:space="preserve">• מגורים משותפים קצרים מאוד</w:t>
      </w:r>
    </w:p>
    <w:p>
      <w:pPr>
        <w:bidi/>
        <w:spacing w:after="100"/>
        <w:jc w:val="right"/>
      </w:pPr>
      <w:r>
        <w:rPr>
          <w:rFonts w:ascii="Arial" w:cs="Arial" w:eastAsia="Arial" w:hAnsi="Arial"/>
          <w:sz w:val="23"/>
          <w:szCs w:val="23"/>
        </w:rPr>
        <w:t xml:space="preserve">• קשר שנועד רק להנות מזכויות</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פרידה של ידועים בציבור   |   → ידועים בציבור שאינם יכולים להינשא</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6  |  URL: /yaduyim-lo-yecholim-lehitnashe.html  |  מילת מפתח: ידועים בציבור שאינם יכולים להינשא</w:t>
      </w:r>
    </w:p>
    <w:p>
      <w:r>
        <w:rPr>
          <w:sz w:val="22"/>
          <w:szCs w:val="22"/>
        </w:rPr>
        <w:t xml:space="preserve"/>
      </w:r>
    </w:p>
    <w:p>
      <w:pPr>
        <w:pStyle w:val="Heading1"/>
        <w:jc w:val="right"/>
      </w:pPr>
      <w:r>
        <w:rPr>
          <w:rFonts w:ascii="Arial" w:cs="Arial" w:eastAsia="Arial" w:hAnsi="Arial"/>
          <w:b/>
          <w:bCs/>
          <w:color w:val="1B4F8A"/>
          <w:sz w:val="40"/>
          <w:szCs w:val="40"/>
        </w:rPr>
        <w:t xml:space="preserve">ידועים בציבור שאינם יכולים להינשא — מצבים מיוחדים וזכויות</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מי לא יכול להינשא בישראל?</w:t>
      </w:r>
    </w:p>
    <w:p>
      <w:pPr>
        <w:bidi/>
        <w:spacing w:after="160"/>
        <w:jc w:val="right"/>
      </w:pPr>
      <w:r>
        <w:rPr>
          <w:rFonts w:ascii="Arial" w:cs="Arial" w:eastAsia="Arial" w:hAnsi="Arial"/>
          <w:sz w:val="23"/>
          <w:szCs w:val="23"/>
        </w:rPr>
        <w:t xml:space="preserve">בישראל, רק מי שמוכר על ידי בית הרבנות (ליהודים), בית הדין השרעי (למוסלמים), או הכנסייה (לנוצרים) — יכול להינשא. קיימות קבוצות גדולות שמנועות מנישואין ובוחרות בסטטוס ידועים בציבור:</w:t>
      </w:r>
    </w:p>
    <w:p>
      <w:pPr>
        <w:bidi/>
        <w:spacing w:after="100"/>
        <w:jc w:val="right"/>
      </w:pPr>
      <w:r>
        <w:rPr>
          <w:rFonts w:ascii="Arial" w:cs="Arial" w:eastAsia="Arial" w:hAnsi="Arial"/>
          <w:sz w:val="23"/>
          <w:szCs w:val="23"/>
        </w:rPr>
        <w:t xml:space="preserve">• חסרי דת — לא מוכרים על ידי שום גוף דתי</w:t>
      </w:r>
    </w:p>
    <w:p>
      <w:pPr>
        <w:bidi/>
        <w:spacing w:after="100"/>
        <w:jc w:val="right"/>
      </w:pPr>
      <w:r>
        <w:rPr>
          <w:rFonts w:ascii="Arial" w:cs="Arial" w:eastAsia="Arial" w:hAnsi="Arial"/>
          <w:sz w:val="23"/>
          <w:szCs w:val="23"/>
        </w:rPr>
        <w:t xml:space="preserve">• עולים יהודים שאינם יהודים לפי ההלכה</w:t>
      </w:r>
    </w:p>
    <w:p>
      <w:pPr>
        <w:bidi/>
        <w:spacing w:after="100"/>
        <w:jc w:val="right"/>
      </w:pPr>
      <w:r>
        <w:rPr>
          <w:rFonts w:ascii="Arial" w:cs="Arial" w:eastAsia="Arial" w:hAnsi="Arial"/>
          <w:sz w:val="23"/>
          <w:szCs w:val="23"/>
        </w:rPr>
        <w:t xml:space="preserve">• זוגות שבית הרבנות מסרב לרשום (כהן וגרושה, ממזרות)</w:t>
      </w:r>
    </w:p>
    <w:p>
      <w:pPr>
        <w:bidi/>
        <w:spacing w:after="100"/>
        <w:jc w:val="right"/>
      </w:pPr>
      <w:r>
        <w:rPr>
          <w:rFonts w:ascii="Arial" w:cs="Arial" w:eastAsia="Arial" w:hAnsi="Arial"/>
          <w:sz w:val="23"/>
          <w:szCs w:val="23"/>
        </w:rPr>
        <w:t xml:space="preserve">• אנשים שעדיין נשואים ולא הצליחו להתגרש</w:t>
      </w:r>
    </w:p>
    <w:p>
      <w:pPr>
        <w:bidi/>
        <w:spacing w:after="100"/>
        <w:jc w:val="right"/>
      </w:pPr>
      <w:r>
        <w:rPr>
          <w:rFonts w:ascii="Arial" w:cs="Arial" w:eastAsia="Arial" w:hAnsi="Arial"/>
          <w:sz w:val="23"/>
          <w:szCs w:val="23"/>
        </w:rPr>
        <w:t xml:space="preserve">• זוגות חד-מיניים — לא מוכרים לנישואין בישראל</w:t>
      </w:r>
    </w:p>
    <w:p>
      <w:r>
        <w:rPr>
          <w:sz w:val="22"/>
          <w:szCs w:val="22"/>
        </w:rPr>
        <w:t xml:space="preserve"/>
      </w:r>
    </w:p>
    <w:p>
      <w:pPr>
        <w:pStyle w:val="Heading2"/>
        <w:jc w:val="right"/>
      </w:pPr>
      <w:r>
        <w:rPr>
          <w:rFonts w:ascii="Arial" w:cs="Arial" w:eastAsia="Arial" w:hAnsi="Arial"/>
          <w:b/>
          <w:bCs/>
          <w:color w:val="2E75B6"/>
          <w:sz w:val="30"/>
          <w:szCs w:val="30"/>
        </w:rPr>
        <w:t xml:space="preserve">ידועים בציבור חד-מיניים</w:t>
      </w:r>
    </w:p>
    <w:p>
      <w:pPr>
        <w:bidi/>
        <w:spacing w:after="160"/>
        <w:jc w:val="right"/>
      </w:pPr>
      <w:r>
        <w:rPr>
          <w:rFonts w:ascii="Arial" w:cs="Arial" w:eastAsia="Arial" w:hAnsi="Arial"/>
          <w:sz w:val="23"/>
          <w:szCs w:val="23"/>
        </w:rPr>
        <w:t xml:space="preserve">זוגות חד-מיניים בישראל אינם יכולים להינשא בארץ, אך נישואין שנערכו בחו"ל מוכרים. זוגות שלא נישאו בחו"ל — חיים כידועים בציבור.</w:t>
      </w:r>
    </w:p>
    <w:p>
      <w:pPr>
        <w:bidi/>
        <w:spacing w:after="160"/>
        <w:jc w:val="right"/>
      </w:pPr>
      <w:r>
        <w:rPr>
          <w:rFonts w:ascii="Arial" w:cs="Arial" w:eastAsia="Arial" w:hAnsi="Arial"/>
          <w:sz w:val="23"/>
          <w:szCs w:val="23"/>
        </w:rPr>
        <w:t xml:space="preserve">בית המשפט הישראלי הכיר בזכויות ידועים בציבור חד-מיניים — ביטוח לאומי, ירושה בצוואה, אימוץ. ההכרה הולכת וגדלה, אך עדיין מורכבת.</w:t>
      </w:r>
    </w:p>
    <w:p>
      <w:r>
        <w:rPr>
          <w:sz w:val="22"/>
          <w:szCs w:val="22"/>
        </w:rPr>
        <w:t xml:space="preserve"/>
      </w:r>
    </w:p>
    <w:p>
      <w:pPr>
        <w:pStyle w:val="Heading2"/>
        <w:jc w:val="right"/>
      </w:pPr>
      <w:r>
        <w:rPr>
          <w:rFonts w:ascii="Arial" w:cs="Arial" w:eastAsia="Arial" w:hAnsi="Arial"/>
          <w:b/>
          <w:bCs/>
          <w:color w:val="2E75B6"/>
          <w:sz w:val="30"/>
          <w:szCs w:val="30"/>
        </w:rPr>
        <w:t xml:space="preserve">חסרי דת ועולים</w:t>
      </w:r>
    </w:p>
    <w:p>
      <w:pPr>
        <w:bidi/>
        <w:spacing w:after="160"/>
        <w:jc w:val="right"/>
      </w:pPr>
      <w:r>
        <w:rPr>
          <w:rFonts w:ascii="Arial" w:cs="Arial" w:eastAsia="Arial" w:hAnsi="Arial"/>
          <w:sz w:val="23"/>
          <w:szCs w:val="23"/>
        </w:rPr>
        <w:t xml:space="preserve">עולים רבים מרוסיה וממדינות אחרות — שנרשמו כ'ללא דת' — אינם יכולים להינשא בבית הרבנות. הם חיים כידועים בציבור ולעיתים נישאים בנישואין אזרחיים בחו"ל (קפריסין, פראג).</w:t>
      </w:r>
    </w:p>
    <w:p>
      <w:pPr>
        <w:bidi/>
        <w:spacing w:after="160"/>
        <w:jc w:val="right"/>
      </w:pPr>
      <w:r>
        <w:rPr>
          <w:rFonts w:ascii="Arial" w:cs="Arial" w:eastAsia="Arial" w:hAnsi="Arial"/>
          <w:sz w:val="23"/>
          <w:szCs w:val="23"/>
        </w:rPr>
        <w:t xml:space="preserve">ידועים בציבור שנישאו בחו"ל — נישואיהם מוכרים בישראל ומקנים להם מלוא הזכויות של נשואים.</w:t>
      </w:r>
    </w:p>
    <w:p>
      <w:r>
        <w:rPr>
          <w:sz w:val="22"/>
          <w:szCs w:val="22"/>
        </w:rPr>
        <w:t xml:space="preserve"/>
      </w:r>
    </w:p>
    <w:p>
      <w:pPr>
        <w:pStyle w:val="Heading2"/>
        <w:jc w:val="right"/>
      </w:pPr>
      <w:r>
        <w:rPr>
          <w:rFonts w:ascii="Arial" w:cs="Arial" w:eastAsia="Arial" w:hAnsi="Arial"/>
          <w:b/>
          <w:bCs/>
          <w:color w:val="2E75B6"/>
          <w:sz w:val="30"/>
          <w:szCs w:val="30"/>
        </w:rPr>
        <w:t xml:space="preserve">עצה מעשית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40"/>
              <w:bottom w:type="dxa" w:w="140"/>
              <w:right w:type="dxa" w:w="240"/>
            </w:tcMar>
          </w:tcPr>
          <w:p>
            <w:pPr>
              <w:bidi/>
              <w:jc w:val="right"/>
            </w:pPr>
            <w:r>
              <w:rPr>
                <w:rFonts w:ascii="Arial" w:cs="Arial" w:eastAsia="Arial" w:hAnsi="Arial"/>
                <w:i/>
                <w:iCs/>
                <w:sz w:val="22"/>
                <w:szCs w:val="22"/>
              </w:rPr>
              <w:t xml:space="preserve">💡 אם אתם ידועים בציבור שלא יכולים להינשא — השקיעו בהסכם ידועים בציבור, צוואות הדדיות, ועדכון מוטבים בפנסיה. אלה שלושת הצעדים שיספקו לכם רוב ההגנות של נישואין — ללא הצורך בבית הרבנות.</w:t>
            </w:r>
          </w:p>
        </w:tc>
      </w:tr>
    </w:tbl>
    <w:p>
      <w:r>
        <w:rPr>
          <w:sz w:val="22"/>
          <w:szCs w:val="22"/>
        </w:rPr>
        <w:t xml:space="preserve"/>
      </w:r>
    </w:p>
    <w:p>
      <w:pPr>
        <w:pStyle w:val="Heading2"/>
        <w:jc w:val="right"/>
      </w:pPr>
      <w:r>
        <w:rPr>
          <w:rFonts w:ascii="Arial" w:cs="Arial" w:eastAsia="Arial" w:hAnsi="Arial"/>
          <w:b/>
          <w:bCs/>
          <w:color w:val="2E75B6"/>
          <w:sz w:val="30"/>
          <w:szCs w:val="30"/>
        </w:rPr>
        <w:t xml:space="preserve">שאלות נפוצות</w:t>
      </w:r>
    </w:p>
    <w:p>
      <w:pPr>
        <w:bidi/>
        <w:spacing w:before="200" w:after="80"/>
        <w:jc w:val="right"/>
      </w:pPr>
      <w:r>
        <w:rPr>
          <w:rFonts w:ascii="Arial" w:cs="Arial" w:eastAsia="Arial" w:hAnsi="Arial"/>
          <w:b/>
          <w:bCs/>
          <w:color w:val="1B4F8A"/>
          <w:sz w:val="23"/>
          <w:szCs w:val="23"/>
        </w:rPr>
        <w:t xml:space="preserve">האם זוגות חד-מיניים נחשבים ידועים בציבור בישראל ?</w:t>
      </w:r>
    </w:p>
    <w:p>
      <w:pPr>
        <w:bidi/>
        <w:spacing w:after="180"/>
        <w:jc w:val="right"/>
      </w:pPr>
      <w:r>
        <w:rPr>
          <w:rFonts w:ascii="Arial" w:cs="Arial" w:eastAsia="Arial" w:hAnsi="Arial"/>
          <w:color w:val="333333"/>
          <w:sz w:val="23"/>
          <w:szCs w:val="23"/>
        </w:rPr>
        <w:t xml:space="preserve">כן — פסיקה ישראלית הכירה בזכויות ידועים בציבור ללא קשר למגדר. זוגות חד-מיניים נהנים מאותן זכויות ידועים בציבור כמו זוגות הטרוסקסואלים.</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אפשר להירשם כידועים בציבור רשמית ?</w:t>
      </w:r>
    </w:p>
    <w:p>
      <w:pPr>
        <w:bidi/>
        <w:spacing w:after="180"/>
        <w:jc w:val="right"/>
      </w:pPr>
      <w:r>
        <w:rPr>
          <w:rFonts w:ascii="Arial" w:cs="Arial" w:eastAsia="Arial" w:hAnsi="Arial"/>
          <w:color w:val="333333"/>
          <w:sz w:val="23"/>
          <w:szCs w:val="23"/>
        </w:rPr>
        <w:t xml:space="preserve">אין רישום רשמי של ידועים בציבור בישראל. ניתן להגיש הצהרה לביטוח לאומי, לרשויות שונות, ואפשר לחתום על הסכם ידועים בציבור — אך אין 'מרשם' ממשלתי.</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ידועים בציבור וביטוח לאומי   |   → ידועים בציבור — מדריך מלא</w:t>
            </w:r>
          </w:p>
        </w:tc>
      </w:tr>
    </w:tbl>
    <w:p>
      <w:r>
        <w:br w:type="page"/>
      </w:r>
    </w:p>
    <w:p>
      <w:r>
        <w:rPr>
          <w:sz w:val="22"/>
          <w:szCs w:val="22"/>
        </w:rPr>
        <w:t xml:space="preserve"/>
      </w:r>
    </w:p>
    <w:p>
      <w:r>
        <w:rPr>
          <w:sz w:val="22"/>
          <w:szCs w:val="22"/>
        </w:rPr>
        <w:t xml:space="preserve"/>
      </w:r>
    </w:p>
    <w:p>
      <w:pPr>
        <w:jc w:val="center"/>
      </w:pPr>
      <w:r>
        <w:rPr>
          <w:rFonts w:ascii="Arial" w:cs="Arial" w:eastAsia="Arial" w:hAnsi="Arial"/>
          <w:b/>
          <w:bCs/>
          <w:color w:val="1B4F8A"/>
          <w:sz w:val="36"/>
          <w:szCs w:val="36"/>
        </w:rPr>
        <w:t xml:space="preserve">עו"ד יניב גיל — משרד דיני משפחה | נוטריון</w:t>
      </w:r>
    </w:p>
    <w:p>
      <w:pPr>
        <w:jc w:val="center"/>
      </w:pPr>
      <w:r>
        <w:rPr>
          <w:rFonts w:ascii="Arial" w:cs="Arial" w:eastAsia="Arial" w:hAnsi="Arial"/>
          <w:color w:val="2E75B6"/>
          <w:sz w:val="24"/>
          <w:szCs w:val="24"/>
        </w:rPr>
        <w:t xml:space="preserve">מגדל WE-TLV, דרך מנחם בגין 150, תל אביב | 03-6092414 | yanivgil.co.il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2026-02-19T22:33:58.730Z</dcterms:created>
  <dcterms:modified xsi:type="dcterms:W3CDTF">2026-02-19T22:33:58.731Z</dcterms:modified>
</cp:coreProperties>
</file>

<file path=docProps/custom.xml><?xml version="1.0" encoding="utf-8"?>
<Properties xmlns="http://schemas.openxmlformats.org/officeDocument/2006/custom-properties" xmlns:vt="http://schemas.openxmlformats.org/officeDocument/2006/docPropsVTypes"/>
</file>