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HARIDLAR.UZ BUSINESS ARCHITECTURE</w:t>
      </w:r>
    </w:p>
    <w:p>
      <w:pPr>
        <w:pStyle w:val="Heading2"/>
        <w:jc w:val="center"/>
      </w:pPr>
      <w:r>
        <w:t>VI-QATLAM</w:t>
        <w:br/>
        <w:t>HUJJATLASHTIRISH ARXITEKTURASI</w:t>
        <w:br/>
        <w:t>(Document Management Architecture)</w:t>
      </w:r>
    </w:p>
    <w:p>
      <w:r>
        <w:rPr>
          <w:b/>
        </w:rPr>
        <w:t xml:space="preserve">Hujjat kodi: </w:t>
      </w:r>
      <w:r>
        <w:t>HBA-06</w:t>
      </w:r>
    </w:p>
    <w:p>
      <w:r>
        <w:rPr>
          <w:b/>
        </w:rPr>
        <w:t xml:space="preserve">Versiya: </w:t>
      </w:r>
      <w:r>
        <w:t>1.0</w:t>
      </w:r>
    </w:p>
    <w:p>
      <w:r>
        <w:rPr>
          <w:b/>
        </w:rPr>
        <w:t xml:space="preserve">Sana: </w:t>
      </w:r>
      <w:r>
        <w:t>26.06.2026</w:t>
      </w:r>
    </w:p>
    <w:p>
      <w:r>
        <w:rPr>
          <w:b/>
        </w:rPr>
        <w:t xml:space="preserve">Mualliflar: </w:t>
      </w:r>
      <w:r>
        <w:t>NEXT ONE</w:t>
        <w:br/>
        <w:t>Shohruhmirzo</w:t>
        <w:br/>
        <w:t>Asomiddin</w:t>
      </w:r>
    </w:p>
    <w:p>
      <w:pPr>
        <w:pStyle w:val="Heading2"/>
      </w:pPr>
      <w:r>
        <w:t>1. Qatlam maqsadi</w:t>
      </w:r>
    </w:p>
    <w:p>
      <w:r>
        <w:t>Savdo va ta'minot jarayonlaridagi barcha hujjatlarni qonunchilik talablariga muvofiq, to'g'ri, o'z vaqtida va izchil rasmiylashtirish hamda hujjatlar aylanishini boshqarish.</w:t>
      </w:r>
    </w:p>
    <w:p>
      <w:pPr>
        <w:pStyle w:val="Heading2"/>
      </w:pPr>
      <w:r>
        <w:t>2. Ta'rif</w:t>
      </w:r>
    </w:p>
    <w:p>
      <w:r>
        <w:t>Hujjatlashtirish arxitekturasi — shartnoma, ishonchnoma, hisob-faktura, elektron hujjatlar (DIDOX) va arxivni boshqarishga oid funksiyalar majmuasi.</w:t>
      </w:r>
    </w:p>
    <w:p>
      <w:pPr>
        <w:pStyle w:val="Heading2"/>
      </w:pPr>
      <w:r>
        <w:t>3. Haridlar.uz uchun ahamiyati</w:t>
      </w:r>
    </w:p>
    <w:p>
      <w:pPr>
        <w:pStyle w:val="ListBullet"/>
      </w:pPr>
      <w:r>
        <w:t>Hujjatlar biznesning huquqiy asosidir.</w:t>
      </w:r>
    </w:p>
    <w:p>
      <w:pPr>
        <w:pStyle w:val="ListBullet"/>
      </w:pPr>
      <w:r>
        <w:t>Noto'g'ri hujjat mijoz ishonchi va to'lovni xavf ostiga qo'yadi.</w:t>
      </w:r>
    </w:p>
    <w:p>
      <w:pPr>
        <w:pStyle w:val="ListBullet"/>
      </w:pPr>
      <w:r>
        <w:t>Qonuniylik va auditga tayyorgarlik aynan shu qatlam orqali ta'minlanadi.</w:t>
      </w:r>
    </w:p>
    <w:p>
      <w:pPr>
        <w:pStyle w:val="ListBullet"/>
      </w:pPr>
      <w:r>
        <w:t>LPR uchun xavfsizlik hissini yaratadigan asosiy qatlamlardan biridir.</w:t>
      </w:r>
    </w:p>
    <w:p>
      <w:pPr>
        <w:pStyle w:val="Heading2"/>
      </w:pPr>
      <w:r>
        <w:t>4. Qatlam arxitekturasi</w:t>
      </w:r>
    </w:p>
    <w:p>
      <w:pPr>
        <w:pStyle w:val="ListBullet"/>
      </w:pPr>
      <w:r>
        <w:t>Shartnomani tayyorlash</w:t>
      </w:r>
    </w:p>
    <w:p>
      <w:pPr>
        <w:pStyle w:val="ListBullet"/>
      </w:pPr>
      <w:r>
        <w:t>Shartnomani tekshirish</w:t>
      </w:r>
    </w:p>
    <w:p>
      <w:pPr>
        <w:pStyle w:val="ListBullet"/>
      </w:pPr>
      <w:r>
        <w:t>Ishonchnomani qabul qilish</w:t>
      </w:r>
    </w:p>
    <w:p>
      <w:pPr>
        <w:pStyle w:val="ListBullet"/>
      </w:pPr>
      <w:r>
        <w:t>Hisob-faktura yaratish</w:t>
      </w:r>
    </w:p>
    <w:p>
      <w:pPr>
        <w:pStyle w:val="ListBullet"/>
      </w:pPr>
      <w:r>
        <w:t>DIDOX orqali yuborish</w:t>
      </w:r>
    </w:p>
    <w:p>
      <w:pPr>
        <w:pStyle w:val="ListBullet"/>
      </w:pPr>
      <w:r>
        <w:t>Elektron tasdiqlarni nazorat qilish</w:t>
      </w:r>
    </w:p>
    <w:p>
      <w:pPr>
        <w:pStyle w:val="ListBullet"/>
      </w:pPr>
      <w:r>
        <w:t>Hujjatlarni arxivlash</w:t>
      </w:r>
    </w:p>
    <w:p>
      <w:pPr>
        <w:pStyle w:val="ListBullet"/>
      </w:pPr>
      <w:r>
        <w:t>Hujjatlar monitoringi</w:t>
      </w:r>
    </w:p>
    <w:p>
      <w:pPr>
        <w:pStyle w:val="Heading2"/>
      </w:pPr>
      <w:r>
        <w:t>5. Yig'ilgan ma'lumotlar</w:t>
      </w:r>
    </w:p>
    <w:p>
      <w:pPr>
        <w:pStyle w:val="ListBullet"/>
      </w:pPr>
      <w:r>
        <w:t>Shakllangan shartnoma buxgalteriyaga topshiriladi.</w:t>
      </w:r>
    </w:p>
    <w:p>
      <w:pPr>
        <w:pStyle w:val="ListBullet"/>
      </w:pPr>
      <w:r>
        <w:t>Ishonchnoma asosida hisob-faktura yaratiladi.</w:t>
      </w:r>
    </w:p>
    <w:p>
      <w:pPr>
        <w:pStyle w:val="ListBullet"/>
      </w:pPr>
      <w:r>
        <w:t>Hisob-faktura DIDOX orqali mijozga yuboriladi.</w:t>
      </w:r>
    </w:p>
    <w:p>
      <w:pPr>
        <w:pStyle w:val="ListBullet"/>
      </w:pPr>
      <w:r>
        <w:t>Sotuv bo'limi hujjatlar qabul qilinishini nazorat qiladi.</w:t>
      </w:r>
    </w:p>
    <w:p>
      <w:pPr>
        <w:pStyle w:val="ListBullet"/>
      </w:pPr>
      <w:r>
        <w:t>Hujjatdagi xatolar asosiy operatsion risklardan biri sifatida qayd etilgan.</w:t>
      </w:r>
    </w:p>
    <w:p>
      <w:pPr>
        <w:pStyle w:val="Heading2"/>
      </w:pPr>
      <w:r>
        <w:t>6. Funksiyalar daraxti</w:t>
      </w:r>
    </w:p>
    <w:p>
      <w:r>
        <w:t>Hujjatlashtirish</w:t>
        <w:br/>
        <w:t>├─ Shartnoma</w:t>
        <w:br/>
        <w:t>├─ Ishonchnoma</w:t>
        <w:br/>
        <w:t>├─ Hisob-faktura</w:t>
        <w:br/>
        <w:t>├─ DIDOX</w:t>
        <w:br/>
        <w:t>├─ Elektron tasdiq</w:t>
        <w:br/>
        <w:t>├─ Arxiv</w:t>
        <w:br/>
        <w:t>└─ Monitoring</w:t>
      </w:r>
    </w:p>
    <w:p>
      <w:pPr>
        <w:pStyle w:val="Heading2"/>
      </w:pPr>
      <w:r>
        <w:t>7. Input</w:t>
      </w:r>
    </w:p>
    <w:p>
      <w:pPr>
        <w:pStyle w:val="ListBullet"/>
      </w:pPr>
      <w:r>
        <w:t>Ta'minotdan topshirish ma'lumotlari</w:t>
      </w:r>
    </w:p>
    <w:p>
      <w:pPr>
        <w:pStyle w:val="ListBullet"/>
      </w:pPr>
      <w:r>
        <w:t>Savdo shartlari</w:t>
      </w:r>
    </w:p>
    <w:p>
      <w:pPr>
        <w:pStyle w:val="ListBullet"/>
      </w:pPr>
      <w:r>
        <w:t>Ishonchnoma</w:t>
      </w:r>
    </w:p>
    <w:p>
      <w:pPr>
        <w:pStyle w:val="ListBullet"/>
      </w:pPr>
      <w:r>
        <w:t>Mijoz rekvizitlari</w:t>
      </w:r>
    </w:p>
    <w:p>
      <w:pPr>
        <w:pStyle w:val="Heading2"/>
      </w:pPr>
      <w:r>
        <w:t>8. Output</w:t>
      </w:r>
    </w:p>
    <w:p>
      <w:pPr>
        <w:pStyle w:val="ListBullet"/>
      </w:pPr>
      <w:r>
        <w:t>Rasmiy shartnoma</w:t>
      </w:r>
    </w:p>
    <w:p>
      <w:pPr>
        <w:pStyle w:val="ListBullet"/>
      </w:pPr>
      <w:r>
        <w:t>Hisob-faktura</w:t>
      </w:r>
    </w:p>
    <w:p>
      <w:pPr>
        <w:pStyle w:val="ListBullet"/>
      </w:pPr>
      <w:r>
        <w:t>DIDOX hujjati</w:t>
      </w:r>
    </w:p>
    <w:p>
      <w:pPr>
        <w:pStyle w:val="ListBullet"/>
      </w:pPr>
      <w:r>
        <w:t>Arxivlangan hujjatlar</w:t>
      </w:r>
    </w:p>
    <w:p>
      <w:pPr>
        <w:pStyle w:val="ListBullet"/>
      </w:pPr>
      <w:r>
        <w:t>To'lov uchun asos</w:t>
      </w:r>
    </w:p>
    <w:p>
      <w:pPr>
        <w:pStyle w:val="Heading2"/>
      </w:pPr>
      <w:r>
        <w:t>9. Asosiy natijalar</w:t>
      </w:r>
    </w:p>
    <w:p>
      <w:pPr>
        <w:pStyle w:val="ListBullet"/>
      </w:pPr>
      <w:r>
        <w:t>Hujjatlar xatosiz rasmiylashtiriladi</w:t>
      </w:r>
    </w:p>
    <w:p>
      <w:pPr>
        <w:pStyle w:val="ListBullet"/>
      </w:pPr>
      <w:r>
        <w:t>To'lov jarayoni tezlashadi</w:t>
      </w:r>
    </w:p>
    <w:p>
      <w:pPr>
        <w:pStyle w:val="ListBullet"/>
      </w:pPr>
      <w:r>
        <w:t>Auditga tayyor hujjatlar bazasi yaratiladi</w:t>
      </w:r>
    </w:p>
    <w:p>
      <w:pPr>
        <w:pStyle w:val="Heading2"/>
      </w:pPr>
      <w:r>
        <w:t>10. KPI</w:t>
      </w:r>
    </w:p>
    <w:p>
      <w:pPr>
        <w:pStyle w:val="ListBullet"/>
      </w:pPr>
      <w:r>
        <w:t>Hujjatlar xatolik darajasi</w:t>
      </w:r>
    </w:p>
    <w:p>
      <w:pPr>
        <w:pStyle w:val="ListBullet"/>
      </w:pPr>
      <w:r>
        <w:t>Hisob-faktura tayyorlash vaqti</w:t>
      </w:r>
    </w:p>
    <w:p>
      <w:pPr>
        <w:pStyle w:val="ListBullet"/>
      </w:pPr>
      <w:r>
        <w:t>DIDOX orqali qabul qilish foizi</w:t>
      </w:r>
    </w:p>
    <w:p>
      <w:pPr>
        <w:pStyle w:val="ListBullet"/>
      </w:pPr>
      <w:r>
        <w:t>Arxivlangan hujjatlar ulushi</w:t>
      </w:r>
    </w:p>
    <w:p>
      <w:pPr>
        <w:pStyle w:val="Heading2"/>
      </w:pPr>
      <w:r>
        <w:t>11. Asosiy risklar</w:t>
      </w:r>
    </w:p>
    <w:p>
      <w:pPr>
        <w:pStyle w:val="ListBullet"/>
      </w:pPr>
      <w:r>
        <w:t>Shartnomadagi xatolar</w:t>
      </w:r>
    </w:p>
    <w:p>
      <w:pPr>
        <w:pStyle w:val="ListBullet"/>
      </w:pPr>
      <w:r>
        <w:t>Hisob-faktura xatolari</w:t>
      </w:r>
    </w:p>
    <w:p>
      <w:pPr>
        <w:pStyle w:val="ListBullet"/>
      </w:pPr>
      <w:r>
        <w:t>DIDOX kechikishi</w:t>
      </w:r>
    </w:p>
    <w:p>
      <w:pPr>
        <w:pStyle w:val="ListBullet"/>
      </w:pPr>
      <w:r>
        <w:t>Hujjat yo'qolishi</w:t>
      </w:r>
    </w:p>
    <w:p>
      <w:pPr>
        <w:pStyle w:val="ListBullet"/>
      </w:pPr>
      <w:r>
        <w:t>Qonunchilik talablariga mos kelmaslik</w:t>
      </w:r>
    </w:p>
    <w:p>
      <w:pPr>
        <w:pStyle w:val="Heading2"/>
      </w:pPr>
      <w:r>
        <w:t>12. Atamalar izohi</w:t>
      </w:r>
    </w:p>
    <w:p>
      <w:pPr>
        <w:pStyle w:val="ListBullet"/>
      </w:pPr>
      <w:r>
        <w:rPr>
          <w:b/>
        </w:rPr>
        <w:t xml:space="preserve">Shartnoma: </w:t>
      </w:r>
      <w:r>
        <w:t>Tomonlarning huquq va majburiyatlarini belgilovchi rasmiy hujjat.</w:t>
      </w:r>
    </w:p>
    <w:p>
      <w:pPr>
        <w:pStyle w:val="ListBullet"/>
      </w:pPr>
      <w:r>
        <w:rPr>
          <w:b/>
        </w:rPr>
        <w:t xml:space="preserve">Hisob-faktura: </w:t>
      </w:r>
      <w:r>
        <w:t>Tovar yoki xizmat uchun to'lov asosini tasdiqlovchi hujjat.</w:t>
      </w:r>
    </w:p>
    <w:p>
      <w:pPr>
        <w:pStyle w:val="ListBullet"/>
      </w:pPr>
      <w:r>
        <w:rPr>
          <w:b/>
        </w:rPr>
        <w:t xml:space="preserve">Ishonchnoma: </w:t>
      </w:r>
      <w:r>
        <w:t>Mahsulotni qabul qilish vakolatini beruvchi hujjat.</w:t>
      </w:r>
    </w:p>
    <w:p>
      <w:pPr>
        <w:pStyle w:val="ListBullet"/>
      </w:pPr>
      <w:r>
        <w:rPr>
          <w:b/>
        </w:rPr>
        <w:t xml:space="preserve">DIDOX: </w:t>
      </w:r>
      <w:r>
        <w:t>Elektron hujjat almashish tizimi.</w:t>
      </w:r>
    </w:p>
    <w:p>
      <w:pPr>
        <w:pStyle w:val="ListBullet"/>
      </w:pPr>
      <w:r>
        <w:rPr>
          <w:b/>
        </w:rPr>
        <w:t xml:space="preserve">Arxiv: </w:t>
      </w:r>
      <w:r>
        <w:t>Hujjatlarni tizimli saqlash va qidirish muhiti.</w:t>
      </w:r>
    </w:p>
    <w:p>
      <w:pPr>
        <w:pStyle w:val="Heading2"/>
      </w:pPr>
      <w:r>
        <w:t>13. Business Rules</w:t>
      </w:r>
    </w:p>
    <w:p>
      <w:pPr>
        <w:pStyle w:val="ListNumber"/>
      </w:pPr>
      <w:r>
        <w:t>Har bir savdo rasmiy shartnoma bilan tasdiqlanadi.</w:t>
      </w:r>
    </w:p>
    <w:p>
      <w:pPr>
        <w:pStyle w:val="ListNumber"/>
      </w:pPr>
      <w:r>
        <w:t>Hisob-faktura faqat tasdiqlangan ma'lumotlar asosida yaratiladi.</w:t>
      </w:r>
    </w:p>
    <w:p>
      <w:pPr>
        <w:pStyle w:val="ListNumber"/>
      </w:pPr>
      <w:r>
        <w:t>DIDOX orqali yuborish majburiy.</w:t>
      </w:r>
    </w:p>
    <w:p>
      <w:pPr>
        <w:pStyle w:val="ListNumber"/>
      </w:pPr>
      <w:r>
        <w:t>Barcha hujjatlar arxivlanadi.</w:t>
      </w:r>
    </w:p>
    <w:p>
      <w:pPr>
        <w:pStyle w:val="Heading2"/>
      </w:pPr>
      <w:r>
        <w:t>14. Qatlamlar bilan bog'liqlik</w:t>
      </w:r>
    </w:p>
    <w:p>
      <w:r>
        <w:t>Input: 5-qatlam (Ta'minot va logistika).</w:t>
        <w:br/>
        <w:t>Output: 7-qatlam (Moliya) hamda 8-qatlam (Mijozlarga xizmat).</w:t>
      </w:r>
    </w:p>
    <w:p>
      <w:pPr>
        <w:pStyle w:val="Heading2"/>
      </w:pPr>
      <w:r>
        <w:t>15. NEXT ONE izohi</w:t>
      </w:r>
    </w:p>
    <w:p>
      <w:r>
        <w:t>Hujjatlashtirish kompaniyaning ishonchliligini huquqiy jihatdan mustahkamlaydi. Jarayon standartlashganda inson omili va operatsion risklar kamayadi.</w:t>
      </w:r>
    </w:p>
    <w:p>
      <w:pPr>
        <w:pStyle w:val="Heading2"/>
      </w:pPr>
      <w:r>
        <w:t>16. Xulosa</w:t>
      </w:r>
    </w:p>
    <w:p>
      <w:pPr>
        <w:pStyle w:val="ListNumber"/>
      </w:pPr>
      <w:r>
        <w:t>Hujjatlar sifati kompaniya obro'sining bir qismidir.</w:t>
      </w:r>
    </w:p>
    <w:p>
      <w:pPr>
        <w:pStyle w:val="ListNumber"/>
      </w:pPr>
      <w:r>
        <w:t>Har bir hujjat standart asosida yaratilishi kerak.</w:t>
      </w:r>
    </w:p>
    <w:p>
      <w:pPr>
        <w:pStyle w:val="ListNumber"/>
      </w:pPr>
      <w:r>
        <w:t>Elektron hujjatlar aylanishi nazorat qilinishi zarur.</w:t>
      </w:r>
    </w:p>
    <w:p>
      <w:pPr>
        <w:pStyle w:val="ListNumber"/>
      </w:pPr>
      <w:r>
        <w:t>Hujjatlar bazasi korporativ aktiv hisoblanadi.</w:t>
      </w:r>
    </w:p>
    <w:p>
      <w:pPr>
        <w:pStyle w:val="ListNumber"/>
      </w:pPr>
      <w:r>
        <w:t>Ushbu qatlam moliyaviy oqimning huquqiy asosini yaratadi.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