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DP-02</w:t>
        <w:br/>
        <w:t>TA'MINOT DIREKSIYASI PASPORTI</w:t>
      </w:r>
    </w:p>
    <w:p>
      <w:r>
        <w:t>Kompaniya: Xaridlar.uz</w:t>
        <w:br/>
        <w:t>Versiya: 1.0</w:t>
        <w:br/>
        <w:t>Hujjat kodi: DP-02</w:t>
      </w:r>
    </w:p>
    <w:p>
      <w:pPr>
        <w:pStyle w:val="Heading1"/>
      </w:pPr>
      <w:r>
        <w:t>1. Hujjat maqsadi</w:t>
      </w:r>
    </w:p>
    <w:p>
      <w:r>
        <w:t>Ta'minot direksiyasining vazifalari, javobgarligi, KPIlari va hisobot standartlarini belgilash.</w:t>
      </w:r>
    </w:p>
    <w:p>
      <w:pPr>
        <w:pStyle w:val="Heading1"/>
      </w:pPr>
      <w:r>
        <w:t>2. Missiya</w:t>
      </w:r>
    </w:p>
    <w:p>
      <w:r>
        <w:t>Kompaniyani sifatli mahsulotlar va ishonchli yetkazib beruvchilar bilan uzluksiz ta'minlash, xarid xarajatlarini optimallashtirish va ta'minot xavfsizligini ta'minlash.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Jarayon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BP-02</w:t>
            </w:r>
          </w:p>
        </w:tc>
        <w:tc>
          <w:tcPr>
            <w:tcW w:type="dxa" w:w="2880"/>
          </w:tcPr>
          <w:p>
            <w:r>
              <w:t>Yetkazib beruvchilar bilan ishlash</w:t>
            </w:r>
          </w:p>
        </w:tc>
        <w:tc>
          <w:tcPr>
            <w:tcW w:type="dxa" w:w="2880"/>
          </w:tcPr>
          <w:p>
            <w:r>
              <w:t>Ta'minot direktori</w:t>
            </w:r>
          </w:p>
        </w:tc>
      </w:tr>
      <w:tr>
        <w:tc>
          <w:tcPr>
            <w:tcW w:type="dxa" w:w="2880"/>
          </w:tcPr>
          <w:p>
            <w:r>
              <w:t>BP-05</w:t>
            </w:r>
          </w:p>
        </w:tc>
        <w:tc>
          <w:tcPr>
            <w:tcW w:type="dxa" w:w="2880"/>
          </w:tcPr>
          <w:p>
            <w:r>
              <w:t>Ta'minot va yetkazib berish</w:t>
            </w:r>
          </w:p>
        </w:tc>
        <w:tc>
          <w:tcPr>
            <w:tcW w:type="dxa" w:w="2880"/>
          </w:tcPr>
          <w:p>
            <w:r>
              <w:t>Ta'minot direktori</w:t>
            </w:r>
          </w:p>
        </w:tc>
      </w:tr>
    </w:tbl>
    <w:p>
      <w:pPr>
        <w:pStyle w:val="Heading1"/>
      </w:pPr>
      <w:r>
        <w:t>Yetkazib beruvchilar bilan aloqa</w:t>
      </w:r>
    </w:p>
    <w:p>
      <w:pPr>
        <w:pStyle w:val="Heading2"/>
      </w:pPr>
      <w:r>
        <w:t>Majburiyatlar</w:t>
      </w:r>
    </w:p>
    <w:p>
      <w:pPr>
        <w:pStyle w:val="ListBullet"/>
      </w:pPr>
      <w:r>
        <w:t>Yangi yetkazib beruvchilarni izlash</w:t>
      </w:r>
    </w:p>
    <w:p>
      <w:pPr>
        <w:pStyle w:val="ListBullet"/>
      </w:pPr>
      <w:r>
        <w:t>Muzokara</w:t>
      </w:r>
    </w:p>
    <w:p>
      <w:pPr>
        <w:pStyle w:val="ListBullet"/>
      </w:pPr>
      <w:r>
        <w:t>Shartlarni kelishish</w:t>
      </w:r>
    </w:p>
    <w:p>
      <w:pPr>
        <w:pStyle w:val="ListBullet"/>
      </w:pPr>
      <w:r>
        <w:t>Reyting yuritish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Faol yetkazib beruvchilar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Yangi hamkorlar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Kelishuv muvaffaqiyati %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Haftalik supplier report</w:t>
      </w:r>
    </w:p>
    <w:p>
      <w:pPr>
        <w:pStyle w:val="ListBullet"/>
      </w:pPr>
      <w:r>
        <w:t>Oylik reyting</w:t>
      </w:r>
    </w:p>
    <w:p>
      <w:pPr>
        <w:pStyle w:val="Heading1"/>
      </w:pPr>
      <w:r>
        <w:t>Bozor tahlili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Narx monitoringi</w:t>
      </w:r>
    </w:p>
    <w:p>
      <w:pPr>
        <w:pStyle w:val="ListBullet"/>
      </w:pPr>
      <w:r>
        <w:t>Bozor tahlili</w:t>
      </w:r>
    </w:p>
    <w:p>
      <w:pPr>
        <w:pStyle w:val="ListBullet"/>
      </w:pPr>
      <w:r>
        <w:t>Muqobil mahsulotlar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Monitoringlar soni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Narx farqi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Tejash summasi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Narx hisoboti</w:t>
      </w:r>
    </w:p>
    <w:p>
      <w:pPr>
        <w:pStyle w:val="ListBullet"/>
      </w:pPr>
      <w:r>
        <w:t>Bozor sharhi</w:t>
      </w:r>
    </w:p>
    <w:p>
      <w:pPr>
        <w:pStyle w:val="Heading1"/>
      </w:pPr>
      <w:r>
        <w:t>Narx va foyda boshqaruvi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Tannarx nazorati</w:t>
      </w:r>
    </w:p>
    <w:p>
      <w:pPr>
        <w:pStyle w:val="ListBullet"/>
      </w:pPr>
      <w:r>
        <w:t>Marja tahlili</w:t>
      </w:r>
    </w:p>
    <w:p>
      <w:pPr>
        <w:pStyle w:val="ListBullet"/>
      </w:pPr>
      <w:r>
        <w:t>Xarid optimizatsiyasi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O'rtacha xarid narxi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Tejash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Marja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Marja hisoboti</w:t>
      </w:r>
    </w:p>
    <w:p>
      <w:pPr>
        <w:pStyle w:val="Heading1"/>
      </w:pPr>
      <w:r>
        <w:t>Buyurtma va yetkazib berish</w:t>
      </w:r>
    </w:p>
    <w:p>
      <w:pPr>
        <w:pStyle w:val="Heading2"/>
      </w:pPr>
      <w:r>
        <w:t>Majburiyatlar</w:t>
      </w:r>
    </w:p>
    <w:p>
      <w:pPr>
        <w:pStyle w:val="ListBullet"/>
      </w:pPr>
      <w:r>
        <w:t>Buyurtma joylashtirish</w:t>
      </w:r>
    </w:p>
    <w:p>
      <w:pPr>
        <w:pStyle w:val="ListBullet"/>
      </w:pPr>
      <w:r>
        <w:t>Muddat nazorati</w:t>
      </w:r>
    </w:p>
    <w:p>
      <w:pPr>
        <w:pStyle w:val="ListBullet"/>
      </w:pPr>
      <w:r>
        <w:t>Sifat nazorati</w:t>
      </w:r>
    </w:p>
    <w:p>
      <w:pPr>
        <w:pStyle w:val="ListBullet"/>
      </w:pPr>
      <w:r>
        <w:t>Qabul qilish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OTIF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Yetkazib berish muddati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Nuqsonlar %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OTIF hisoboti</w:t>
      </w:r>
    </w:p>
    <w:p>
      <w:pPr>
        <w:pStyle w:val="ListBullet"/>
      </w:pPr>
      <w:r>
        <w:t>Kechikishlar reestri</w:t>
      </w:r>
    </w:p>
    <w:p>
      <w:pPr>
        <w:pStyle w:val="Heading1"/>
      </w:pPr>
      <w:r>
        <w:t>Direksiya KPI</w:t>
      </w:r>
    </w:p>
    <w:p>
      <w:pPr>
        <w:pStyle w:val="ListBullet"/>
      </w:pPr>
      <w:r>
        <w:t>OTIF</w:t>
      </w:r>
    </w:p>
    <w:p>
      <w:pPr>
        <w:pStyle w:val="ListBullet"/>
      </w:pPr>
      <w:r>
        <w:t>Xarid xarajatlarini tejash</w:t>
      </w:r>
    </w:p>
    <w:p>
      <w:pPr>
        <w:pStyle w:val="ListBullet"/>
      </w:pPr>
      <w:r>
        <w:t>Yetkazib berish muddati</w:t>
      </w:r>
    </w:p>
    <w:p>
      <w:pPr>
        <w:pStyle w:val="ListBullet"/>
      </w:pPr>
      <w:r>
        <w:t>Nuqsonlar ulushi</w:t>
      </w:r>
    </w:p>
    <w:p>
      <w:pPr>
        <w:pStyle w:val="ListBullet"/>
      </w:pPr>
      <w:r>
        <w:t>Supplier Rating</w:t>
      </w:r>
    </w:p>
    <w:p>
      <w:pPr>
        <w:pStyle w:val="ListBullet"/>
      </w:pPr>
      <w:r>
        <w:t>Zaxira aylanishi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