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DP-04</w:t>
        <w:br/>
        <w:t>CUSTOMER SUCCESS DIREKSIYASI PASPORTI</w:t>
      </w:r>
    </w:p>
    <w:p>
      <w:r>
        <w:t>Kompaniya: Xaridlar.uz</w:t>
        <w:br/>
        <w:t>Versiya: 1.0</w:t>
        <w:br/>
        <w:t>Hujjat kodi: DP-04</w:t>
      </w:r>
    </w:p>
    <w:p>
      <w:pPr>
        <w:pStyle w:val="Heading1"/>
      </w:pPr>
      <w:r>
        <w:t>1. Hujjat maqsadi</w:t>
      </w:r>
    </w:p>
    <w:p>
      <w:r>
        <w:t>Customer Success direksiyasining mijozlarga xizmat ko'rsatish, buyurtmalarni kuzatish va mijoz sodiqligini boshqarish bo'yicha vazifalari, KPIlari va hisobot standartlarini belgilash.</w:t>
      </w:r>
    </w:p>
    <w:p>
      <w:pPr>
        <w:pStyle w:val="Heading1"/>
      </w:pPr>
      <w:r>
        <w:t>2. Missiya</w:t>
      </w:r>
    </w:p>
    <w:p>
      <w:r>
        <w:t>Har bir mijozning xarid tajribasini yuqori darajada ta'minlash, murojaatlarni tezkor hal qilish va mijozlarning kompaniyaga sodiqligini oshirish.</w:t>
      </w:r>
    </w:p>
    <w:p>
      <w:pPr>
        <w:pStyle w:val="Heading1"/>
      </w:pPr>
      <w:r>
        <w:t>3. Process Owner javobgarligi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Jarayon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BP-04</w:t>
            </w:r>
          </w:p>
        </w:tc>
        <w:tc>
          <w:tcPr>
            <w:tcW w:type="dxa" w:w="2880"/>
          </w:tcPr>
          <w:p>
            <w:r>
              <w:t>Buyurtmani kuzatish va mijoz bilan aloqa</w:t>
            </w:r>
          </w:p>
        </w:tc>
        <w:tc>
          <w:tcPr>
            <w:tcW w:type="dxa" w:w="2880"/>
          </w:tcPr>
          <w:p>
            <w:r>
              <w:t>Customer Success direktori</w:t>
            </w:r>
          </w:p>
        </w:tc>
      </w:tr>
      <w:tr>
        <w:tc>
          <w:tcPr>
            <w:tcW w:type="dxa" w:w="2880"/>
          </w:tcPr>
          <w:p>
            <w:r>
              <w:t>BP-08</w:t>
            </w:r>
          </w:p>
        </w:tc>
        <w:tc>
          <w:tcPr>
            <w:tcW w:type="dxa" w:w="2880"/>
          </w:tcPr>
          <w:p>
            <w:r>
              <w:t>Mijozlarga xizmat ko'rsatish</w:t>
            </w:r>
          </w:p>
        </w:tc>
        <w:tc>
          <w:tcPr>
            <w:tcW w:type="dxa" w:w="2880"/>
          </w:tcPr>
          <w:p>
            <w:r>
              <w:t>Customer Success direktori</w:t>
            </w:r>
          </w:p>
        </w:tc>
      </w:tr>
    </w:tbl>
    <w:p>
      <w:pPr>
        <w:pStyle w:val="Heading1"/>
      </w:pPr>
      <w:r>
        <w:t>Call Center</w:t>
      </w:r>
    </w:p>
    <w:p>
      <w:pPr>
        <w:pStyle w:val="Heading2"/>
      </w:pPr>
      <w:r>
        <w:t>Majburiyatlar</w:t>
      </w:r>
    </w:p>
    <w:p>
      <w:pPr>
        <w:pStyle w:val="ListBullet"/>
      </w:pPr>
      <w:r>
        <w:t>Kiruvchi qo'ng'iroqlarni qabul qilish</w:t>
      </w:r>
    </w:p>
    <w:p>
      <w:pPr>
        <w:pStyle w:val="ListBullet"/>
      </w:pPr>
      <w:r>
        <w:t>Murojaatlarni ro'yxatga olish</w:t>
      </w:r>
    </w:p>
    <w:p>
      <w:pPr>
        <w:pStyle w:val="ListBullet"/>
      </w:pPr>
      <w:r>
        <w:t>CRMga kiritish</w:t>
      </w:r>
    </w:p>
    <w:p>
      <w:pPr>
        <w:pStyle w:val="ListBullet"/>
      </w:pPr>
      <w:r>
        <w:t>Yo'naltirish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Javob berish vaqti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Qo'ng'iroqlar soni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Yo'qotilgan qo'ng'iroqlar %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Kunlik Call Center hisoboti</w:t>
      </w:r>
    </w:p>
    <w:p>
      <w:pPr>
        <w:pStyle w:val="ListBullet"/>
      </w:pPr>
      <w:r>
        <w:t>Haftalik SLA</w:t>
      </w:r>
    </w:p>
    <w:p>
      <w:pPr>
        <w:pStyle w:val="Heading1"/>
      </w:pPr>
      <w:r>
        <w:t>Customer Support</w:t>
      </w:r>
    </w:p>
    <w:p>
      <w:pPr>
        <w:pStyle w:val="Heading2"/>
      </w:pPr>
      <w:r>
        <w:t>Majburiyatlar</w:t>
      </w:r>
    </w:p>
    <w:p>
      <w:pPr>
        <w:pStyle w:val="ListBullet"/>
      </w:pPr>
      <w:r>
        <w:t>Murojaatlarni hal qilish</w:t>
      </w:r>
    </w:p>
    <w:p>
      <w:pPr>
        <w:pStyle w:val="ListBullet"/>
      </w:pPr>
      <w:r>
        <w:t>Shikoyatlar bilan ishlash</w:t>
      </w:r>
    </w:p>
    <w:p>
      <w:pPr>
        <w:pStyle w:val="ListBullet"/>
      </w:pPr>
      <w:r>
        <w:t>Qayta aloqa</w:t>
      </w:r>
    </w:p>
    <w:p>
      <w:pPr>
        <w:pStyle w:val="ListBullet"/>
      </w:pPr>
      <w:r>
        <w:t>SLA nazorati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First Response Time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Resolution Time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SLA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Shikoyatlar soni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Support hisoboti</w:t>
      </w:r>
    </w:p>
    <w:p>
      <w:pPr>
        <w:pStyle w:val="ListBullet"/>
      </w:pPr>
      <w:r>
        <w:t>SLA hisoboti</w:t>
      </w:r>
    </w:p>
    <w:p>
      <w:pPr>
        <w:pStyle w:val="Heading1"/>
      </w:pPr>
      <w:r>
        <w:t>Order Tracking</w:t>
      </w:r>
    </w:p>
    <w:p>
      <w:pPr>
        <w:pStyle w:val="Heading2"/>
      </w:pPr>
      <w:r>
        <w:t>Majburiyatlar</w:t>
      </w:r>
    </w:p>
    <w:p>
      <w:pPr>
        <w:pStyle w:val="ListBullet"/>
      </w:pPr>
      <w:r>
        <w:t>Buyurtmalarni kuzatish</w:t>
      </w:r>
    </w:p>
    <w:p>
      <w:pPr>
        <w:pStyle w:val="ListBullet"/>
      </w:pPr>
      <w:r>
        <w:t>Yetkazib berishni monitoring qilish</w:t>
      </w:r>
    </w:p>
    <w:p>
      <w:pPr>
        <w:pStyle w:val="ListBullet"/>
      </w:pPr>
      <w:r>
        <w:t>Mijozni xabardor qilish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O'z vaqtida yetkazish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Kechikishlar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Tracking aniqligi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Buyurtmalar reestri</w:t>
      </w:r>
    </w:p>
    <w:p>
      <w:pPr>
        <w:pStyle w:val="ListBullet"/>
      </w:pPr>
      <w:r>
        <w:t>Kechikishlar hisoboti</w:t>
      </w:r>
    </w:p>
    <w:p>
      <w:pPr>
        <w:pStyle w:val="Heading1"/>
      </w:pPr>
      <w:r>
        <w:t>Loyalty &amp; Feedback</w:t>
      </w:r>
    </w:p>
    <w:p>
      <w:pPr>
        <w:pStyle w:val="Heading2"/>
      </w:pPr>
      <w:r>
        <w:t>Majburiyatlar</w:t>
      </w:r>
    </w:p>
    <w:p>
      <w:pPr>
        <w:pStyle w:val="ListBullet"/>
      </w:pPr>
      <w:r>
        <w:t>NPS so'rovlari</w:t>
      </w:r>
    </w:p>
    <w:p>
      <w:pPr>
        <w:pStyle w:val="ListBullet"/>
      </w:pPr>
      <w:r>
        <w:t>CSAT yig'ish</w:t>
      </w:r>
    </w:p>
    <w:p>
      <w:pPr>
        <w:pStyle w:val="ListBullet"/>
      </w:pPr>
      <w:r>
        <w:t>Takroriy xaridlarni kuzatish</w:t>
      </w:r>
    </w:p>
    <w:p>
      <w:pPr>
        <w:pStyle w:val="ListBullet"/>
      </w:pPr>
      <w:r>
        <w:t>Takliflarni yig'ish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CSAT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Repeat Purchase Rate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NPS hisoboti</w:t>
      </w:r>
    </w:p>
    <w:p>
      <w:pPr>
        <w:pStyle w:val="ListBullet"/>
      </w:pPr>
      <w:r>
        <w:t>CSAT hisoboti</w:t>
      </w:r>
    </w:p>
    <w:p>
      <w:pPr>
        <w:pStyle w:val="Heading1"/>
      </w:pPr>
      <w:r>
        <w:t>Direksiya KPI</w:t>
      </w:r>
    </w:p>
    <w:p>
      <w:pPr>
        <w:pStyle w:val="ListBullet"/>
      </w:pPr>
      <w:r>
        <w:t>NPS</w:t>
      </w:r>
    </w:p>
    <w:p>
      <w:pPr>
        <w:pStyle w:val="ListBullet"/>
      </w:pPr>
      <w:r>
        <w:t>CSAT</w:t>
      </w:r>
    </w:p>
    <w:p>
      <w:pPr>
        <w:pStyle w:val="ListBullet"/>
      </w:pPr>
      <w:r>
        <w:t>First Response Time</w:t>
      </w:r>
    </w:p>
    <w:p>
      <w:pPr>
        <w:pStyle w:val="ListBullet"/>
      </w:pPr>
      <w:r>
        <w:t>Resolution Time</w:t>
      </w:r>
    </w:p>
    <w:p>
      <w:pPr>
        <w:pStyle w:val="ListBullet"/>
      </w:pPr>
      <w:r>
        <w:t>SLA</w:t>
      </w:r>
    </w:p>
    <w:p>
      <w:pPr>
        <w:pStyle w:val="ListBullet"/>
      </w:pPr>
      <w:r>
        <w:t>Repeat Purchase Rate</w:t>
      </w:r>
    </w:p>
    <w:p>
      <w:pPr>
        <w:pStyle w:val="ListBullet"/>
      </w:pPr>
      <w:r>
        <w:t>Complaint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