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AQ-01</w:t>
        <w:br/>
        <w:t>SAVDO DIREKTORI UCHUN AMALIY QO'LLANMA</w:t>
        <w:br/>
        <w:t>5-QISM</w:t>
      </w:r>
    </w:p>
    <w:p>
      <w:r>
        <w:t>Mavzu: Yig'ilishlar, qarorlar, amaliy keyslar va boshqaruv standartlari</w:t>
      </w:r>
    </w:p>
    <w:p>
      <w:pPr>
        <w:pStyle w:val="Heading1"/>
      </w:pPr>
      <w:r>
        <w:t>1. Direktor yig'ilishlari reglamenti</w:t>
      </w:r>
    </w:p>
    <w:p>
      <w:r>
        <w:t>Savdo direktori barcha yig'ilishlarni oldindan tasdiqlangan kun tartibi asosida o'tkazadi.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Yig'ilish turi</w:t>
            </w:r>
          </w:p>
        </w:tc>
        <w:tc>
          <w:tcPr>
            <w:tcW w:type="dxa" w:w="2160"/>
          </w:tcPr>
          <w:p>
            <w:r>
              <w:t>Davriyligi</w:t>
            </w:r>
          </w:p>
        </w:tc>
        <w:tc>
          <w:tcPr>
            <w:tcW w:type="dxa" w:w="2160"/>
          </w:tcPr>
          <w:p>
            <w:r>
              <w:t>Davomiyligi</w:t>
            </w:r>
          </w:p>
        </w:tc>
        <w:tc>
          <w:tcPr>
            <w:tcW w:type="dxa" w:w="2160"/>
          </w:tcPr>
          <w:p>
            <w:r>
              <w:t>Ishtirokchilar</w:t>
            </w:r>
          </w:p>
        </w:tc>
      </w:tr>
      <w:tr>
        <w:tc>
          <w:tcPr>
            <w:tcW w:type="dxa" w:w="2160"/>
          </w:tcPr>
          <w:p>
            <w:r>
              <w:t>Tezkor yig'ilish</w:t>
            </w:r>
          </w:p>
        </w:tc>
        <w:tc>
          <w:tcPr>
            <w:tcW w:type="dxa" w:w="2160"/>
          </w:tcPr>
          <w:p>
            <w:r>
              <w:t>Har kuni</w:t>
            </w:r>
          </w:p>
        </w:tc>
        <w:tc>
          <w:tcPr>
            <w:tcW w:type="dxa" w:w="2160"/>
          </w:tcPr>
          <w:p>
            <w:r>
              <w:t>15 daqiqa</w:t>
            </w:r>
          </w:p>
        </w:tc>
        <w:tc>
          <w:tcPr>
            <w:tcW w:type="dxa" w:w="2160"/>
          </w:tcPr>
          <w:p>
            <w:r>
              <w:t>Bo'lim rahbarlari</w:t>
            </w:r>
          </w:p>
        </w:tc>
      </w:tr>
      <w:tr>
        <w:tc>
          <w:tcPr>
            <w:tcW w:type="dxa" w:w="2160"/>
          </w:tcPr>
          <w:p>
            <w:r>
              <w:t>Haftalik KPI</w:t>
            </w:r>
          </w:p>
        </w:tc>
        <w:tc>
          <w:tcPr>
            <w:tcW w:type="dxa" w:w="2160"/>
          </w:tcPr>
          <w:p>
            <w:r>
              <w:t>Haftada 1 marta</w:t>
            </w:r>
          </w:p>
        </w:tc>
        <w:tc>
          <w:tcPr>
            <w:tcW w:type="dxa" w:w="2160"/>
          </w:tcPr>
          <w:p>
            <w:r>
              <w:t>60 daqiqa</w:t>
            </w:r>
          </w:p>
        </w:tc>
        <w:tc>
          <w:tcPr>
            <w:tcW w:type="dxa" w:w="2160"/>
          </w:tcPr>
          <w:p>
            <w:r>
              <w:t>Direksiya</w:t>
            </w:r>
          </w:p>
        </w:tc>
      </w:tr>
      <w:tr>
        <w:tc>
          <w:tcPr>
            <w:tcW w:type="dxa" w:w="2160"/>
          </w:tcPr>
          <w:p>
            <w:r>
              <w:t>Oylik natijalar</w:t>
            </w:r>
          </w:p>
        </w:tc>
        <w:tc>
          <w:tcPr>
            <w:tcW w:type="dxa" w:w="2160"/>
          </w:tcPr>
          <w:p>
            <w:r>
              <w:t>Oyda 1 marta</w:t>
            </w:r>
          </w:p>
        </w:tc>
        <w:tc>
          <w:tcPr>
            <w:tcW w:type="dxa" w:w="2160"/>
          </w:tcPr>
          <w:p>
            <w:r>
              <w:t>2 soat</w:t>
            </w:r>
          </w:p>
        </w:tc>
        <w:tc>
          <w:tcPr>
            <w:tcW w:type="dxa" w:w="2160"/>
          </w:tcPr>
          <w:p>
            <w:r>
              <w:t>CEO va direktor</w:t>
            </w:r>
          </w:p>
        </w:tc>
      </w:tr>
      <w:tr>
        <w:tc>
          <w:tcPr>
            <w:tcW w:type="dxa" w:w="2160"/>
          </w:tcPr>
          <w:p>
            <w:r>
              <w:t>Strategik sessiya</w:t>
            </w:r>
          </w:p>
        </w:tc>
        <w:tc>
          <w:tcPr>
            <w:tcW w:type="dxa" w:w="2160"/>
          </w:tcPr>
          <w:p>
            <w:r>
              <w:t>Chorakda 1 marta</w:t>
            </w:r>
          </w:p>
        </w:tc>
        <w:tc>
          <w:tcPr>
            <w:tcW w:type="dxa" w:w="2160"/>
          </w:tcPr>
          <w:p>
            <w:r>
              <w:t>4 soat</w:t>
            </w:r>
          </w:p>
        </w:tc>
        <w:tc>
          <w:tcPr>
            <w:tcW w:type="dxa" w:w="2160"/>
          </w:tcPr>
          <w:p>
            <w:r>
              <w:t>Rahbariyat</w:t>
            </w:r>
          </w:p>
        </w:tc>
      </w:tr>
    </w:tbl>
    <w:p>
      <w:pPr>
        <w:pStyle w:val="Heading1"/>
      </w:pPr>
      <w:r>
        <w:t>2. Yig'ilish bayonnomasi standarti</w:t>
      </w:r>
    </w:p>
    <w:p>
      <w:pPr>
        <w:pStyle w:val="ListBullet"/>
      </w:pPr>
      <w:r>
        <w:t>Sana va vaqt</w:t>
      </w:r>
    </w:p>
    <w:p>
      <w:pPr>
        <w:pStyle w:val="ListBullet"/>
      </w:pPr>
      <w:r>
        <w:t>Kun tartibi</w:t>
      </w:r>
    </w:p>
    <w:p>
      <w:pPr>
        <w:pStyle w:val="ListBullet"/>
      </w:pPr>
      <w:r>
        <w:t>Qabul qilingan qarorlar</w:t>
      </w:r>
    </w:p>
    <w:p>
      <w:pPr>
        <w:pStyle w:val="ListBullet"/>
      </w:pPr>
      <w:r>
        <w:t>Mas'ullar</w:t>
      </w:r>
    </w:p>
    <w:p>
      <w:pPr>
        <w:pStyle w:val="ListBullet"/>
      </w:pPr>
      <w:r>
        <w:t>Muddat</w:t>
      </w:r>
    </w:p>
    <w:p>
      <w:pPr>
        <w:pStyle w:val="ListBullet"/>
      </w:pPr>
      <w:r>
        <w:t>Nazorat sanasi</w:t>
      </w:r>
    </w:p>
    <w:p>
      <w:pPr>
        <w:pStyle w:val="ListBullet"/>
      </w:pPr>
      <w:r>
        <w:t>Direktor imzosi</w:t>
      </w:r>
    </w:p>
    <w:p>
      <w:pPr>
        <w:pStyle w:val="Heading1"/>
      </w:pPr>
      <w:r>
        <w:t>3. Qarorlarni nazorat qilish</w:t>
      </w:r>
    </w:p>
    <w:p>
      <w:r>
        <w:t>Har bir qaror Bitrix yoki ichki topshiriqlar reyestriga kiritiladi.</w:t>
      </w:r>
    </w:p>
    <w:p>
      <w:pPr>
        <w:pStyle w:val="ListBullet"/>
      </w:pPr>
      <w:r>
        <w:t>Qaror raqami</w:t>
      </w:r>
    </w:p>
    <w:p>
      <w:pPr>
        <w:pStyle w:val="ListBullet"/>
      </w:pPr>
      <w:r>
        <w:t>Mas'ul shaxs</w:t>
      </w:r>
    </w:p>
    <w:p>
      <w:pPr>
        <w:pStyle w:val="ListBullet"/>
      </w:pPr>
      <w:r>
        <w:t>Holati</w:t>
      </w:r>
    </w:p>
    <w:p>
      <w:pPr>
        <w:pStyle w:val="ListBullet"/>
      </w:pPr>
      <w:r>
        <w:t>Muddat</w:t>
      </w:r>
    </w:p>
    <w:p>
      <w:pPr>
        <w:pStyle w:val="ListBullet"/>
      </w:pPr>
      <w:r>
        <w:t>Ijro foizi</w:t>
      </w:r>
    </w:p>
    <w:p>
      <w:pPr>
        <w:pStyle w:val="ListBullet"/>
      </w:pPr>
      <w:r>
        <w:t>Yakuniy natija</w:t>
      </w:r>
    </w:p>
    <w:p>
      <w:pPr>
        <w:pStyle w:val="Heading1"/>
      </w:pPr>
      <w:r>
        <w:t>4. Direktorning 30/60/90 kunlik rejasi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Davr</w:t>
            </w:r>
          </w:p>
        </w:tc>
        <w:tc>
          <w:tcPr>
            <w:tcW w:type="dxa" w:w="4320"/>
          </w:tcPr>
          <w:p>
            <w:r>
              <w:t>Asosiy vazifalar</w:t>
            </w:r>
          </w:p>
        </w:tc>
      </w:tr>
      <w:tr>
        <w:tc>
          <w:tcPr>
            <w:tcW w:type="dxa" w:w="4320"/>
          </w:tcPr>
          <w:p>
            <w:r>
              <w:t>30 kun</w:t>
            </w:r>
          </w:p>
        </w:tc>
        <w:tc>
          <w:tcPr>
            <w:tcW w:type="dxa" w:w="4320"/>
          </w:tcPr>
          <w:p>
            <w:r>
              <w:t>Jamoani o'rganish, KPIlarni tekshirish, jarayonlarni tahlil qilish</w:t>
            </w:r>
          </w:p>
        </w:tc>
      </w:tr>
      <w:tr>
        <w:tc>
          <w:tcPr>
            <w:tcW w:type="dxa" w:w="4320"/>
          </w:tcPr>
          <w:p>
            <w:r>
              <w:t>60 kun</w:t>
            </w:r>
          </w:p>
        </w:tc>
        <w:tc>
          <w:tcPr>
            <w:tcW w:type="dxa" w:w="4320"/>
          </w:tcPr>
          <w:p>
            <w:r>
              <w:t>Muammolarni bartaraf etish, standartlarni joriy qilish</w:t>
            </w:r>
          </w:p>
        </w:tc>
      </w:tr>
      <w:tr>
        <w:tc>
          <w:tcPr>
            <w:tcW w:type="dxa" w:w="4320"/>
          </w:tcPr>
          <w:p>
            <w:r>
              <w:t>90 kun</w:t>
            </w:r>
          </w:p>
        </w:tc>
        <w:tc>
          <w:tcPr>
            <w:tcW w:type="dxa" w:w="4320"/>
          </w:tcPr>
          <w:p>
            <w:r>
              <w:t>Barqaror KPI, avtomatlashtirish va rivojlantirish rejasi</w:t>
            </w:r>
          </w:p>
        </w:tc>
      </w:tr>
    </w:tbl>
    <w:p>
      <w:pPr>
        <w:pStyle w:val="Heading1"/>
      </w:pPr>
      <w:r>
        <w:t>5. Amaliy keyslar</w:t>
      </w:r>
    </w:p>
    <w:p>
      <w:pPr>
        <w:pStyle w:val="Heading2"/>
      </w:pPr>
      <w:r>
        <w:t>Keys 1. Conversion pasaydi</w:t>
      </w:r>
    </w:p>
    <w:p>
      <w:r>
        <w:t>Harakatlar: KPI tahlili → Lead sifati → Savdo suhbatlari auditi → Tuzatish rejasi → Qayta monitoring.</w:t>
      </w:r>
    </w:p>
    <w:p>
      <w:pPr>
        <w:pStyle w:val="Heading2"/>
      </w:pPr>
      <w:r>
        <w:t>Keys 2. Leadlar kamaydi</w:t>
      </w:r>
    </w:p>
    <w:p>
      <w:r>
        <w:t>Harakatlar: Lead manbalari tahlili → Marketing bilan yig'ilish → Yangi reja → KPI nazorati.</w:t>
      </w:r>
    </w:p>
    <w:p>
      <w:pPr>
        <w:pStyle w:val="Heading2"/>
      </w:pPr>
      <w:r>
        <w:t>Keys 3. Shartnomalar kechikmoqda</w:t>
      </w:r>
    </w:p>
    <w:p>
      <w:r>
        <w:t>Harakatlar: Shartnoma jarayoni auditi → Yurist va savdo bo'limi bilan muhokama → Muddatlarni optimallashtirish.</w:t>
      </w:r>
    </w:p>
    <w:p>
      <w:pPr>
        <w:pStyle w:val="Heading1"/>
      </w:pPr>
      <w:r>
        <w:t>6. Ilovalar</w:t>
      </w:r>
    </w:p>
    <w:p>
      <w:pPr>
        <w:pStyle w:val="ListBullet"/>
      </w:pPr>
      <w:r>
        <w:t>Topshiriq kartasi</w:t>
      </w:r>
    </w:p>
    <w:p>
      <w:pPr>
        <w:pStyle w:val="ListBullet"/>
      </w:pPr>
      <w:r>
        <w:t>KPI hisoboti</w:t>
      </w:r>
    </w:p>
    <w:p>
      <w:pPr>
        <w:pStyle w:val="ListBullet"/>
      </w:pPr>
      <w:r>
        <w:t>Haftalik hisobot</w:t>
      </w:r>
    </w:p>
    <w:p>
      <w:pPr>
        <w:pStyle w:val="ListBullet"/>
      </w:pPr>
      <w:r>
        <w:t>Oylik hisobot</w:t>
      </w:r>
    </w:p>
    <w:p>
      <w:pPr>
        <w:pStyle w:val="ListBullet"/>
      </w:pPr>
      <w:r>
        <w:t>CEO Executive Report</w:t>
      </w:r>
    </w:p>
    <w:p>
      <w:pPr>
        <w:pStyle w:val="ListBullet"/>
      </w:pPr>
      <w:r>
        <w:t>Yig'ilish bayonnomasi</w:t>
      </w:r>
    </w:p>
    <w:p>
      <w:pPr>
        <w:pStyle w:val="ListBullet"/>
      </w:pPr>
      <w:r>
        <w:t>Qarorlar reyestri</w:t>
      </w:r>
    </w:p>
    <w:p>
      <w:pPr>
        <w:pStyle w:val="Heading1"/>
      </w:pPr>
      <w:r>
        <w:t>7. Direktorning yakuniy chek-listi</w:t>
      </w:r>
    </w:p>
    <w:p>
      <w:r>
        <w:t>□ KPIlar nazorat ostida</w:t>
      </w:r>
    </w:p>
    <w:p>
      <w:r>
        <w:t>□ Barcha topshiriqlar Bitrixda</w:t>
      </w:r>
    </w:p>
    <w:p>
      <w:r>
        <w:t>□ Hisobotlar tasdiqlangan</w:t>
      </w:r>
    </w:p>
    <w:p>
      <w:r>
        <w:t>□ Qarorlar ijrosi kuzatilmoqda</w:t>
      </w:r>
    </w:p>
    <w:p>
      <w:r>
        <w:t>□ CEO hisoboti yuborilgan</w:t>
      </w:r>
    </w:p>
    <w:p>
      <w:r>
        <w:t>□ Direksiya maqsadlari bajarilmoqda</w:t>
      </w:r>
    </w:p>
    <w:p>
      <w:pPr>
        <w:pStyle w:val="Heading1"/>
      </w:pPr>
      <w:r>
        <w:t>AQ-01 yakuni</w:t>
      </w:r>
    </w:p>
    <w:p>
      <w:r>
        <w:t>Mazkur qo'llanma Savdo direktorining kundalik, haftalik, oylik va strategik boshqaruv faoliyatini yagona korporativ standart asosida olib borishi uchun ishlab chiqilgan. Qo'llanma Direksiya pasporti (DP-01) bilan birgalikda qo'llaniladi.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