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AQ-03</w:t>
        <w:br/>
        <w:t>MOLIYA DIREKTORI UCHUN AMALIY QO'LLANMA</w:t>
        <w:br/>
        <w:t>1-QISM</w:t>
      </w:r>
    </w:p>
    <w:p>
      <w:r>
        <w:t>Kompaniya: Xaridlar.uz</w:t>
        <w:br/>
        <w:t>Hujjat kodi: AQ-03</w:t>
        <w:br/>
        <w:t>Versiya: 1.0</w:t>
        <w:br/>
        <w:t>Maqomi: Ichki foydalanish uchun</w:t>
      </w:r>
    </w:p>
    <w:p>
      <w:pPr>
        <w:pStyle w:val="Heading1"/>
      </w:pPr>
      <w:r>
        <w:t>1. Qo'llanmaning maqsadi</w:t>
      </w:r>
    </w:p>
    <w:p>
      <w:r>
        <w:t>Mazkur qo'llanma Moliya direktorining kundalik boshqaruv faoliyatini yagona korporativ standart asosida tashkil etish uchun ishlab chiqilgan. Hujjat moliyaviy rejalashtirish, pul oqimini boshqarish, topshiriqlarni delegatsiya qilish, nazorat qilish, hisobotlarni qabul qilish va CEOga boshqaruv hisobotini taqdim etish tartibini belgilaydi.</w:t>
      </w:r>
    </w:p>
    <w:p>
      <w:pPr>
        <w:pStyle w:val="Heading1"/>
      </w:pPr>
      <w:r>
        <w:t>2. Moliya direktorining missiyasi</w:t>
      </w:r>
    </w:p>
    <w:p>
      <w:r>
        <w:t>Kompaniyaning moliyaviy barqarorligini ta'minlash, pul oqimini samarali boshqarish va rahbariyatni ishonchli moliyaviy ma'lumotlar bilan ta'minlash.</w:t>
      </w:r>
    </w:p>
    <w:p>
      <w:pPr>
        <w:pStyle w:val="ListBullet"/>
      </w:pPr>
      <w:r>
        <w:t>BP-06 jarayoniga egalik qilish.</w:t>
      </w:r>
    </w:p>
    <w:p>
      <w:pPr>
        <w:pStyle w:val="ListBullet"/>
      </w:pPr>
      <w:r>
        <w:t>Cash Flow boshqaruvi.</w:t>
      </w:r>
    </w:p>
    <w:p>
      <w:pPr>
        <w:pStyle w:val="ListBullet"/>
      </w:pPr>
      <w:r>
        <w:t>Budjet ijrosini nazorat qilish.</w:t>
      </w:r>
    </w:p>
    <w:p>
      <w:pPr>
        <w:pStyle w:val="ListBullet"/>
      </w:pPr>
      <w:r>
        <w:t>Debitor va kreditor qarzdorlikni boshqarish.</w:t>
      </w:r>
    </w:p>
    <w:p>
      <w:pPr>
        <w:pStyle w:val="ListBullet"/>
      </w:pPr>
      <w:r>
        <w:t>Moliyaviy hisobotlar sifatini ta'minlash.</w:t>
      </w:r>
    </w:p>
    <w:p>
      <w:pPr>
        <w:pStyle w:val="ListBullet"/>
      </w:pPr>
      <w:r>
        <w:t>CEO va aksiyadorlar uchun moliyaviy tahlillarni tayyorlash.</w:t>
      </w:r>
    </w:p>
    <w:p>
      <w:pPr>
        <w:pStyle w:val="Heading1"/>
      </w:pPr>
      <w:r>
        <w:t>3. Boshqaruv tamoyillari</w:t>
      </w:r>
    </w:p>
    <w:tbl>
      <w:tblPr>
        <w:tblStyle w:val="TableGrid"/>
        <w:tblW w:type="auto" w:w="0"/>
        <w:tblLook w:firstColumn="1" w:firstRow="1" w:lastColumn="0" w:lastRow="0" w:noHBand="0" w:noVBand="1" w:val="04A0"/>
      </w:tblPr>
      <w:tblGrid>
        <w:gridCol w:w="4320"/>
        <w:gridCol w:w="4320"/>
      </w:tblGrid>
      <w:tr>
        <w:tc>
          <w:tcPr>
            <w:tcW w:type="dxa" w:w="4320"/>
          </w:tcPr>
          <w:p>
            <w:r>
              <w:t>Tamoyil</w:t>
            </w:r>
          </w:p>
        </w:tc>
        <w:tc>
          <w:tcPr>
            <w:tcW w:type="dxa" w:w="4320"/>
          </w:tcPr>
          <w:p>
            <w:r>
              <w:t>Mazmuni</w:t>
            </w:r>
          </w:p>
        </w:tc>
      </w:tr>
      <w:tr>
        <w:tc>
          <w:tcPr>
            <w:tcW w:type="dxa" w:w="4320"/>
          </w:tcPr>
          <w:p>
            <w:r>
              <w:t>1</w:t>
            </w:r>
          </w:p>
        </w:tc>
        <w:tc>
          <w:tcPr>
            <w:tcW w:type="dxa" w:w="4320"/>
          </w:tcPr>
          <w:p>
            <w:r>
              <w:t>Likvidlik doimo nazorat ostida</w:t>
            </w:r>
          </w:p>
        </w:tc>
      </w:tr>
      <w:tr>
        <w:tc>
          <w:tcPr>
            <w:tcW w:type="dxa" w:w="4320"/>
          </w:tcPr>
          <w:p>
            <w:r>
              <w:t>2</w:t>
            </w:r>
          </w:p>
        </w:tc>
        <w:tc>
          <w:tcPr>
            <w:tcW w:type="dxa" w:w="4320"/>
          </w:tcPr>
          <w:p>
            <w:r>
              <w:t>Har bir xarajat budjet bilan asoslanadi</w:t>
            </w:r>
          </w:p>
        </w:tc>
      </w:tr>
      <w:tr>
        <w:tc>
          <w:tcPr>
            <w:tcW w:type="dxa" w:w="4320"/>
          </w:tcPr>
          <w:p>
            <w:r>
              <w:t>3</w:t>
            </w:r>
          </w:p>
        </w:tc>
        <w:tc>
          <w:tcPr>
            <w:tcW w:type="dxa" w:w="4320"/>
          </w:tcPr>
          <w:p>
            <w:r>
              <w:t>Pul oqimi foydadan ustuvor nazorat qilinadi</w:t>
            </w:r>
          </w:p>
        </w:tc>
      </w:tr>
      <w:tr>
        <w:tc>
          <w:tcPr>
            <w:tcW w:type="dxa" w:w="4320"/>
          </w:tcPr>
          <w:p>
            <w:r>
              <w:t>4</w:t>
            </w:r>
          </w:p>
        </w:tc>
        <w:tc>
          <w:tcPr>
            <w:tcW w:type="dxa" w:w="4320"/>
          </w:tcPr>
          <w:p>
            <w:r>
              <w:t>Moliyaviy ma'lumotlar yagona manbadan olinadi</w:t>
            </w:r>
          </w:p>
        </w:tc>
      </w:tr>
      <w:tr>
        <w:tc>
          <w:tcPr>
            <w:tcW w:type="dxa" w:w="4320"/>
          </w:tcPr>
          <w:p>
            <w:r>
              <w:t>5</w:t>
            </w:r>
          </w:p>
        </w:tc>
        <w:tc>
          <w:tcPr>
            <w:tcW w:type="dxa" w:w="4320"/>
          </w:tcPr>
          <w:p>
            <w:r>
              <w:t>Hisobotlar o'z vaqtida tayyorlanadi</w:t>
            </w:r>
          </w:p>
        </w:tc>
      </w:tr>
      <w:tr>
        <w:tc>
          <w:tcPr>
            <w:tcW w:type="dxa" w:w="4320"/>
          </w:tcPr>
          <w:p>
            <w:r>
              <w:t>6</w:t>
            </w:r>
          </w:p>
        </w:tc>
        <w:tc>
          <w:tcPr>
            <w:tcW w:type="dxa" w:w="4320"/>
          </w:tcPr>
          <w:p>
            <w:r>
              <w:t>Har bir qaror moliyaviy ta'siri bilan baholanadi</w:t>
            </w:r>
          </w:p>
        </w:tc>
      </w:tr>
    </w:tbl>
    <w:p>
      <w:pPr>
        <w:pStyle w:val="Heading1"/>
      </w:pPr>
      <w:r>
        <w:t>4. Kundalik boshqaruv sikli</w:t>
      </w:r>
    </w:p>
    <w:tbl>
      <w:tblPr>
        <w:tblStyle w:val="TableGrid"/>
        <w:tblW w:type="auto" w:w="0"/>
        <w:tblLook w:firstColumn="1" w:firstRow="1" w:lastColumn="0" w:lastRow="0" w:noHBand="0" w:noVBand="1" w:val="04A0"/>
      </w:tblPr>
      <w:tblGrid>
        <w:gridCol w:w="4320"/>
        <w:gridCol w:w="4320"/>
      </w:tblGrid>
      <w:tr>
        <w:tc>
          <w:tcPr>
            <w:tcW w:type="dxa" w:w="4320"/>
          </w:tcPr>
          <w:p>
            <w:r>
              <w:t>Vaqt</w:t>
            </w:r>
          </w:p>
        </w:tc>
        <w:tc>
          <w:tcPr>
            <w:tcW w:type="dxa" w:w="4320"/>
          </w:tcPr>
          <w:p>
            <w:r>
              <w:t>Amal</w:t>
            </w:r>
          </w:p>
        </w:tc>
      </w:tr>
      <w:tr>
        <w:tc>
          <w:tcPr>
            <w:tcW w:type="dxa" w:w="4320"/>
          </w:tcPr>
          <w:p>
            <w:r>
              <w:t>08:30</w:t>
            </w:r>
          </w:p>
        </w:tc>
        <w:tc>
          <w:tcPr>
            <w:tcW w:type="dxa" w:w="4320"/>
          </w:tcPr>
          <w:p>
            <w:r>
              <w:t>Cash Flow va bank qoldiqlarini tekshirish</w:t>
            </w:r>
          </w:p>
        </w:tc>
      </w:tr>
      <w:tr>
        <w:tc>
          <w:tcPr>
            <w:tcW w:type="dxa" w:w="4320"/>
          </w:tcPr>
          <w:p>
            <w:r>
              <w:t>09:00</w:t>
            </w:r>
          </w:p>
        </w:tc>
        <w:tc>
          <w:tcPr>
            <w:tcW w:type="dxa" w:w="4320"/>
          </w:tcPr>
          <w:p>
            <w:r>
              <w:t>Moliya bo'limi yig'ilishi</w:t>
            </w:r>
          </w:p>
        </w:tc>
      </w:tr>
      <w:tr>
        <w:tc>
          <w:tcPr>
            <w:tcW w:type="dxa" w:w="4320"/>
          </w:tcPr>
          <w:p>
            <w:r>
              <w:t>10:00</w:t>
            </w:r>
          </w:p>
        </w:tc>
        <w:tc>
          <w:tcPr>
            <w:tcW w:type="dxa" w:w="4320"/>
          </w:tcPr>
          <w:p>
            <w:r>
              <w:t>To'lov kalendarini tasdiqlash</w:t>
            </w:r>
          </w:p>
        </w:tc>
      </w:tr>
      <w:tr>
        <w:tc>
          <w:tcPr>
            <w:tcW w:type="dxa" w:w="4320"/>
          </w:tcPr>
          <w:p>
            <w:r>
              <w:t>14:00</w:t>
            </w:r>
          </w:p>
        </w:tc>
        <w:tc>
          <w:tcPr>
            <w:tcW w:type="dxa" w:w="4320"/>
          </w:tcPr>
          <w:p>
            <w:r>
              <w:t>Budjet va xarajatlarni monitoring qilish</w:t>
            </w:r>
          </w:p>
        </w:tc>
      </w:tr>
      <w:tr>
        <w:tc>
          <w:tcPr>
            <w:tcW w:type="dxa" w:w="4320"/>
          </w:tcPr>
          <w:p>
            <w:r>
              <w:t>16:30</w:t>
            </w:r>
          </w:p>
        </w:tc>
        <w:tc>
          <w:tcPr>
            <w:tcW w:type="dxa" w:w="4320"/>
          </w:tcPr>
          <w:p>
            <w:r>
              <w:t>Debitor/Kreditor tahlili</w:t>
            </w:r>
          </w:p>
        </w:tc>
      </w:tr>
      <w:tr>
        <w:tc>
          <w:tcPr>
            <w:tcW w:type="dxa" w:w="4320"/>
          </w:tcPr>
          <w:p>
            <w:r>
              <w:t>17:30</w:t>
            </w:r>
          </w:p>
        </w:tc>
        <w:tc>
          <w:tcPr>
            <w:tcW w:type="dxa" w:w="4320"/>
          </w:tcPr>
          <w:p>
            <w:r>
              <w:t>Hisobotlarni qabul qilish</w:t>
            </w:r>
          </w:p>
        </w:tc>
      </w:tr>
      <w:tr>
        <w:tc>
          <w:tcPr>
            <w:tcW w:type="dxa" w:w="4320"/>
          </w:tcPr>
          <w:p>
            <w:r>
              <w:t>18:00</w:t>
            </w:r>
          </w:p>
        </w:tc>
        <w:tc>
          <w:tcPr>
            <w:tcW w:type="dxa" w:w="4320"/>
          </w:tcPr>
          <w:p>
            <w:r>
              <w:t>CEO uchun moliyaviy xulosa</w:t>
            </w:r>
          </w:p>
        </w:tc>
      </w:tr>
    </w:tbl>
    <w:p>
      <w:pPr>
        <w:pStyle w:val="Heading1"/>
      </w:pPr>
      <w:r>
        <w:t>5. SMART+ topshiriq standarti</w:t>
      </w:r>
    </w:p>
    <w:p>
      <w:pPr>
        <w:pStyle w:val="ListBullet"/>
      </w:pPr>
      <w:r>
        <w:t>Maqsad</w:t>
      </w:r>
    </w:p>
    <w:p>
      <w:pPr>
        <w:pStyle w:val="ListBullet"/>
      </w:pPr>
      <w:r>
        <w:t>Kutilayotgan natija</w:t>
      </w:r>
    </w:p>
    <w:p>
      <w:pPr>
        <w:pStyle w:val="ListBullet"/>
      </w:pPr>
      <w:r>
        <w:t>KPI</w:t>
      </w:r>
    </w:p>
    <w:p>
      <w:pPr>
        <w:pStyle w:val="ListBullet"/>
      </w:pPr>
      <w:r>
        <w:t>Mas'ul</w:t>
      </w:r>
    </w:p>
    <w:p>
      <w:pPr>
        <w:pStyle w:val="ListBullet"/>
      </w:pPr>
      <w:r>
        <w:t>Muddat</w:t>
      </w:r>
    </w:p>
    <w:p>
      <w:pPr>
        <w:pStyle w:val="ListBullet"/>
      </w:pPr>
      <w:r>
        <w:t>Resurs</w:t>
      </w:r>
    </w:p>
    <w:p>
      <w:pPr>
        <w:pStyle w:val="ListBullet"/>
      </w:pPr>
      <w:r>
        <w:t>Risk</w:t>
      </w:r>
    </w:p>
    <w:p>
      <w:pPr>
        <w:pStyle w:val="ListBullet"/>
      </w:pPr>
      <w:r>
        <w:t>Nazorat sanasi</w:t>
      </w:r>
    </w:p>
    <w:p>
      <w:pPr>
        <w:pStyle w:val="ListBullet"/>
      </w:pPr>
      <w:r>
        <w:t>Hisobot shakli</w:t>
      </w:r>
    </w:p>
    <w:p>
      <w:pPr>
        <w:pStyle w:val="Heading1"/>
      </w:pPr>
      <w:r>
        <w:t>6. Moliyaviy topshiriq kartasi</w:t>
      </w:r>
    </w:p>
    <w:p>
      <w:r>
        <w:t>Topshiriq:</w:t>
        <w:br/>
        <w:t>Jarayon:</w:t>
        <w:br/>
        <w:t>Mas'ul:</w:t>
        <w:br/>
        <w:t>Boshlanish sanasi:</w:t>
        <w:br/>
        <w:t>Tugash sanasi:</w:t>
        <w:br/>
        <w:t>KPI:</w:t>
        <w:br/>
        <w:t>Budjet:</w:t>
        <w:br/>
        <w:t>Nazorat sanasi:</w:t>
        <w:br/>
        <w:t>Hisobot shakli:</w:t>
      </w:r>
    </w:p>
    <w:p>
      <w:pPr>
        <w:pStyle w:val="Heading1"/>
      </w:pPr>
      <w:r>
        <w:t>7. Direktorning kundalik chek-listi</w:t>
      </w:r>
    </w:p>
    <w:p>
      <w:pPr>
        <w:pStyle w:val="ListBullet"/>
      </w:pPr>
      <w:r>
        <w:t>□ Cash Flow tekshirildi</w:t>
      </w:r>
    </w:p>
    <w:p>
      <w:pPr>
        <w:pStyle w:val="ListBullet"/>
      </w:pPr>
      <w:r>
        <w:t>□ To'lov kalendari tasdiqlandi</w:t>
      </w:r>
    </w:p>
    <w:p>
      <w:pPr>
        <w:pStyle w:val="ListBullet"/>
      </w:pPr>
      <w:r>
        <w:t>□ Budjet og'ishlari tahlil qilindi</w:t>
      </w:r>
    </w:p>
    <w:p>
      <w:pPr>
        <w:pStyle w:val="ListBullet"/>
      </w:pPr>
      <w:r>
        <w:t>□ Debitor/Kreditor holati ko'rildi</w:t>
      </w:r>
    </w:p>
    <w:p>
      <w:pPr>
        <w:pStyle w:val="ListBullet"/>
      </w:pPr>
      <w:r>
        <w:t>□ Hisobotlar qabul qilindi</w:t>
      </w:r>
    </w:p>
    <w:p>
      <w:pPr>
        <w:pStyle w:val="ListBullet"/>
      </w:pPr>
      <w:r>
        <w:t>□ CEO hisoboti tayyorlandi</w:t>
      </w:r>
    </w:p>
    <w:p>
      <w:pPr>
        <w:pStyle w:val="Heading1"/>
      </w:pPr>
      <w:r>
        <w:t>1-qism yakuni</w:t>
      </w:r>
    </w:p>
    <w:p>
      <w:r>
        <w:t>2-qismda topshiriqlarni delegatsiya qilish, moliyaviy nazorat, to'lovlarni tasdiqlash va eskalatsiya tartibi bayon qilinadi.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