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AQ-04</w:t>
        <w:br/>
        <w:t>CUSTOMER SUCCESS DIREKTORI UCHUN AMALIY QO'LLANMA</w:t>
        <w:br/>
        <w:t>1-QISM</w:t>
      </w:r>
    </w:p>
    <w:p>
      <w:r>
        <w:t>Kompaniya: Xaridlar.uz</w:t>
        <w:br/>
        <w:t>Hujjat kodi: AQ-04</w:t>
        <w:br/>
        <w:t>Versiya: 1.0</w:t>
        <w:br/>
        <w:t>Maqomi: Ichki foydalanish uchun</w:t>
      </w:r>
    </w:p>
    <w:p>
      <w:pPr>
        <w:pStyle w:val="Heading1"/>
      </w:pPr>
      <w:r>
        <w:t>1. Qo'llanmaning maqsadi</w:t>
      </w:r>
    </w:p>
    <w:p>
      <w:r>
        <w:t>Mazkur qo'llanma Customer Success direktorining kundalik boshqaruv faoliyatini yagona korporativ standart asosida tashkil etish uchun ishlab chiqilgan. Hujjat mijozlarga xizmat ko'rsatish jarayonlari, topshiriqlarni boshqarish, SLA nazorati, hisobotlarni qabul qilish va CEOga boshqaruv hisobotini taqdim etish tartibini belgilaydi.</w:t>
      </w:r>
    </w:p>
    <w:p>
      <w:pPr>
        <w:pStyle w:val="Heading1"/>
      </w:pPr>
      <w:r>
        <w:t>2. Customer Success direktorining missiyasi</w:t>
      </w:r>
    </w:p>
    <w:p>
      <w:r>
        <w:t>Har bir mijoz uchun barqaror va yuqori sifatli xizmat ko'rsatishni ta'minlash, mijoz sodiqligini oshirish va murojaatlarni o'z vaqtida hal qilish.</w:t>
      </w:r>
    </w:p>
    <w:p>
      <w:pPr>
        <w:pStyle w:val="ListBullet"/>
      </w:pPr>
      <w:r>
        <w:t>BP-04 va BP-08 jarayonlariga egalik qilish.</w:t>
      </w:r>
    </w:p>
    <w:p>
      <w:pPr>
        <w:pStyle w:val="ListBullet"/>
      </w:pPr>
      <w:r>
        <w:t>Call Center, Support va Order Tracking faoliyatini boshqarish.</w:t>
      </w:r>
    </w:p>
    <w:p>
      <w:pPr>
        <w:pStyle w:val="ListBullet"/>
      </w:pPr>
      <w:r>
        <w:t>SLA va mijoz tajribasi KPIlarini nazorat qilish.</w:t>
      </w:r>
    </w:p>
    <w:p>
      <w:pPr>
        <w:pStyle w:val="ListBullet"/>
      </w:pPr>
      <w:r>
        <w:t>NPS va CSAT ko'rsatkichlarini yaxshilash.</w:t>
      </w:r>
    </w:p>
    <w:p>
      <w:pPr>
        <w:pStyle w:val="ListBullet"/>
      </w:pPr>
      <w:r>
        <w:t>Shikoyatlar sabablarini bartaraf etish.</w:t>
      </w:r>
    </w:p>
    <w:p>
      <w:pPr>
        <w:pStyle w:val="ListBullet"/>
      </w:pPr>
      <w:r>
        <w:t>CEOga mijozlar holati bo'yicha boshqaruv hisobotini taqdim etish.</w:t>
      </w:r>
    </w:p>
    <w:p>
      <w:pPr>
        <w:pStyle w:val="Heading1"/>
      </w:pPr>
      <w:r>
        <w:t>3. Boshqaruv tamoyillari</w:t>
      </w:r>
    </w:p>
    <w:tbl>
      <w:tblPr>
        <w:tblStyle w:val="TableGrid"/>
        <w:tblW w:type="auto" w:w="0"/>
        <w:tblLook w:firstColumn="1" w:firstRow="1" w:lastColumn="0" w:lastRow="0" w:noHBand="0" w:noVBand="1" w:val="04A0"/>
      </w:tblPr>
      <w:tblGrid>
        <w:gridCol w:w="4320"/>
        <w:gridCol w:w="4320"/>
      </w:tblGrid>
      <w:tr>
        <w:tc>
          <w:tcPr>
            <w:tcW w:type="dxa" w:w="4320"/>
          </w:tcPr>
          <w:p>
            <w:r>
              <w:t>Tamoyil</w:t>
            </w:r>
          </w:p>
        </w:tc>
        <w:tc>
          <w:tcPr>
            <w:tcW w:type="dxa" w:w="4320"/>
          </w:tcPr>
          <w:p>
            <w:r>
              <w:t>Mazmuni</w:t>
            </w:r>
          </w:p>
        </w:tc>
      </w:tr>
      <w:tr>
        <w:tc>
          <w:tcPr>
            <w:tcW w:type="dxa" w:w="4320"/>
          </w:tcPr>
          <w:p>
            <w:r>
              <w:t>1</w:t>
            </w:r>
          </w:p>
        </w:tc>
        <w:tc>
          <w:tcPr>
            <w:tcW w:type="dxa" w:w="4320"/>
          </w:tcPr>
          <w:p>
            <w:r>
              <w:t>Mijoz manfaati ustuvor</w:t>
            </w:r>
          </w:p>
        </w:tc>
      </w:tr>
      <w:tr>
        <w:tc>
          <w:tcPr>
            <w:tcW w:type="dxa" w:w="4320"/>
          </w:tcPr>
          <w:p>
            <w:r>
              <w:t>2</w:t>
            </w:r>
          </w:p>
        </w:tc>
        <w:tc>
          <w:tcPr>
            <w:tcW w:type="dxa" w:w="4320"/>
          </w:tcPr>
          <w:p>
            <w:r>
              <w:t>Har bir murojaat SLA asosida boshqariladi</w:t>
            </w:r>
          </w:p>
        </w:tc>
      </w:tr>
      <w:tr>
        <w:tc>
          <w:tcPr>
            <w:tcW w:type="dxa" w:w="4320"/>
          </w:tcPr>
          <w:p>
            <w:r>
              <w:t>3</w:t>
            </w:r>
          </w:p>
        </w:tc>
        <w:tc>
          <w:tcPr>
            <w:tcW w:type="dxa" w:w="4320"/>
          </w:tcPr>
          <w:p>
            <w:r>
              <w:t>Muammo emas, sabab bartaraf etiladi</w:t>
            </w:r>
          </w:p>
        </w:tc>
      </w:tr>
      <w:tr>
        <w:tc>
          <w:tcPr>
            <w:tcW w:type="dxa" w:w="4320"/>
          </w:tcPr>
          <w:p>
            <w:r>
              <w:t>4</w:t>
            </w:r>
          </w:p>
        </w:tc>
        <w:tc>
          <w:tcPr>
            <w:tcW w:type="dxa" w:w="4320"/>
          </w:tcPr>
          <w:p>
            <w:r>
              <w:t>Har bir topshiriq egasi aniq</w:t>
            </w:r>
          </w:p>
        </w:tc>
      </w:tr>
      <w:tr>
        <w:tc>
          <w:tcPr>
            <w:tcW w:type="dxa" w:w="4320"/>
          </w:tcPr>
          <w:p>
            <w:r>
              <w:t>5</w:t>
            </w:r>
          </w:p>
        </w:tc>
        <w:tc>
          <w:tcPr>
            <w:tcW w:type="dxa" w:w="4320"/>
          </w:tcPr>
          <w:p>
            <w:r>
              <w:t>Barcha murojaatlar CRMda qayd etiladi</w:t>
            </w:r>
          </w:p>
        </w:tc>
      </w:tr>
      <w:tr>
        <w:tc>
          <w:tcPr>
            <w:tcW w:type="dxa" w:w="4320"/>
          </w:tcPr>
          <w:p>
            <w:r>
              <w:t>6</w:t>
            </w:r>
          </w:p>
        </w:tc>
        <w:tc>
          <w:tcPr>
            <w:tcW w:type="dxa" w:w="4320"/>
          </w:tcPr>
          <w:p>
            <w:r>
              <w:t>Hisobotlar faktlarga asoslanadi</w:t>
            </w:r>
          </w:p>
        </w:tc>
      </w:tr>
    </w:tbl>
    <w:p>
      <w:pPr>
        <w:pStyle w:val="Heading1"/>
      </w:pPr>
      <w:r>
        <w:t>4. Kundalik boshqaruv sikli</w:t>
      </w:r>
    </w:p>
    <w:tbl>
      <w:tblPr>
        <w:tblStyle w:val="TableGrid"/>
        <w:tblW w:type="auto" w:w="0"/>
        <w:tblLook w:firstColumn="1" w:firstRow="1" w:lastColumn="0" w:lastRow="0" w:noHBand="0" w:noVBand="1" w:val="04A0"/>
      </w:tblPr>
      <w:tblGrid>
        <w:gridCol w:w="4320"/>
        <w:gridCol w:w="4320"/>
      </w:tblGrid>
      <w:tr>
        <w:tc>
          <w:tcPr>
            <w:tcW w:type="dxa" w:w="4320"/>
          </w:tcPr>
          <w:p>
            <w:r>
              <w:t>Vaqt</w:t>
            </w:r>
          </w:p>
        </w:tc>
        <w:tc>
          <w:tcPr>
            <w:tcW w:type="dxa" w:w="4320"/>
          </w:tcPr>
          <w:p>
            <w:r>
              <w:t>Amal</w:t>
            </w:r>
          </w:p>
        </w:tc>
      </w:tr>
      <w:tr>
        <w:tc>
          <w:tcPr>
            <w:tcW w:type="dxa" w:w="4320"/>
          </w:tcPr>
          <w:p>
            <w:r>
              <w:t>08:30</w:t>
            </w:r>
          </w:p>
        </w:tc>
        <w:tc>
          <w:tcPr>
            <w:tcW w:type="dxa" w:w="4320"/>
          </w:tcPr>
          <w:p>
            <w:r>
              <w:t>Dashboard va SLAni tekshirish</w:t>
            </w:r>
          </w:p>
        </w:tc>
      </w:tr>
      <w:tr>
        <w:tc>
          <w:tcPr>
            <w:tcW w:type="dxa" w:w="4320"/>
          </w:tcPr>
          <w:p>
            <w:r>
              <w:t>09:00</w:t>
            </w:r>
          </w:p>
        </w:tc>
        <w:tc>
          <w:tcPr>
            <w:tcW w:type="dxa" w:w="4320"/>
          </w:tcPr>
          <w:p>
            <w:r>
              <w:t>Customer Success yig'ilishi</w:t>
            </w:r>
          </w:p>
        </w:tc>
      </w:tr>
      <w:tr>
        <w:tc>
          <w:tcPr>
            <w:tcW w:type="dxa" w:w="4320"/>
          </w:tcPr>
          <w:p>
            <w:r>
              <w:t>10:00</w:t>
            </w:r>
          </w:p>
        </w:tc>
        <w:tc>
          <w:tcPr>
            <w:tcW w:type="dxa" w:w="4320"/>
          </w:tcPr>
          <w:p>
            <w:r>
              <w:t>Qizil murojaatlarni ko'rib chiqish</w:t>
            </w:r>
          </w:p>
        </w:tc>
      </w:tr>
      <w:tr>
        <w:tc>
          <w:tcPr>
            <w:tcW w:type="dxa" w:w="4320"/>
          </w:tcPr>
          <w:p>
            <w:r>
              <w:t>14:00</w:t>
            </w:r>
          </w:p>
        </w:tc>
        <w:tc>
          <w:tcPr>
            <w:tcW w:type="dxa" w:w="4320"/>
          </w:tcPr>
          <w:p>
            <w:r>
              <w:t>Order Tracking nazorati</w:t>
            </w:r>
          </w:p>
        </w:tc>
      </w:tr>
      <w:tr>
        <w:tc>
          <w:tcPr>
            <w:tcW w:type="dxa" w:w="4320"/>
          </w:tcPr>
          <w:p>
            <w:r>
              <w:t>16:30</w:t>
            </w:r>
          </w:p>
        </w:tc>
        <w:tc>
          <w:tcPr>
            <w:tcW w:type="dxa" w:w="4320"/>
          </w:tcPr>
          <w:p>
            <w:r>
              <w:t>NPS/CSAT va shikoyatlar tahlili</w:t>
            </w:r>
          </w:p>
        </w:tc>
      </w:tr>
      <w:tr>
        <w:tc>
          <w:tcPr>
            <w:tcW w:type="dxa" w:w="4320"/>
          </w:tcPr>
          <w:p>
            <w:r>
              <w:t>17:30</w:t>
            </w:r>
          </w:p>
        </w:tc>
        <w:tc>
          <w:tcPr>
            <w:tcW w:type="dxa" w:w="4320"/>
          </w:tcPr>
          <w:p>
            <w:r>
              <w:t>Hisobotlarni qabul qilish</w:t>
            </w:r>
          </w:p>
        </w:tc>
      </w:tr>
      <w:tr>
        <w:tc>
          <w:tcPr>
            <w:tcW w:type="dxa" w:w="4320"/>
          </w:tcPr>
          <w:p>
            <w:r>
              <w:t>18:00</w:t>
            </w:r>
          </w:p>
        </w:tc>
        <w:tc>
          <w:tcPr>
            <w:tcW w:type="dxa" w:w="4320"/>
          </w:tcPr>
          <w:p>
            <w:r>
              <w:t>CEO uchun xulosa tayyorlash</w:t>
            </w:r>
          </w:p>
        </w:tc>
      </w:tr>
    </w:tbl>
    <w:p>
      <w:pPr>
        <w:pStyle w:val="Heading1"/>
      </w:pPr>
      <w:r>
        <w:t>5. SMART+ topshiriq standarti</w:t>
      </w:r>
    </w:p>
    <w:p>
      <w:pPr>
        <w:pStyle w:val="ListBullet"/>
      </w:pPr>
      <w:r>
        <w:t>Maqsad</w:t>
      </w:r>
    </w:p>
    <w:p>
      <w:pPr>
        <w:pStyle w:val="ListBullet"/>
      </w:pPr>
      <w:r>
        <w:t>Kutilayotgan natija</w:t>
      </w:r>
    </w:p>
    <w:p>
      <w:pPr>
        <w:pStyle w:val="ListBullet"/>
      </w:pPr>
      <w:r>
        <w:t>KPI</w:t>
      </w:r>
    </w:p>
    <w:p>
      <w:pPr>
        <w:pStyle w:val="ListBullet"/>
      </w:pPr>
      <w:r>
        <w:t>Mas'ul</w:t>
      </w:r>
    </w:p>
    <w:p>
      <w:pPr>
        <w:pStyle w:val="ListBullet"/>
      </w:pPr>
      <w:r>
        <w:t>Muddat</w:t>
      </w:r>
    </w:p>
    <w:p>
      <w:pPr>
        <w:pStyle w:val="ListBullet"/>
      </w:pPr>
      <w:r>
        <w:t>Resurs</w:t>
      </w:r>
    </w:p>
    <w:p>
      <w:pPr>
        <w:pStyle w:val="ListBullet"/>
      </w:pPr>
      <w:r>
        <w:t>Risk</w:t>
      </w:r>
    </w:p>
    <w:p>
      <w:pPr>
        <w:pStyle w:val="ListBullet"/>
      </w:pPr>
      <w:r>
        <w:t>Nazorat sanasi</w:t>
      </w:r>
    </w:p>
    <w:p>
      <w:pPr>
        <w:pStyle w:val="ListBullet"/>
      </w:pPr>
      <w:r>
        <w:t>Hisobot shakli</w:t>
      </w:r>
    </w:p>
    <w:p>
      <w:pPr>
        <w:pStyle w:val="Heading1"/>
      </w:pPr>
      <w:r>
        <w:t>6. Customer Success topshirig'i kartasi</w:t>
      </w:r>
    </w:p>
    <w:p>
      <w:r>
        <w:t>Topshiriq:</w:t>
        <w:br/>
        <w:t>Jarayon:</w:t>
        <w:br/>
        <w:t>Mas'ul:</w:t>
        <w:br/>
        <w:t>Boshlanish sanasi:</w:t>
        <w:br/>
        <w:t>Tugash sanasi:</w:t>
        <w:br/>
        <w:t>KPI (SLA/NPS/CSAT):</w:t>
        <w:br/>
        <w:t>Nazorat sanasi:</w:t>
        <w:br/>
        <w:t>Hisobot shakli:</w:t>
      </w:r>
    </w:p>
    <w:p>
      <w:pPr>
        <w:pStyle w:val="Heading1"/>
      </w:pPr>
      <w:r>
        <w:t>7. Direktorning kundalik chek-listi</w:t>
      </w:r>
    </w:p>
    <w:p>
      <w:pPr>
        <w:pStyle w:val="ListBullet"/>
      </w:pPr>
      <w:r>
        <w:t>□ SLA tekshirildi</w:t>
      </w:r>
    </w:p>
    <w:p>
      <w:pPr>
        <w:pStyle w:val="ListBullet"/>
      </w:pPr>
      <w:r>
        <w:t>□ Qizil murojaatlar ko'rib chiqildi</w:t>
      </w:r>
    </w:p>
    <w:p>
      <w:pPr>
        <w:pStyle w:val="ListBullet"/>
      </w:pPr>
      <w:r>
        <w:t>□ NPS/CSAT tahlil qilindi</w:t>
      </w:r>
    </w:p>
    <w:p>
      <w:pPr>
        <w:pStyle w:val="ListBullet"/>
      </w:pPr>
      <w:r>
        <w:t>□ Order Tracking nazorat qilindi</w:t>
      </w:r>
    </w:p>
    <w:p>
      <w:pPr>
        <w:pStyle w:val="ListBullet"/>
      </w:pPr>
      <w:r>
        <w:t>□ Hisobotlar qabul qilindi</w:t>
      </w:r>
    </w:p>
    <w:p>
      <w:pPr>
        <w:pStyle w:val="ListBullet"/>
      </w:pPr>
      <w:r>
        <w:t>□ CEO hisoboti tayyorlandi</w:t>
      </w:r>
    </w:p>
    <w:p>
      <w:pPr>
        <w:pStyle w:val="Heading1"/>
      </w:pPr>
      <w:r>
        <w:t>1-qism yakuni</w:t>
      </w:r>
    </w:p>
    <w:p>
      <w:r>
        <w:t>2-qismda topshiriqlarni delegatsiya qilish, SLA nazorati, mijoz murojaatlarini boshqarish va eskalatsiya tartibi bayon qilinadi.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