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VII-QATLAM</w:t>
        <w:br/>
        <w:t>MOLIYA ARXITEKTURASI</w:t>
        <w:br/>
        <w:t>(Finance Architecture)</w:t>
      </w:r>
    </w:p>
    <w:p>
      <w:r>
        <w:rPr>
          <w:b/>
        </w:rPr>
        <w:t xml:space="preserve">Hujjat kodi: </w:t>
      </w:r>
      <w:r>
        <w:t>HBA-07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Kompaniyaning pul oqimini, moliyalashtirish manbalarini, investorlar bilan ishlashni, qarzdorliklarni va moliyaviy barqarorlikni tizimli boshqarish.</w:t>
      </w:r>
    </w:p>
    <w:p>
      <w:pPr>
        <w:pStyle w:val="Heading2"/>
      </w:pPr>
      <w:r>
        <w:t>2. Ta'rif</w:t>
      </w:r>
    </w:p>
    <w:p>
      <w:r>
        <w:t>Moliya arxitekturasi — buyurtmani moliyalashtirish, pul oqimini rejalashtirish, investor mablag'larini boshqarish, to'lovlarni qabul qilish va moliyaviy risklarni nazorat qilishga oid funksiyalar majmuasi.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Yirik buyurtmalarni bajarish moliyaviy resurslarga bog'liq.</w:t>
      </w:r>
    </w:p>
    <w:p>
      <w:pPr>
        <w:pStyle w:val="ListBullet"/>
      </w:pPr>
      <w:r>
        <w:t>Pul oqimining uzluksizligi biznesning asosiy shartidir.</w:t>
      </w:r>
    </w:p>
    <w:p>
      <w:pPr>
        <w:pStyle w:val="ListBullet"/>
      </w:pPr>
      <w:r>
        <w:t>Investorlar strategik hamkor sifatida qatnashadi.</w:t>
      </w:r>
    </w:p>
    <w:p>
      <w:pPr>
        <w:pStyle w:val="ListBullet"/>
      </w:pPr>
      <w:r>
        <w:t>Mijozlarga muddatli to'lov berish raqobat ustunligini yaratadi.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Buyurtmani moliyaviy baholash</w:t>
      </w:r>
    </w:p>
    <w:p>
      <w:pPr>
        <w:pStyle w:val="ListBullet"/>
      </w:pPr>
      <w:r>
        <w:t>Moliyalashtirish manbasini tanlash</w:t>
      </w:r>
    </w:p>
    <w:p>
      <w:pPr>
        <w:pStyle w:val="ListBullet"/>
      </w:pPr>
      <w:r>
        <w:t>Investorlar bilan ishlash</w:t>
      </w:r>
    </w:p>
    <w:p>
      <w:pPr>
        <w:pStyle w:val="ListBullet"/>
      </w:pPr>
      <w:r>
        <w:t>Pul oqimini rejalashtirish</w:t>
      </w:r>
    </w:p>
    <w:p>
      <w:pPr>
        <w:pStyle w:val="ListBullet"/>
      </w:pPr>
      <w:r>
        <w:t>To'lovlarni qabul qilish</w:t>
      </w:r>
    </w:p>
    <w:p>
      <w:pPr>
        <w:pStyle w:val="ListBullet"/>
      </w:pPr>
      <w:r>
        <w:t>Qarzdorliklarni nazorat qilish</w:t>
      </w:r>
    </w:p>
    <w:p>
      <w:pPr>
        <w:pStyle w:val="ListBullet"/>
      </w:pPr>
      <w:r>
        <w:t>Marjani nazorat qilish</w:t>
      </w:r>
    </w:p>
    <w:p>
      <w:pPr>
        <w:pStyle w:val="ListBullet"/>
      </w:pPr>
      <w:r>
        <w:t>Moliyaviy hisobotlar</w:t>
      </w:r>
    </w:p>
    <w:p>
      <w:pPr>
        <w:pStyle w:val="ListBullet"/>
      </w:pPr>
      <w:r>
        <w:t>Moliyaviy risklarni boshqarish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Daromad manbai — mahsulot tannarxiga ustama qo'yish.</w:t>
      </w:r>
    </w:p>
    <w:p>
      <w:pPr>
        <w:pStyle w:val="ListBullet"/>
      </w:pPr>
      <w:r>
        <w:t>Marja byudjet, lot shartlari, raqobat, mahsulot defitsiti va referal kelishuviga qarab belgilanadi.</w:t>
      </w:r>
    </w:p>
    <w:p>
      <w:pPr>
        <w:pStyle w:val="ListBullet"/>
      </w:pPr>
      <w:r>
        <w:t>Investorlar bo'sh pul mablag'larini ishonch asosida ajratadi.</w:t>
      </w:r>
    </w:p>
    <w:p>
      <w:pPr>
        <w:pStyle w:val="ListBullet"/>
      </w:pPr>
      <w:r>
        <w:t>Mijozlarga ayrim holatlarda muddatli to'lov berilishi mumkin.</w:t>
      </w:r>
    </w:p>
    <w:p>
      <w:pPr>
        <w:pStyle w:val="ListBullet"/>
      </w:pPr>
      <w:r>
        <w:t>Asosiy ko'rsatkichlar: sof foyda, aylanma, pul oqimi, yangi buyurtmalar, aktiv mijozlar.</w:t>
      </w:r>
    </w:p>
    <w:p>
      <w:pPr>
        <w:pStyle w:val="Heading2"/>
      </w:pPr>
      <w:r>
        <w:t>6. Funksiyalar daraxti</w:t>
      </w:r>
    </w:p>
    <w:p>
      <w:r>
        <w:t>Moliya</w:t>
        <w:br/>
        <w:t>├─ Moliyalashtirish</w:t>
        <w:br/>
        <w:t>├─ Investorlar</w:t>
        <w:br/>
        <w:t>├─ Pul oqimi</w:t>
        <w:br/>
        <w:t>├─ To'lovlarni qabul qilish</w:t>
        <w:br/>
        <w:t>├─ Qarzdorlik nazorati</w:t>
        <w:br/>
        <w:t>├─ Marja nazorati</w:t>
        <w:br/>
        <w:t>├─ Moliyaviy hisobot</w:t>
        <w:br/>
        <w:t>└─ Risklarni boshqarish</w:t>
      </w:r>
    </w:p>
    <w:p>
      <w:pPr>
        <w:pStyle w:val="Heading2"/>
      </w:pPr>
      <w:r>
        <w:t>7. Input</w:t>
      </w:r>
    </w:p>
    <w:p>
      <w:pPr>
        <w:pStyle w:val="ListBullet"/>
      </w:pPr>
      <w:r>
        <w:t>Tasdiqlangan shartnoma</w:t>
      </w:r>
    </w:p>
    <w:p>
      <w:pPr>
        <w:pStyle w:val="ListBullet"/>
      </w:pPr>
      <w:r>
        <w:t>Hisob-faktura</w:t>
      </w:r>
    </w:p>
    <w:p>
      <w:pPr>
        <w:pStyle w:val="ListBullet"/>
      </w:pPr>
      <w:r>
        <w:t>To'lov jadvali</w:t>
      </w:r>
    </w:p>
    <w:p>
      <w:pPr>
        <w:pStyle w:val="ListBullet"/>
      </w:pPr>
      <w:r>
        <w:t>Moliyalashtirish talabi</w:t>
      </w:r>
    </w:p>
    <w:p>
      <w:pPr>
        <w:pStyle w:val="Heading2"/>
      </w:pPr>
      <w:r>
        <w:t>8. Output</w:t>
      </w:r>
    </w:p>
    <w:p>
      <w:pPr>
        <w:pStyle w:val="ListBullet"/>
      </w:pPr>
      <w:r>
        <w:t>Moliyalashtirilgan buyurtma</w:t>
      </w:r>
    </w:p>
    <w:p>
      <w:pPr>
        <w:pStyle w:val="ListBullet"/>
      </w:pPr>
      <w:r>
        <w:t>Qabul qilingan to'lov</w:t>
      </w:r>
    </w:p>
    <w:p>
      <w:pPr>
        <w:pStyle w:val="ListBullet"/>
      </w:pPr>
      <w:r>
        <w:t>Pul oqimi hisoboti</w:t>
      </w:r>
    </w:p>
    <w:p>
      <w:pPr>
        <w:pStyle w:val="ListBullet"/>
      </w:pPr>
      <w:r>
        <w:t>Investor hisoboti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Barqaror pul oqimi</w:t>
      </w:r>
    </w:p>
    <w:p>
      <w:pPr>
        <w:pStyle w:val="ListBullet"/>
      </w:pPr>
      <w:r>
        <w:t>Buyurtmalarni o'z vaqtida moliyalashtirish</w:t>
      </w:r>
    </w:p>
    <w:p>
      <w:pPr>
        <w:pStyle w:val="ListBullet"/>
      </w:pPr>
      <w:r>
        <w:t>Marjani saqlash</w:t>
      </w:r>
    </w:p>
    <w:p>
      <w:pPr>
        <w:pStyle w:val="ListBullet"/>
      </w:pPr>
      <w:r>
        <w:t>Likvidlikni ta'minlash</w:t>
      </w:r>
    </w:p>
    <w:p>
      <w:pPr>
        <w:pStyle w:val="Heading2"/>
      </w:pPr>
      <w:r>
        <w:t>10. KPI</w:t>
      </w:r>
    </w:p>
    <w:p>
      <w:pPr>
        <w:pStyle w:val="ListBullet"/>
      </w:pPr>
      <w:r>
        <w:t>Sof foyda</w:t>
      </w:r>
    </w:p>
    <w:p>
      <w:pPr>
        <w:pStyle w:val="ListBullet"/>
      </w:pPr>
      <w:r>
        <w:t>Aylanma (oborot)</w:t>
      </w:r>
    </w:p>
    <w:p>
      <w:pPr>
        <w:pStyle w:val="ListBullet"/>
      </w:pPr>
      <w:r>
        <w:t>Pul oqimi</w:t>
      </w:r>
    </w:p>
    <w:p>
      <w:pPr>
        <w:pStyle w:val="ListBullet"/>
      </w:pPr>
      <w:r>
        <w:t>Debitor qarzdorlik muddati</w:t>
      </w:r>
    </w:p>
    <w:p>
      <w:pPr>
        <w:pStyle w:val="ListBullet"/>
      </w:pPr>
      <w:r>
        <w:t>Moliyalashtirilgan buyurtmalar ulushi</w:t>
      </w:r>
    </w:p>
    <w:p>
      <w:pPr>
        <w:pStyle w:val="ListBullet"/>
      </w:pPr>
      <w:r>
        <w:t>Marja (%)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Pul oqimi uzilishi</w:t>
      </w:r>
    </w:p>
    <w:p>
      <w:pPr>
        <w:pStyle w:val="ListBullet"/>
      </w:pPr>
      <w:r>
        <w:t>Investor mablag'lari qisqarishi</w:t>
      </w:r>
    </w:p>
    <w:p>
      <w:pPr>
        <w:pStyle w:val="ListBullet"/>
      </w:pPr>
      <w:r>
        <w:t>Qarzdorlikning ortishi</w:t>
      </w:r>
    </w:p>
    <w:p>
      <w:pPr>
        <w:pStyle w:val="ListBullet"/>
      </w:pPr>
      <w:r>
        <w:t>Marjaning pasayishi</w:t>
      </w:r>
    </w:p>
    <w:p>
      <w:pPr>
        <w:pStyle w:val="ListBullet"/>
      </w:pPr>
      <w:r>
        <w:t>To'lovlarning kechikishi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Pul oqimi: </w:t>
      </w:r>
      <w:r>
        <w:t>Kompaniyaga kiruvchi va chiquvchi pul harakati.</w:t>
      </w:r>
    </w:p>
    <w:p>
      <w:pPr>
        <w:pStyle w:val="ListBullet"/>
      </w:pPr>
      <w:r>
        <w:rPr>
          <w:b/>
        </w:rPr>
        <w:t xml:space="preserve">Marja: </w:t>
      </w:r>
      <w:r>
        <w:t>Sotuv narxi va tannarx o'rtasidagi foyda.</w:t>
      </w:r>
    </w:p>
    <w:p>
      <w:pPr>
        <w:pStyle w:val="ListBullet"/>
      </w:pPr>
      <w:r>
        <w:rPr>
          <w:b/>
        </w:rPr>
        <w:t xml:space="preserve">Likvidlik: </w:t>
      </w:r>
      <w:r>
        <w:t>Majburiyatlarni o'z vaqtida bajarish qobiliyati.</w:t>
      </w:r>
    </w:p>
    <w:p>
      <w:pPr>
        <w:pStyle w:val="ListBullet"/>
      </w:pPr>
      <w:r>
        <w:rPr>
          <w:b/>
        </w:rPr>
        <w:t xml:space="preserve">Investor: </w:t>
      </w:r>
      <w:r>
        <w:t>Buyurtmalarni moliyalashtiruvchi hamkor.</w:t>
      </w:r>
    </w:p>
    <w:p>
      <w:pPr>
        <w:pStyle w:val="ListBullet"/>
      </w:pPr>
      <w:r>
        <w:rPr>
          <w:b/>
        </w:rPr>
        <w:t xml:space="preserve">Debitor qarzdorlik: </w:t>
      </w:r>
      <w:r>
        <w:t>Mijozlardan olinishi kerak bo'lgan mablag'.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Yirik buyurtmalar moliyaviy tahlildan o'tkaziladi.</w:t>
      </w:r>
    </w:p>
    <w:p>
      <w:pPr>
        <w:pStyle w:val="ListNumber"/>
      </w:pPr>
      <w:r>
        <w:t>Muddatli to'lovlar alohida tasdiqlanadi.</w:t>
      </w:r>
    </w:p>
    <w:p>
      <w:pPr>
        <w:pStyle w:val="ListNumber"/>
      </w:pPr>
      <w:r>
        <w:t>Har bir buyurtma bo'yicha marja nazorat qilinadi.</w:t>
      </w:r>
    </w:p>
    <w:p>
      <w:pPr>
        <w:pStyle w:val="ListNumber"/>
      </w:pPr>
      <w:r>
        <w:t>Investor mablag'lari shaffof hisobga olinadi.</w:t>
      </w:r>
    </w:p>
    <w:p>
      <w:pPr>
        <w:pStyle w:val="Heading2"/>
      </w:pPr>
      <w:r>
        <w:t>14. Qatlamlar bilan bog'liqlik</w:t>
      </w:r>
    </w:p>
    <w:p>
      <w:r>
        <w:t>Input: 6-qatlam (Hujjatlashtirish).</w:t>
        <w:br/>
        <w:t>Output: 8-qatlam (Mijozlarga xizmat) va 9-qatlam (Boshqaruv).</w:t>
      </w:r>
    </w:p>
    <w:p>
      <w:pPr>
        <w:pStyle w:val="Heading2"/>
      </w:pPr>
      <w:r>
        <w:t>15. NEXT ONE izohi</w:t>
      </w:r>
    </w:p>
    <w:p>
      <w:r>
        <w:t>Haridlar.uz pulning o'zidan emas, balki pul oqimini to'g'ri muvofiqlashtirishdan qiymat yaratadi. Moliya qatlami resurslarni strategik taqsimlash markazidir.</w:t>
      </w:r>
    </w:p>
    <w:p>
      <w:pPr>
        <w:pStyle w:val="Heading2"/>
      </w:pPr>
      <w:r>
        <w:t>16. Xulosa</w:t>
      </w:r>
    </w:p>
    <w:p>
      <w:pPr>
        <w:pStyle w:val="ListNumber"/>
      </w:pPr>
      <w:r>
        <w:t>Moliyaviy intizom biznes barqarorligining asosi.</w:t>
      </w:r>
    </w:p>
    <w:p>
      <w:pPr>
        <w:pStyle w:val="ListNumber"/>
      </w:pPr>
      <w:r>
        <w:t>Pul oqimi doimiy monitoring qilinishi kerak.</w:t>
      </w:r>
    </w:p>
    <w:p>
      <w:pPr>
        <w:pStyle w:val="ListNumber"/>
      </w:pPr>
      <w:r>
        <w:t>Investorlar bilan ishonchli munosabat saqlanishi zarur.</w:t>
      </w:r>
    </w:p>
    <w:p>
      <w:pPr>
        <w:pStyle w:val="ListNumber"/>
      </w:pPr>
      <w:r>
        <w:t>Marja boshqaruvi standartlashtirilishi lozim.</w:t>
      </w:r>
    </w:p>
    <w:p>
      <w:pPr>
        <w:pStyle w:val="ListNumber"/>
      </w:pPr>
      <w:r>
        <w:t>Moliya strategik qarorlarni qo'llab-quvvatlaydi.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