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AQ-04</w:t>
        <w:br/>
        <w:t>CUSTOMER SUCCESS DIREKTORI UCHUN AMALIY QO'LLANMA</w:t>
        <w:br/>
        <w:t>2-QISM</w:t>
      </w:r>
    </w:p>
    <w:p>
      <w:r>
        <w:t>Mavzu: Topshiriqlarni delegatsiya qilish, SLA nazorati va mijoz murojaatlarini boshqarish</w:t>
      </w:r>
    </w:p>
    <w:p>
      <w:pPr>
        <w:pStyle w:val="Heading1"/>
      </w:pPr>
      <w:r>
        <w:t>1. Delegatsiya siyosati</w:t>
      </w:r>
    </w:p>
    <w:p>
      <w:r>
        <w:t>Customer Success direktori strategik mijozlar va xizmat sifati bo'yicha qarorlarni o'zida saqlaydi, operatsion vazifalarni esa bo'lim rahbarlari va guruh yetakchilariga delegatsiya qiladi.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Delegatsiya qilinadi</w:t>
            </w:r>
          </w:p>
        </w:tc>
        <w:tc>
          <w:tcPr>
            <w:tcW w:type="dxa" w:w="4320"/>
          </w:tcPr>
          <w:p>
            <w:r>
              <w:t>Delegatsiya qilinmaydi</w:t>
            </w:r>
          </w:p>
        </w:tc>
      </w:tr>
      <w:tr>
        <w:tc>
          <w:tcPr>
            <w:tcW w:type="dxa" w:w="4320"/>
          </w:tcPr>
          <w:p>
            <w:r>
              <w:t>Murojaatlarni taqsimlash</w:t>
            </w:r>
          </w:p>
        </w:tc>
        <w:tc>
          <w:tcPr>
            <w:tcW w:type="dxa" w:w="4320"/>
          </w:tcPr>
          <w:p>
            <w:r>
              <w:t>SLA standartlarini tasdiqlash</w:t>
            </w:r>
          </w:p>
        </w:tc>
      </w:tr>
      <w:tr>
        <w:tc>
          <w:tcPr>
            <w:tcW w:type="dxa" w:w="4320"/>
          </w:tcPr>
          <w:p>
            <w:r>
              <w:t>Operatorlar ishini nazorat qilish</w:t>
            </w:r>
          </w:p>
        </w:tc>
        <w:tc>
          <w:tcPr>
            <w:tcW w:type="dxa" w:w="4320"/>
          </w:tcPr>
          <w:p>
            <w:r>
              <w:t>VIP mijozlar bo'yicha qaror</w:t>
            </w:r>
          </w:p>
        </w:tc>
      </w:tr>
      <w:tr>
        <w:tc>
          <w:tcPr>
            <w:tcW w:type="dxa" w:w="4320"/>
          </w:tcPr>
          <w:p>
            <w:r>
              <w:t>Order Tracking monitoringi</w:t>
            </w:r>
          </w:p>
        </w:tc>
        <w:tc>
          <w:tcPr>
            <w:tcW w:type="dxa" w:w="4320"/>
          </w:tcPr>
          <w:p>
            <w:r>
              <w:t>Customer Success strategiyasi</w:t>
            </w:r>
          </w:p>
        </w:tc>
      </w:tr>
      <w:tr>
        <w:tc>
          <w:tcPr>
            <w:tcW w:type="dxa" w:w="4320"/>
          </w:tcPr>
          <w:p>
            <w:r>
              <w:t>Hisobot tayyorlash</w:t>
            </w:r>
          </w:p>
        </w:tc>
        <w:tc>
          <w:tcPr>
            <w:tcW w:type="dxa" w:w="4320"/>
          </w:tcPr>
          <w:p>
            <w:r>
              <w:t>CEO uchun yakuniy hisobot</w:t>
            </w:r>
          </w:p>
        </w:tc>
      </w:tr>
      <w:tr>
        <w:tc>
          <w:tcPr>
            <w:tcW w:type="dxa" w:w="4320"/>
          </w:tcPr>
          <w:p>
            <w:r>
              <w:t>CRM ma'lumotlarini yuritish</w:t>
            </w:r>
          </w:p>
        </w:tc>
        <w:tc>
          <w:tcPr>
            <w:tcW w:type="dxa" w:w="4320"/>
          </w:tcPr>
          <w:p>
            <w:r>
              <w:t>Asosiy KPIlarni tasdiqlash</w:t>
            </w:r>
          </w:p>
        </w:tc>
      </w:tr>
    </w:tbl>
    <w:p>
      <w:pPr>
        <w:pStyle w:val="Heading1"/>
      </w:pPr>
      <w:r>
        <w:t>2. Mijoz murojaatini boshqarish algoritmi</w:t>
      </w:r>
    </w:p>
    <w:p>
      <w:r>
        <w:t>1. Murojaatni qabul qilish</w:t>
      </w:r>
    </w:p>
    <w:p>
      <w:r>
        <w:t>2. CRMda ro'yxatdan o'tkazish</w:t>
      </w:r>
    </w:p>
    <w:p>
      <w:r>
        <w:t>3. Ustuvorlik darajasini aniqlash</w:t>
      </w:r>
    </w:p>
    <w:p>
      <w:r>
        <w:t>4. Mas'ul xodimni biriktirish</w:t>
      </w:r>
    </w:p>
    <w:p>
      <w:r>
        <w:t>5. SLA muddatini belgilash</w:t>
      </w:r>
    </w:p>
    <w:p>
      <w:r>
        <w:t>6. Muammoni hal qilish</w:t>
      </w:r>
    </w:p>
    <w:p>
      <w:r>
        <w:t>7. Mijozdan tasdiq olish</w:t>
      </w:r>
    </w:p>
    <w:p>
      <w:r>
        <w:t>8. CRMni yangilash</w:t>
      </w:r>
    </w:p>
    <w:p>
      <w:r>
        <w:t>9. Hisobotga kiritish</w:t>
      </w:r>
    </w:p>
    <w:p>
      <w:r>
        <w:t>10. Jarayonni yopish</w:t>
      </w:r>
    </w:p>
    <w:p>
      <w:pPr>
        <w:pStyle w:val="Heading1"/>
      </w:pPr>
      <w:r>
        <w:t>3. SLA nazorat nuqtalari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Bosqich</w:t>
            </w:r>
          </w:p>
        </w:tc>
        <w:tc>
          <w:tcPr>
            <w:tcW w:type="dxa" w:w="2160"/>
          </w:tcPr>
          <w:p>
            <w:r>
              <w:t>Tekshiriladi</w:t>
            </w:r>
          </w:p>
        </w:tc>
        <w:tc>
          <w:tcPr>
            <w:tcW w:type="dxa" w:w="2160"/>
          </w:tcPr>
          <w:p>
            <w:r>
              <w:t>Mas'ul</w:t>
            </w:r>
          </w:p>
        </w:tc>
        <w:tc>
          <w:tcPr>
            <w:tcW w:type="dxa" w:w="2160"/>
          </w:tcPr>
          <w:p>
            <w:r>
              <w:t>Natija</w:t>
            </w:r>
          </w:p>
        </w:tc>
      </w:tr>
      <w:tr>
        <w:tc>
          <w:tcPr>
            <w:tcW w:type="dxa" w:w="2160"/>
          </w:tcPr>
          <w:p>
            <w:r>
              <w:t>Qabul</w:t>
            </w:r>
          </w:p>
        </w:tc>
        <w:tc>
          <w:tcPr>
            <w:tcW w:type="dxa" w:w="2160"/>
          </w:tcPr>
          <w:p>
            <w:r>
              <w:t>SLA boshlanishi</w:t>
            </w:r>
          </w:p>
        </w:tc>
        <w:tc>
          <w:tcPr>
            <w:tcW w:type="dxa" w:w="2160"/>
          </w:tcPr>
          <w:p>
            <w:r>
              <w:t>Operator</w:t>
            </w:r>
          </w:p>
        </w:tc>
        <w:tc>
          <w:tcPr>
            <w:tcW w:type="dxa" w:w="2160"/>
          </w:tcPr>
          <w:p>
            <w:r>
              <w:t>Tasdiq</w:t>
            </w:r>
          </w:p>
        </w:tc>
      </w:tr>
      <w:tr>
        <w:tc>
          <w:tcPr>
            <w:tcW w:type="dxa" w:w="2160"/>
          </w:tcPr>
          <w:p>
            <w:r>
              <w:t>25%</w:t>
            </w:r>
          </w:p>
        </w:tc>
        <w:tc>
          <w:tcPr>
            <w:tcW w:type="dxa" w:w="2160"/>
          </w:tcPr>
          <w:p>
            <w:r>
              <w:t>Javob berish vaqti</w:t>
            </w:r>
          </w:p>
        </w:tc>
        <w:tc>
          <w:tcPr>
            <w:tcW w:type="dxa" w:w="2160"/>
          </w:tcPr>
          <w:p>
            <w:r>
              <w:t>Team Lead</w:t>
            </w:r>
          </w:p>
        </w:tc>
        <w:tc>
          <w:tcPr>
            <w:tcW w:type="dxa" w:w="2160"/>
          </w:tcPr>
          <w:p>
            <w:r>
              <w:t>Nazorat</w:t>
            </w:r>
          </w:p>
        </w:tc>
      </w:tr>
      <w:tr>
        <w:tc>
          <w:tcPr>
            <w:tcW w:type="dxa" w:w="2160"/>
          </w:tcPr>
          <w:p>
            <w:r>
              <w:t>50%</w:t>
            </w:r>
          </w:p>
        </w:tc>
        <w:tc>
          <w:tcPr>
            <w:tcW w:type="dxa" w:w="2160"/>
          </w:tcPr>
          <w:p>
            <w:r>
              <w:t>Hal qilish jarayoni</w:t>
            </w:r>
          </w:p>
        </w:tc>
        <w:tc>
          <w:tcPr>
            <w:tcW w:type="dxa" w:w="2160"/>
          </w:tcPr>
          <w:p>
            <w:r>
              <w:t>Supervisor</w:t>
            </w:r>
          </w:p>
        </w:tc>
        <w:tc>
          <w:tcPr>
            <w:tcW w:type="dxa" w:w="2160"/>
          </w:tcPr>
          <w:p>
            <w:r>
              <w:t>Tuzatish</w:t>
            </w:r>
          </w:p>
        </w:tc>
      </w:tr>
      <w:tr>
        <w:tc>
          <w:tcPr>
            <w:tcW w:type="dxa" w:w="2160"/>
          </w:tcPr>
          <w:p>
            <w:r>
              <w:t>75%</w:t>
            </w:r>
          </w:p>
        </w:tc>
        <w:tc>
          <w:tcPr>
            <w:tcW w:type="dxa" w:w="2160"/>
          </w:tcPr>
          <w:p>
            <w:r>
              <w:t>Mijoz bilan aloqa</w:t>
            </w:r>
          </w:p>
        </w:tc>
        <w:tc>
          <w:tcPr>
            <w:tcW w:type="dxa" w:w="2160"/>
          </w:tcPr>
          <w:p>
            <w:r>
              <w:t>Manager</w:t>
            </w:r>
          </w:p>
        </w:tc>
        <w:tc>
          <w:tcPr>
            <w:tcW w:type="dxa" w:w="2160"/>
          </w:tcPr>
          <w:p>
            <w:r>
              <w:t>Tasdiq</w:t>
            </w:r>
          </w:p>
        </w:tc>
      </w:tr>
      <w:tr>
        <w:tc>
          <w:tcPr>
            <w:tcW w:type="dxa" w:w="2160"/>
          </w:tcPr>
          <w:p>
            <w:r>
              <w:t>100%</w:t>
            </w:r>
          </w:p>
        </w:tc>
        <w:tc>
          <w:tcPr>
            <w:tcW w:type="dxa" w:w="2160"/>
          </w:tcPr>
          <w:p>
            <w:r>
              <w:t>Yopish sifati</w:t>
            </w:r>
          </w:p>
        </w:tc>
        <w:tc>
          <w:tcPr>
            <w:tcW w:type="dxa" w:w="2160"/>
          </w:tcPr>
          <w:p>
            <w:r>
              <w:t>Direktor</w:t>
            </w:r>
          </w:p>
        </w:tc>
        <w:tc>
          <w:tcPr>
            <w:tcW w:type="dxa" w:w="2160"/>
          </w:tcPr>
          <w:p>
            <w:r>
              <w:t>Yakun</w:t>
            </w:r>
          </w:p>
        </w:tc>
      </w:tr>
    </w:tbl>
    <w:p>
      <w:pPr>
        <w:pStyle w:val="Heading1"/>
      </w:pPr>
      <w:r>
        <w:t>4. Order Tracking nazorati</w:t>
      </w:r>
    </w:p>
    <w:p>
      <w:pPr>
        <w:pStyle w:val="ListBullet"/>
      </w:pPr>
      <w:r>
        <w:t>Buyurtma holatini kunlik monitoring qilish</w:t>
      </w:r>
    </w:p>
    <w:p>
      <w:pPr>
        <w:pStyle w:val="ListBullet"/>
      </w:pPr>
      <w:r>
        <w:t>Kechikayotgan buyurtmalarni aniqlash</w:t>
      </w:r>
    </w:p>
    <w:p>
      <w:pPr>
        <w:pStyle w:val="ListBullet"/>
      </w:pPr>
      <w:r>
        <w:t>Logistika bilan muvofiqlashtirish</w:t>
      </w:r>
    </w:p>
    <w:p>
      <w:pPr>
        <w:pStyle w:val="ListBullet"/>
      </w:pPr>
      <w:r>
        <w:t>Mijozni xabardor qilish</w:t>
      </w:r>
    </w:p>
    <w:p>
      <w:pPr>
        <w:pStyle w:val="ListBullet"/>
      </w:pPr>
      <w:r>
        <w:t>Yakuniy yetkazib berishni tasdiqlash</w:t>
      </w:r>
    </w:p>
    <w:p>
      <w:pPr>
        <w:pStyle w:val="Heading1"/>
      </w:pPr>
      <w:r>
        <w:t>5. Eskalatsiya tartibi</w:t>
      </w:r>
    </w:p>
    <w:p>
      <w:pPr>
        <w:pStyle w:val="ListBullet"/>
      </w:pPr>
      <w:r>
        <w:t>SLA buzilganda</w:t>
      </w:r>
    </w:p>
    <w:p>
      <w:pPr>
        <w:pStyle w:val="ListBullet"/>
      </w:pPr>
      <w:r>
        <w:t>VIP mijoz shikoyati kelganda</w:t>
      </w:r>
    </w:p>
    <w:p>
      <w:pPr>
        <w:pStyle w:val="ListBullet"/>
      </w:pPr>
      <w:r>
        <w:t>Takroriy murojaatlar ko'payganda</w:t>
      </w:r>
    </w:p>
    <w:p>
      <w:pPr>
        <w:pStyle w:val="ListBullet"/>
      </w:pPr>
      <w:r>
        <w:t>Yetkazib berish kechikkanida</w:t>
      </w:r>
    </w:p>
    <w:p>
      <w:pPr>
        <w:pStyle w:val="ListBullet"/>
      </w:pPr>
      <w:r>
        <w:t>Reputatsion xavf yuzaga kelganda</w:t>
      </w:r>
    </w:p>
    <w:p>
      <w:pPr>
        <w:pStyle w:val="Heading1"/>
      </w:pPr>
      <w:r>
        <w:t>6. Direktorning nazorat chek-listi</w:t>
      </w:r>
    </w:p>
    <w:p>
      <w:r>
        <w:t>□ SLA bajarilishi tekshirildi</w:t>
      </w:r>
    </w:p>
    <w:p>
      <w:r>
        <w:t>□ Qizil murojaatlar ko'rib chiqildi</w:t>
      </w:r>
    </w:p>
    <w:p>
      <w:r>
        <w:t>□ Order Tracking nazorat qilindi</w:t>
      </w:r>
    </w:p>
    <w:p>
      <w:r>
        <w:t>□ Eskalatsiyalar boshqarildi</w:t>
      </w:r>
    </w:p>
    <w:p>
      <w:r>
        <w:t>□ Hisobotlar qabul qilindi</w:t>
      </w:r>
    </w:p>
    <w:p>
      <w:r>
        <w:t>□ Mijozlar bo'yicha risklar baholandi</w:t>
      </w:r>
    </w:p>
    <w:p>
      <w:pPr>
        <w:pStyle w:val="Heading1"/>
      </w:pPr>
      <w:r>
        <w:t>2-qism yakuni</w:t>
      </w:r>
    </w:p>
    <w:p>
      <w:r>
        <w:t>3-qismda KPI boshqaruvi, Customer Dashboard, NPS/CSAT tahlili va mijoz tajribasi ko'rsatkichlarini boshqarish standartlari bayon qilinadi.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