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AQ-02</w:t>
        <w:br/>
        <w:t>TA'MINOT DIREKTORI UCHUN AMALIY QO'LLANMA</w:t>
        <w:br/>
        <w:t>1-QISM</w:t>
      </w:r>
    </w:p>
    <w:p>
      <w:r>
        <w:t>Kompaniya: Xaridlar.uz</w:t>
        <w:br/>
        <w:t>Hujjat kodi: AQ-02</w:t>
        <w:br/>
        <w:t>Versiya: 1.0</w:t>
        <w:br/>
        <w:t>Maqomi: Ichki foydalanish uchun</w:t>
      </w:r>
    </w:p>
    <w:p>
      <w:pPr>
        <w:pStyle w:val="Heading1"/>
      </w:pPr>
      <w:r>
        <w:t>1. Qo'llanmaning maqsadi</w:t>
      </w:r>
    </w:p>
    <w:p>
      <w:r>
        <w:t>Mazkur qo'llanma Ta'minot direktorining kundalik boshqaruv faoliyatini yagona korporativ standart asosida tashkil etish uchun ishlab chiqilgan. Hujjat ta'minot jarayonlarini rejalashtirish, topshiriqlarni delegatsiya qilish, nazorat qilish, hisobotlarni qabul qilish va CEOga boshqaruv hisobotini taqdim etish tartibini belgilaydi.</w:t>
      </w:r>
    </w:p>
    <w:p>
      <w:pPr>
        <w:pStyle w:val="Heading1"/>
      </w:pPr>
      <w:r>
        <w:t>2. Ta'minot direktorining missiyasi</w:t>
      </w:r>
    </w:p>
    <w:p>
      <w:r>
        <w:t>Kompaniyani sifatli mahsulotlar bilan uzluksiz ta'minlash, xarid xarajatlarini optimallashtirish va ishonchli yetkazib beruvchilar bazasini rivojlantirish.</w:t>
      </w:r>
    </w:p>
    <w:p>
      <w:pPr>
        <w:pStyle w:val="ListBullet"/>
      </w:pPr>
      <w:r>
        <w:t>BP-02 va BP-05 jarayonlariga egalik qilish.</w:t>
      </w:r>
    </w:p>
    <w:p>
      <w:pPr>
        <w:pStyle w:val="ListBullet"/>
      </w:pPr>
      <w:r>
        <w:t>Yetkazib beruvchilar bilan muzokaralarni boshqarish.</w:t>
      </w:r>
    </w:p>
    <w:p>
      <w:pPr>
        <w:pStyle w:val="ListBullet"/>
      </w:pPr>
      <w:r>
        <w:t>OTIF va ta'minot KPIlarini nazorat qilish.</w:t>
      </w:r>
    </w:p>
    <w:p>
      <w:pPr>
        <w:pStyle w:val="ListBullet"/>
      </w:pPr>
      <w:r>
        <w:t>Narx va tannarxni optimallashtirish.</w:t>
      </w:r>
    </w:p>
    <w:p>
      <w:pPr>
        <w:pStyle w:val="ListBullet"/>
      </w:pPr>
      <w:r>
        <w:t>Ta'minot risklarini boshqarish.</w:t>
      </w:r>
    </w:p>
    <w:p>
      <w:pPr>
        <w:pStyle w:val="ListBullet"/>
      </w:pPr>
      <w:r>
        <w:t>CEOga ishonchli boshqaruv ma'lumotlarini taqdim etish.</w:t>
      </w:r>
    </w:p>
    <w:p>
      <w:pPr>
        <w:pStyle w:val="Heading1"/>
      </w:pPr>
      <w:r>
        <w:t>3. Boshqaruv tamoyillari</w:t>
      </w:r>
    </w:p>
    <w:tbl>
      <w:tblPr>
        <w:tblStyle w:val="TableGrid"/>
        <w:tblW w:type="auto" w:w="0"/>
        <w:tblLook w:firstColumn="1" w:firstRow="1" w:lastColumn="0" w:lastRow="0" w:noHBand="0" w:noVBand="1" w:val="04A0"/>
      </w:tblPr>
      <w:tblGrid>
        <w:gridCol w:w="4320"/>
        <w:gridCol w:w="4320"/>
      </w:tblGrid>
      <w:tr>
        <w:tc>
          <w:tcPr>
            <w:tcW w:type="dxa" w:w="4320"/>
          </w:tcPr>
          <w:p>
            <w:r>
              <w:t>Tamoyil</w:t>
            </w:r>
          </w:p>
        </w:tc>
        <w:tc>
          <w:tcPr>
            <w:tcW w:type="dxa" w:w="4320"/>
          </w:tcPr>
          <w:p>
            <w:r>
              <w:t>Mazmuni</w:t>
            </w:r>
          </w:p>
        </w:tc>
      </w:tr>
      <w:tr>
        <w:tc>
          <w:tcPr>
            <w:tcW w:type="dxa" w:w="4320"/>
          </w:tcPr>
          <w:p>
            <w:r>
              <w:t>1</w:t>
            </w:r>
          </w:p>
        </w:tc>
        <w:tc>
          <w:tcPr>
            <w:tcW w:type="dxa" w:w="4320"/>
          </w:tcPr>
          <w:p>
            <w:r>
              <w:t>Ta'minot uzluksizligi ustuvor</w:t>
            </w:r>
          </w:p>
        </w:tc>
      </w:tr>
      <w:tr>
        <w:tc>
          <w:tcPr>
            <w:tcW w:type="dxa" w:w="4320"/>
          </w:tcPr>
          <w:p>
            <w:r>
              <w:t>2</w:t>
            </w:r>
          </w:p>
        </w:tc>
        <w:tc>
          <w:tcPr>
            <w:tcW w:type="dxa" w:w="4320"/>
          </w:tcPr>
          <w:p>
            <w:r>
              <w:t>Har bir xarid iqtisodiy asoslanadi</w:t>
            </w:r>
          </w:p>
        </w:tc>
      </w:tr>
      <w:tr>
        <w:tc>
          <w:tcPr>
            <w:tcW w:type="dxa" w:w="4320"/>
          </w:tcPr>
          <w:p>
            <w:r>
              <w:t>3</w:t>
            </w:r>
          </w:p>
        </w:tc>
        <w:tc>
          <w:tcPr>
            <w:tcW w:type="dxa" w:w="4320"/>
          </w:tcPr>
          <w:p>
            <w:r>
              <w:t>Bitta mas'ul – bitta natija</w:t>
            </w:r>
          </w:p>
        </w:tc>
      </w:tr>
      <w:tr>
        <w:tc>
          <w:tcPr>
            <w:tcW w:type="dxa" w:w="4320"/>
          </w:tcPr>
          <w:p>
            <w:r>
              <w:t>4</w:t>
            </w:r>
          </w:p>
        </w:tc>
        <w:tc>
          <w:tcPr>
            <w:tcW w:type="dxa" w:w="4320"/>
          </w:tcPr>
          <w:p>
            <w:r>
              <w:t>Har bir xarid tasdiqlangan jarayon bo'yicha</w:t>
            </w:r>
          </w:p>
        </w:tc>
      </w:tr>
      <w:tr>
        <w:tc>
          <w:tcPr>
            <w:tcW w:type="dxa" w:w="4320"/>
          </w:tcPr>
          <w:p>
            <w:r>
              <w:t>5</w:t>
            </w:r>
          </w:p>
        </w:tc>
        <w:tc>
          <w:tcPr>
            <w:tcW w:type="dxa" w:w="4320"/>
          </w:tcPr>
          <w:p>
            <w:r>
              <w:t>Risklar oldindan boshqariladi</w:t>
            </w:r>
          </w:p>
        </w:tc>
      </w:tr>
      <w:tr>
        <w:tc>
          <w:tcPr>
            <w:tcW w:type="dxa" w:w="4320"/>
          </w:tcPr>
          <w:p>
            <w:r>
              <w:t>6</w:t>
            </w:r>
          </w:p>
        </w:tc>
        <w:tc>
          <w:tcPr>
            <w:tcW w:type="dxa" w:w="4320"/>
          </w:tcPr>
          <w:p>
            <w:r>
              <w:t>Hisobot faktlarga asoslanadi</w:t>
            </w:r>
          </w:p>
        </w:tc>
      </w:tr>
    </w:tbl>
    <w:p>
      <w:pPr>
        <w:pStyle w:val="Heading1"/>
      </w:pPr>
      <w:r>
        <w:t>4. Kundalik boshqaruv sikli</w:t>
      </w:r>
    </w:p>
    <w:tbl>
      <w:tblPr>
        <w:tblStyle w:val="TableGrid"/>
        <w:tblW w:type="auto" w:w="0"/>
        <w:tblLook w:firstColumn="1" w:firstRow="1" w:lastColumn="0" w:lastRow="0" w:noHBand="0" w:noVBand="1" w:val="04A0"/>
      </w:tblPr>
      <w:tblGrid>
        <w:gridCol w:w="4320"/>
        <w:gridCol w:w="4320"/>
      </w:tblGrid>
      <w:tr>
        <w:tc>
          <w:tcPr>
            <w:tcW w:type="dxa" w:w="4320"/>
          </w:tcPr>
          <w:p>
            <w:r>
              <w:t>Vaqt</w:t>
            </w:r>
          </w:p>
        </w:tc>
        <w:tc>
          <w:tcPr>
            <w:tcW w:type="dxa" w:w="4320"/>
          </w:tcPr>
          <w:p>
            <w:r>
              <w:t>Amal</w:t>
            </w:r>
          </w:p>
        </w:tc>
      </w:tr>
      <w:tr>
        <w:tc>
          <w:tcPr>
            <w:tcW w:type="dxa" w:w="4320"/>
          </w:tcPr>
          <w:p>
            <w:r>
              <w:t>08:30</w:t>
            </w:r>
          </w:p>
        </w:tc>
        <w:tc>
          <w:tcPr>
            <w:tcW w:type="dxa" w:w="4320"/>
          </w:tcPr>
          <w:p>
            <w:r>
              <w:t>Dashboard va OTIF ko'rsatkichlarini ko'rish</w:t>
            </w:r>
          </w:p>
        </w:tc>
      </w:tr>
      <w:tr>
        <w:tc>
          <w:tcPr>
            <w:tcW w:type="dxa" w:w="4320"/>
          </w:tcPr>
          <w:p>
            <w:r>
              <w:t>09:00</w:t>
            </w:r>
          </w:p>
        </w:tc>
        <w:tc>
          <w:tcPr>
            <w:tcW w:type="dxa" w:w="4320"/>
          </w:tcPr>
          <w:p>
            <w:r>
              <w:t>Ta'minot bo'limi yig'ilishi</w:t>
            </w:r>
          </w:p>
        </w:tc>
      </w:tr>
      <w:tr>
        <w:tc>
          <w:tcPr>
            <w:tcW w:type="dxa" w:w="4320"/>
          </w:tcPr>
          <w:p>
            <w:r>
              <w:t>10:00</w:t>
            </w:r>
          </w:p>
        </w:tc>
        <w:tc>
          <w:tcPr>
            <w:tcW w:type="dxa" w:w="4320"/>
          </w:tcPr>
          <w:p>
            <w:r>
              <w:t>Buyurtmalar va risklarni ko'rib chiqish</w:t>
            </w:r>
          </w:p>
        </w:tc>
      </w:tr>
      <w:tr>
        <w:tc>
          <w:tcPr>
            <w:tcW w:type="dxa" w:w="4320"/>
          </w:tcPr>
          <w:p>
            <w:r>
              <w:t>14:00</w:t>
            </w:r>
          </w:p>
        </w:tc>
        <w:tc>
          <w:tcPr>
            <w:tcW w:type="dxa" w:w="4320"/>
          </w:tcPr>
          <w:p>
            <w:r>
              <w:t>Yetkazib beruvchilar bilan muzokaralar</w:t>
            </w:r>
          </w:p>
        </w:tc>
      </w:tr>
      <w:tr>
        <w:tc>
          <w:tcPr>
            <w:tcW w:type="dxa" w:w="4320"/>
          </w:tcPr>
          <w:p>
            <w:r>
              <w:t>16:00</w:t>
            </w:r>
          </w:p>
        </w:tc>
        <w:tc>
          <w:tcPr>
            <w:tcW w:type="dxa" w:w="4320"/>
          </w:tcPr>
          <w:p>
            <w:r>
              <w:t>Ombor va logistika holatini nazorat qilish</w:t>
            </w:r>
          </w:p>
        </w:tc>
      </w:tr>
      <w:tr>
        <w:tc>
          <w:tcPr>
            <w:tcW w:type="dxa" w:w="4320"/>
          </w:tcPr>
          <w:p>
            <w:r>
              <w:t>17:30</w:t>
            </w:r>
          </w:p>
        </w:tc>
        <w:tc>
          <w:tcPr>
            <w:tcW w:type="dxa" w:w="4320"/>
          </w:tcPr>
          <w:p>
            <w:r>
              <w:t>Hisobotlarni qabul qilish</w:t>
            </w:r>
          </w:p>
        </w:tc>
      </w:tr>
      <w:tr>
        <w:tc>
          <w:tcPr>
            <w:tcW w:type="dxa" w:w="4320"/>
          </w:tcPr>
          <w:p>
            <w:r>
              <w:t>18:00</w:t>
            </w:r>
          </w:p>
        </w:tc>
        <w:tc>
          <w:tcPr>
            <w:tcW w:type="dxa" w:w="4320"/>
          </w:tcPr>
          <w:p>
            <w:r>
              <w:t>CEO uchun xulosa tayyorlash</w:t>
            </w:r>
          </w:p>
        </w:tc>
      </w:tr>
    </w:tbl>
    <w:p>
      <w:pPr>
        <w:pStyle w:val="Heading1"/>
      </w:pPr>
      <w:r>
        <w:t>5. SMART+ topshiriq standarti</w:t>
      </w:r>
    </w:p>
    <w:p>
      <w:pPr>
        <w:pStyle w:val="ListBullet"/>
      </w:pPr>
      <w:r>
        <w:t>Maqsad</w:t>
      </w:r>
    </w:p>
    <w:p>
      <w:pPr>
        <w:pStyle w:val="ListBullet"/>
      </w:pPr>
      <w:r>
        <w:t>Kutilayotgan natija</w:t>
      </w:r>
    </w:p>
    <w:p>
      <w:pPr>
        <w:pStyle w:val="ListBullet"/>
      </w:pPr>
      <w:r>
        <w:t>KPI</w:t>
      </w:r>
    </w:p>
    <w:p>
      <w:pPr>
        <w:pStyle w:val="ListBullet"/>
      </w:pPr>
      <w:r>
        <w:t>Mas'ul</w:t>
      </w:r>
    </w:p>
    <w:p>
      <w:pPr>
        <w:pStyle w:val="ListBullet"/>
      </w:pPr>
      <w:r>
        <w:t>Muddat</w:t>
      </w:r>
    </w:p>
    <w:p>
      <w:pPr>
        <w:pStyle w:val="ListBullet"/>
      </w:pPr>
      <w:r>
        <w:t>Resurs</w:t>
      </w:r>
    </w:p>
    <w:p>
      <w:pPr>
        <w:pStyle w:val="ListBullet"/>
      </w:pPr>
      <w:r>
        <w:t>Risk</w:t>
      </w:r>
    </w:p>
    <w:p>
      <w:pPr>
        <w:pStyle w:val="ListBullet"/>
      </w:pPr>
      <w:r>
        <w:t>Nazorat sanasi</w:t>
      </w:r>
    </w:p>
    <w:p>
      <w:pPr>
        <w:pStyle w:val="ListBullet"/>
      </w:pPr>
      <w:r>
        <w:t>Hisobot shakli</w:t>
      </w:r>
    </w:p>
    <w:p>
      <w:pPr>
        <w:pStyle w:val="Heading1"/>
      </w:pPr>
      <w:r>
        <w:t>6. Ta'minot topshirig'i kartasi</w:t>
      </w:r>
    </w:p>
    <w:p>
      <w:r>
        <w:t>Topshiriq:</w:t>
        <w:br/>
        <w:t>Mahsulot guruhi:</w:t>
        <w:br/>
        <w:t>Yetkazib beruvchi:</w:t>
        <w:br/>
        <w:t>Mas'ul:</w:t>
        <w:br/>
        <w:t>Muddat:</w:t>
        <w:br/>
        <w:t>KPI:</w:t>
        <w:br/>
        <w:t>Risk:</w:t>
        <w:br/>
        <w:t>Nazorat sanasi:</w:t>
        <w:br/>
        <w:t>Hisobot shakli:</w:t>
      </w:r>
    </w:p>
    <w:p>
      <w:pPr>
        <w:pStyle w:val="Heading1"/>
      </w:pPr>
      <w:r>
        <w:t>7. Direktorning kundalik chek-listi</w:t>
      </w:r>
    </w:p>
    <w:p>
      <w:pPr>
        <w:pStyle w:val="ListBullet"/>
      </w:pPr>
      <w:r>
        <w:t>□ Xarid rejasi tekshirildi</w:t>
      </w:r>
    </w:p>
    <w:p>
      <w:pPr>
        <w:pStyle w:val="ListBullet"/>
      </w:pPr>
      <w:r>
        <w:t>□ OTIF ko'rsatkichlari ko'rildi</w:t>
      </w:r>
    </w:p>
    <w:p>
      <w:pPr>
        <w:pStyle w:val="ListBullet"/>
      </w:pPr>
      <w:r>
        <w:t>□ Yetkazib beruvchilar holati baholandi</w:t>
      </w:r>
    </w:p>
    <w:p>
      <w:pPr>
        <w:pStyle w:val="ListBullet"/>
      </w:pPr>
      <w:r>
        <w:t>□ Risklar qayd etildi</w:t>
      </w:r>
    </w:p>
    <w:p>
      <w:pPr>
        <w:pStyle w:val="ListBullet"/>
      </w:pPr>
      <w:r>
        <w:t>□ Hisobotlar qabul qilindi</w:t>
      </w:r>
    </w:p>
    <w:p>
      <w:pPr>
        <w:pStyle w:val="ListBullet"/>
      </w:pPr>
      <w:r>
        <w:t>□ CEO hisoboti tayyorlandi</w:t>
      </w:r>
    </w:p>
    <w:p>
      <w:pPr>
        <w:pStyle w:val="Heading1"/>
      </w:pPr>
      <w:r>
        <w:t>1-qism yakuni</w:t>
      </w:r>
    </w:p>
    <w:p>
      <w:r>
        <w:t>2-qismda topshiriqlarni delegatsiya qilish, ta'minot nazorati, yetkazib beruvchilarni boshqarish va eskalatsiya tartibi bayon qilinadi.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