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HCHC Master Project Design Report (PDR) V3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  <w:t xml:space="preserve"> HCFinishing is a </w:t>
      </w:r>
      <w:r w:rsidDel="00000000" w:rsidR="00000000" w:rsidRPr="00000000">
        <w:rPr>
          <w:i w:val="1"/>
          <w:iCs w:val="1"/>
          <w:rtl w:val="0"/>
        </w:rPr>
        <w:t xml:space="preserve">Finish Intelligence Platform</w:t>
      </w:r>
      <w:r w:rsidDel="00000000" w:rsidR="00000000" w:rsidRPr="00000000">
        <w:rPr>
          <w:rtl w:val="0"/>
        </w:rPr>
        <w:t xml:space="preserve">, not just a presentation tool. It powers the operational and sales workflow for production and custom home builders.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Executive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HCHC operates as a hybrid ecosystem: a high-end Design Services Studio and a technology provider. HCFinishing is the proprietary software engine that drives both our internal operations and our external SaaS offering.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II. The HCHC Ecosystem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Services Studio:</w:t>
      </w:r>
      <w:r w:rsidDel="00000000" w:rsidR="00000000" w:rsidRPr="00000000">
        <w:rPr>
          <w:rtl w:val="0"/>
        </w:rPr>
        <w:t xml:space="preserve"> Direct B2B design services for builders and high-end residential clients.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HCFinishing (SaaS):</w:t>
      </w:r>
      <w:r w:rsidDel="00000000" w:rsidR="00000000" w:rsidRPr="00000000">
        <w:rPr>
          <w:rtl w:val="0"/>
        </w:rPr>
        <w:t xml:space="preserve"> The software engine automating design specs, visualizations, and upgrade intelligence.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Systems Methodology (IP):</w:t>
      </w:r>
      <w:r w:rsidDel="00000000" w:rsidR="00000000" w:rsidRPr="00000000">
        <w:rPr>
          <w:rtl w:val="0"/>
        </w:rPr>
        <w:t xml:space="preserve"> Our proprietary rules for finish selection and appointment management.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Content &amp; Demand Engine:</w:t>
      </w:r>
      <w:r w:rsidDel="00000000" w:rsidR="00000000" w:rsidRPr="00000000">
        <w:rPr>
          <w:rtl w:val="0"/>
        </w:rPr>
        <w:t xml:space="preserve"> Scaling the HCHC brand through digital media (YouTube/Podcast).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Market Tiering &amp; Monetization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Tier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Target User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Monetization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(MVP)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Independent Designers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Per-project flat fee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 (Automation)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Production Builders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Monthly seat-based subscription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Studio (Advanced)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Design Centers/Enterprise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Tiered enterprise licensing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Financial Roadmap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The business utilizes a dual-revenue model: Service fees cover immediate cash flow, while SaaS licensing provides scalable recurring revenue. Start-up capital requirements are estimated at $130,500–$205,000 for full studio operations.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