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285" w:rsidRPr="00982091" w:rsidRDefault="00EB0285" w:rsidP="00EB0285">
      <w:pPr>
        <w:widowControl w:val="0"/>
        <w:tabs>
          <w:tab w:val="left" w:pos="3870"/>
        </w:tabs>
        <w:autoSpaceDE w:val="0"/>
        <w:autoSpaceDN w:val="0"/>
        <w:adjustRightInd w:val="0"/>
        <w:spacing w:before="120" w:after="0" w:line="360" w:lineRule="auto"/>
        <w:ind w:right="-1"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</w:pPr>
      <w:bookmarkStart w:id="0" w:name="_Hlk135960941"/>
      <w:bookmarkEnd w:id="0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МИНИСТЕРСТВО ИНОСТРАННЫХ ДЕЛ РЕСПУБЛИКИ УЗБЕКИСТАН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Университет мировой экономики и дипломатии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bCs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bCs/>
          <w:sz w:val="28"/>
          <w:szCs w:val="28"/>
          <w:lang w:val="ru-RU" w:eastAsia="ru-RU"/>
        </w:rPr>
        <w:t>Факультет «Международная экономика и менеджмент»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bCs/>
          <w:iCs/>
          <w:color w:val="000000"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bCs/>
          <w:sz w:val="28"/>
          <w:szCs w:val="28"/>
          <w:lang w:val="ru-RU" w:eastAsia="ru-RU"/>
        </w:rPr>
        <w:t xml:space="preserve">Кафедра </w:t>
      </w:r>
      <w:r w:rsidRPr="00982091">
        <w:rPr>
          <w:rFonts w:ascii="Times New Roman" w:eastAsia="Arial" w:hAnsi="Times New Roman" w:cs="Times New Roman"/>
          <w:bCs/>
          <w:iCs/>
          <w:color w:val="000000"/>
          <w:sz w:val="28"/>
          <w:szCs w:val="28"/>
          <w:lang w:val="ru-RU" w:eastAsia="ru-RU"/>
        </w:rPr>
        <w:t>«Системный анализ и математическое моделирование»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b/>
          <w:iCs/>
          <w:color w:val="000000"/>
          <w:sz w:val="28"/>
          <w:szCs w:val="28"/>
          <w:lang w:val="uz-Cyrl-UZ" w:eastAsia="ru-RU"/>
        </w:rPr>
      </w:pPr>
      <w:proofErr w:type="spellStart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Уктамов</w:t>
      </w:r>
      <w:proofErr w:type="spellEnd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 xml:space="preserve"> </w:t>
      </w:r>
      <w:proofErr w:type="spellStart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Мухаммаджон</w:t>
      </w:r>
      <w:proofErr w:type="spellEnd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 xml:space="preserve"> </w:t>
      </w:r>
      <w:proofErr w:type="spellStart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Уткирович</w:t>
      </w:r>
      <w:proofErr w:type="spellEnd"/>
    </w:p>
    <w:p w:rsidR="00EB0285" w:rsidRPr="00982091" w:rsidRDefault="00EB0285" w:rsidP="00EB0285">
      <w:pPr>
        <w:widowControl w:val="0"/>
        <w:spacing w:after="0" w:line="360" w:lineRule="auto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</w:pPr>
    </w:p>
    <w:p w:rsidR="00EB0285" w:rsidRPr="00982091" w:rsidRDefault="00EB0285" w:rsidP="00EB0285">
      <w:pPr>
        <w:widowControl w:val="0"/>
        <w:spacing w:after="0" w:line="360" w:lineRule="auto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Тема: «</w:t>
      </w:r>
      <w:proofErr w:type="spellStart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>Цифровизация</w:t>
      </w:r>
      <w:proofErr w:type="spellEnd"/>
      <w:r w:rsidRPr="00982091"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  <w:t xml:space="preserve"> экономики и устойчивость стран к глобальным кризисам: международный опыт»</w:t>
      </w:r>
    </w:p>
    <w:p w:rsidR="00EB0285" w:rsidRPr="00982091" w:rsidRDefault="00EB0285" w:rsidP="00EB0285">
      <w:pPr>
        <w:widowControl w:val="0"/>
        <w:spacing w:after="0" w:line="360" w:lineRule="auto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val="ru-RU" w:eastAsia="ru-RU"/>
        </w:rPr>
      </w:pPr>
    </w:p>
    <w:p w:rsidR="00EB0285" w:rsidRPr="00982091" w:rsidRDefault="00EB0285" w:rsidP="00EB0285">
      <w:pPr>
        <w:widowControl w:val="0"/>
        <w:tabs>
          <w:tab w:val="left" w:pos="567"/>
        </w:tabs>
        <w:overflowPunct w:val="0"/>
        <w:autoSpaceDE w:val="0"/>
        <w:autoSpaceDN w:val="0"/>
        <w:adjustRightInd w:val="0"/>
        <w:spacing w:after="0" w:line="360" w:lineRule="auto"/>
        <w:ind w:right="57" w:firstLine="709"/>
        <w:jc w:val="center"/>
        <w:textAlignment w:val="baseline"/>
        <w:rPr>
          <w:rFonts w:ascii="Times New Roman" w:eastAsia="Arial" w:hAnsi="Times New Roman" w:cs="Times New Roman"/>
          <w:bCs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bCs/>
          <w:sz w:val="28"/>
          <w:szCs w:val="28"/>
          <w:lang w:val="ru-RU" w:eastAsia="ru-RU"/>
        </w:rPr>
        <w:t>Выпускная квалификационная работа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sz w:val="28"/>
          <w:szCs w:val="28"/>
          <w:lang w:val="ru-RU" w:eastAsia="ru-RU"/>
        </w:rPr>
      </w:pPr>
      <w:r w:rsidRPr="00982091">
        <w:rPr>
          <w:rFonts w:ascii="Times New Roman" w:eastAsia="Arial" w:hAnsi="Times New Roman" w:cs="Times New Roman"/>
          <w:sz w:val="28"/>
          <w:szCs w:val="28"/>
          <w:lang w:val="ru-RU" w:eastAsia="ru-RU"/>
        </w:rPr>
        <w:t>для получения степени бакалавра по направлению 60412000 – «Международная экономика и менеджмент» (по регионам и направлениям деятельности)</w:t>
      </w:r>
    </w:p>
    <w:p w:rsidR="00EB0285" w:rsidRPr="00982091" w:rsidRDefault="00EB0285" w:rsidP="00EB0285">
      <w:pPr>
        <w:widowControl w:val="0"/>
        <w:spacing w:before="120" w:after="0" w:line="360" w:lineRule="auto"/>
        <w:ind w:right="-142"/>
        <w:rPr>
          <w:rFonts w:ascii="Times New Roman" w:eastAsia="Arial" w:hAnsi="Times New Roman" w:cs="Times New Roman"/>
          <w:sz w:val="24"/>
          <w:szCs w:val="24"/>
          <w:lang w:val="uz-Cyrl-UZ" w:eastAsia="ru-RU"/>
        </w:rPr>
      </w:pPr>
    </w:p>
    <w:p w:rsidR="00EB0285" w:rsidRPr="00982091" w:rsidRDefault="00EB0285" w:rsidP="00EB0285">
      <w:pPr>
        <w:widowControl w:val="0"/>
        <w:spacing w:before="120" w:after="0" w:line="360" w:lineRule="auto"/>
        <w:ind w:right="-142" w:firstLine="709"/>
        <w:jc w:val="center"/>
        <w:rPr>
          <w:rFonts w:ascii="Times New Roman" w:eastAsia="Arial" w:hAnsi="Times New Roman" w:cs="Times New Roman"/>
          <w:sz w:val="24"/>
          <w:szCs w:val="24"/>
          <w:lang w:val="uz-Cyrl-UZ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19"/>
        <w:gridCol w:w="579"/>
        <w:gridCol w:w="579"/>
        <w:gridCol w:w="3878"/>
      </w:tblGrid>
      <w:tr w:rsidR="00EB0285" w:rsidRPr="00982091" w:rsidTr="00286375">
        <w:tc>
          <w:tcPr>
            <w:tcW w:w="4319" w:type="dxa"/>
            <w:hideMark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Работа рассмотрена и рекомендована к защите</w:t>
            </w: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3878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</w:tr>
      <w:tr w:rsidR="00EB0285" w:rsidRPr="00982091" w:rsidTr="00286375">
        <w:tc>
          <w:tcPr>
            <w:tcW w:w="4319" w:type="dxa"/>
            <w:hideMark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Научный руководитель:</w:t>
            </w: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 xml:space="preserve">доцент </w:t>
            </w:r>
            <w:proofErr w:type="spellStart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Умарова</w:t>
            </w:r>
            <w:proofErr w:type="spellEnd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 xml:space="preserve"> Ш. Г.</w:t>
            </w: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sz w:val="24"/>
                <w:szCs w:val="24"/>
                <w:lang w:val="ru-RU" w:eastAsia="ru-RU"/>
              </w:rPr>
              <w:t>______________________</w:t>
            </w: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3878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</w:tr>
      <w:tr w:rsidR="00EB0285" w:rsidRPr="00982091" w:rsidTr="00286375">
        <w:tc>
          <w:tcPr>
            <w:tcW w:w="4319" w:type="dxa"/>
            <w:hideMark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Зав. кафедрой:</w:t>
            </w: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д. ф.-</w:t>
            </w:r>
            <w:proofErr w:type="spellStart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м.н</w:t>
            </w:r>
            <w:proofErr w:type="spellEnd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 xml:space="preserve">., профессор </w:t>
            </w:r>
            <w:proofErr w:type="spellStart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Раимова</w:t>
            </w:r>
            <w:proofErr w:type="spellEnd"/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 xml:space="preserve"> Г.М.</w:t>
            </w: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  <w:t>______________________</w:t>
            </w: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3878" w:type="dxa"/>
          </w:tcPr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</w:pP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</w:pPr>
          </w:p>
          <w:p w:rsidR="00EB0285" w:rsidRPr="00982091" w:rsidRDefault="00EB0285" w:rsidP="00286375">
            <w:pPr>
              <w:widowControl w:val="0"/>
              <w:spacing w:after="0" w:line="360" w:lineRule="auto"/>
              <w:ind w:right="-142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  <w:t xml:space="preserve">           </w:t>
            </w:r>
            <w:r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  <w:t xml:space="preserve">        </w:t>
            </w:r>
            <w:r w:rsidRPr="00982091"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  <w:t xml:space="preserve"> “____”_________ 2026 г.</w:t>
            </w:r>
          </w:p>
        </w:tc>
      </w:tr>
      <w:tr w:rsidR="00EB0285" w:rsidRPr="00982091" w:rsidTr="00286375">
        <w:tc>
          <w:tcPr>
            <w:tcW w:w="4319" w:type="dxa"/>
            <w:hideMark/>
          </w:tcPr>
          <w:p w:rsidR="00EB0285" w:rsidRPr="00982091" w:rsidRDefault="00EB0285" w:rsidP="00286375">
            <w:pPr>
              <w:widowControl w:val="0"/>
              <w:spacing w:before="120" w:after="0" w:line="360" w:lineRule="auto"/>
              <w:ind w:right="-142"/>
              <w:rPr>
                <w:rFonts w:ascii="Times New Roman" w:eastAsia="Arial" w:hAnsi="Times New Roman" w:cs="Times New Roman"/>
                <w:b/>
                <w:sz w:val="24"/>
                <w:szCs w:val="24"/>
                <w:lang w:val="ru-RU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before="120"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579" w:type="dxa"/>
          </w:tcPr>
          <w:p w:rsidR="00EB0285" w:rsidRPr="00982091" w:rsidRDefault="00EB0285" w:rsidP="00286375">
            <w:pPr>
              <w:widowControl w:val="0"/>
              <w:spacing w:before="120"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val="uz-Cyrl-UZ" w:eastAsia="ru-RU"/>
              </w:rPr>
            </w:pPr>
          </w:p>
        </w:tc>
        <w:tc>
          <w:tcPr>
            <w:tcW w:w="3878" w:type="dxa"/>
            <w:hideMark/>
          </w:tcPr>
          <w:p w:rsidR="00EB0285" w:rsidRPr="00982091" w:rsidRDefault="00EB0285" w:rsidP="00286375">
            <w:pPr>
              <w:widowControl w:val="0"/>
              <w:spacing w:before="120" w:after="0" w:line="360" w:lineRule="auto"/>
              <w:ind w:right="-142" w:firstLine="709"/>
              <w:jc w:val="center"/>
              <w:rPr>
                <w:rFonts w:ascii="Times New Roman" w:eastAsia="Arial" w:hAnsi="Times New Roman" w:cs="Times New Roman"/>
                <w:b/>
                <w:sz w:val="24"/>
                <w:szCs w:val="24"/>
                <w:lang w:val="uz-Cyrl-UZ" w:eastAsia="ru-RU"/>
              </w:rPr>
            </w:pPr>
          </w:p>
        </w:tc>
      </w:tr>
    </w:tbl>
    <w:p w:rsidR="00EB0285" w:rsidRPr="00982091" w:rsidRDefault="00EB0285" w:rsidP="00EB0285">
      <w:pPr>
        <w:widowControl w:val="0"/>
        <w:spacing w:after="0" w:line="360" w:lineRule="auto"/>
        <w:rPr>
          <w:rFonts w:ascii="Times New Roman" w:eastAsia="Arial" w:hAnsi="Times New Roman" w:cs="Times New Roman"/>
          <w:b/>
          <w:sz w:val="24"/>
          <w:szCs w:val="24"/>
          <w:lang w:val="ru-RU" w:eastAsia="ru-RU"/>
        </w:rPr>
      </w:pPr>
    </w:p>
    <w:p w:rsidR="00EB0285" w:rsidRDefault="00EB0285" w:rsidP="00EB0285">
      <w:pPr>
        <w:widowControl w:val="0"/>
        <w:spacing w:after="0" w:line="360" w:lineRule="auto"/>
        <w:ind w:firstLine="709"/>
        <w:jc w:val="center"/>
        <w:rPr>
          <w:rFonts w:ascii="Times New Roman" w:eastAsia="Arial" w:hAnsi="Times New Roman" w:cs="Times New Roman"/>
          <w:b/>
          <w:sz w:val="24"/>
          <w:szCs w:val="24"/>
          <w:lang w:val="ru-RU" w:eastAsia="ru-RU"/>
        </w:rPr>
        <w:sectPr w:rsidR="00EB0285" w:rsidSect="00CA034D"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eastAsia="Arial" w:hAnsi="Times New Roman" w:cs="Times New Roman"/>
          <w:b/>
          <w:sz w:val="24"/>
          <w:szCs w:val="24"/>
          <w:lang w:val="ru-RU" w:eastAsia="ru-RU"/>
        </w:rPr>
        <w:t>Ташкен</w:t>
      </w:r>
      <w:r w:rsidR="00DC0760">
        <w:rPr>
          <w:rFonts w:ascii="Times New Roman" w:eastAsia="Arial" w:hAnsi="Times New Roman" w:cs="Times New Roman"/>
          <w:b/>
          <w:sz w:val="24"/>
          <w:szCs w:val="24"/>
          <w:lang w:val="ru-RU" w:eastAsia="ru-RU"/>
        </w:rPr>
        <w:t>т</w:t>
      </w:r>
    </w:p>
    <w:sdt>
      <w:sdtPr>
        <w:rPr>
          <w:rFonts w:ascii="Times New Roman" w:eastAsiaTheme="minorHAnsi" w:hAnsi="Times New Roman" w:cs="Times New Roman"/>
          <w:b/>
          <w:color w:val="auto"/>
          <w:sz w:val="28"/>
          <w:szCs w:val="28"/>
          <w:lang w:val="ru-RU"/>
          <w14:ligatures w14:val="standardContextual"/>
        </w:rPr>
        <w:id w:val="40480378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Cs/>
          <w:sz w:val="22"/>
          <w:szCs w:val="22"/>
        </w:rPr>
      </w:sdtEndPr>
      <w:sdtContent>
        <w:p w:rsidR="00EB0285" w:rsidRPr="00DC0760" w:rsidRDefault="00EB0285" w:rsidP="00EB0285">
          <w:pPr>
            <w:pStyle w:val="ab"/>
            <w:jc w:val="center"/>
            <w:rPr>
              <w:rFonts w:ascii="Times New Roman" w:hAnsi="Times New Roman" w:cs="Times New Roman"/>
              <w:b/>
              <w:color w:val="auto"/>
              <w:sz w:val="26"/>
              <w:szCs w:val="26"/>
              <w:lang w:val="ru-RU"/>
            </w:rPr>
          </w:pPr>
          <w:r w:rsidRPr="00DC0760">
            <w:rPr>
              <w:rFonts w:ascii="Times New Roman" w:hAnsi="Times New Roman" w:cs="Times New Roman"/>
              <w:b/>
              <w:color w:val="auto"/>
              <w:sz w:val="26"/>
              <w:szCs w:val="26"/>
              <w:lang w:val="ru-RU"/>
            </w:rPr>
            <w:t>СОДЕРЖАНИЕ</w:t>
          </w:r>
        </w:p>
        <w:p w:rsidR="00DC0760" w:rsidRPr="00DC0760" w:rsidRDefault="00EB0285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r w:rsidRPr="00DC0760">
            <w:rPr>
              <w:rFonts w:ascii="Times New Roman" w:hAnsi="Times New Roman" w:cs="Times New Roman"/>
              <w:b/>
              <w:sz w:val="26"/>
              <w:szCs w:val="26"/>
            </w:rPr>
            <w:fldChar w:fldCharType="begin"/>
          </w:r>
          <w:r w:rsidRPr="00DC0760">
            <w:rPr>
              <w:rFonts w:ascii="Times New Roman" w:hAnsi="Times New Roman" w:cs="Times New Roman"/>
              <w:b/>
              <w:sz w:val="26"/>
              <w:szCs w:val="26"/>
            </w:rPr>
            <w:instrText xml:space="preserve"> TOC \o "1-3" \h \z \u </w:instrText>
          </w:r>
          <w:r w:rsidRPr="00DC0760">
            <w:rPr>
              <w:rFonts w:ascii="Times New Roman" w:hAnsi="Times New Roman" w:cs="Times New Roman"/>
              <w:b/>
              <w:sz w:val="26"/>
              <w:szCs w:val="26"/>
            </w:rPr>
            <w:fldChar w:fldCharType="separate"/>
          </w:r>
          <w:hyperlink w:anchor="_Toc231804943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>ВВЕДЕНИЕ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_Toc231804943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4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>ГЛАВА I. ТЕОРЕТИКО-МЕТОДОЛОГИЧЕСКИЕ ОСНОВЫ ЦИФРОВИЗАЦИИ ЭКОНОМИКИ И УСТОЙЧИВОСТИ СТРАН К ГЛОБАЛЬНЫМ КРИЗИСАМ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_Toc231804944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5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1.1. Сущность, содержание и основные направления цифровизации современной экономики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_Toc231804945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6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1.2. Теоретические подходы к категории устойчивости национальных экономик к экзогенным шокам и глобальным кризисам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_Toc231804946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7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1.3. Системные механизмы и каналы влияния цифровых технологий на макроэкономическую стабильность государств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_Toc231804947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8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>ГЛАВА II. МЕЖДУНАРОДНЫЙ ОПЫТ ЦИФРОВИЗАЦИИ ЭКОНОМИКИ И ЭКОНОМЕТРИЧЕСКИЙ АНАЛИЗ ЕЁ ВЛИЯНИЯ НА УСТОЙЧИВОСТЬ СТРАН К ГЛОБАЛЬНЫМ КРИЗИСАМ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_Toc231804948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24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49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2.1. Сравнительный анализ моделей цифровой трансформации стран-лидеров (на примере Эстонии, Республики Корея, Сингапура и Польши)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_Toc231804949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24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0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2.2. Реакция национальных экономик на глобальные кризисы 2020-2022 годов в контексте уровня цифровой зрелости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_Toc231804950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1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2.3. Эконометрическая оценка влияния цифровизации на устойчивость национальных экономик на основе панельных данных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_Toc231804951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41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2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 xml:space="preserve">ГЛАВА 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</w:rPr>
              <w:t>III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>. ИСПОЛЬЗОВАНИЕ МЕЖДУНАРОДНОГО ОПЫТА ЦИФРОВИЗАЦИИ В УСЛОВИЯХ РЕСПУБЛИКИ УЗБЕКИСТАН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_Toc231804952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52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3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3.1. Современное состояние цифровой трансформации экономики Узбекистана в рамках Стратегии «Цифровой Узбекистан - 2030»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_Toc231804953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52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4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3.2. Адаптация международного опыта цифровой трансформации к условиям Республики Узбекистан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_Toc231804954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56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CA034D" w:rsidRDefault="00D51090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5" w:history="1">
            <w:r w:rsidR="00DC0760" w:rsidRPr="00CA034D">
              <w:rPr>
                <w:rStyle w:val="a5"/>
                <w:rFonts w:ascii="Times New Roman" w:hAnsi="Times New Roman" w:cs="Times New Roman"/>
                <w:noProof/>
                <w:sz w:val="26"/>
                <w:szCs w:val="26"/>
                <w:lang w:val="ru-RU"/>
              </w:rPr>
              <w:t>3.3. Практические рекомендации по укреплению цифровой устойчивости экономики Республики Узбекистан и оценка ожидаемого эффекта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_Toc231804955 \h </w:instrTex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61</w:t>
            </w:r>
            <w:r w:rsidR="00DC0760" w:rsidRPr="00CA034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6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  <w:lang w:val="ru-RU"/>
              </w:rPr>
              <w:t>ЗАКЛЮЧЕНИЕ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_Toc231804956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68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7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pacing w:val="-2"/>
                <w:sz w:val="26"/>
                <w:szCs w:val="26"/>
              </w:rPr>
              <w:t>СПИСОК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pacing w:val="-4"/>
                <w:sz w:val="26"/>
                <w:szCs w:val="26"/>
              </w:rPr>
              <w:t xml:space="preserve"> 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pacing w:val="-2"/>
                <w:sz w:val="26"/>
                <w:szCs w:val="26"/>
              </w:rPr>
              <w:t>ИСПОЛЬЗОВАННОЙ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pacing w:val="-4"/>
                <w:sz w:val="26"/>
                <w:szCs w:val="26"/>
              </w:rPr>
              <w:t xml:space="preserve"> </w:t>
            </w:r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pacing w:val="-2"/>
                <w:sz w:val="26"/>
                <w:szCs w:val="26"/>
              </w:rPr>
              <w:t>ЛИТЕРАТУРЫ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_Toc231804957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72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DC0760" w:rsidRPr="00DC0760" w:rsidRDefault="00D51090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  <w14:ligatures w14:val="none"/>
            </w:rPr>
          </w:pPr>
          <w:hyperlink w:anchor="_Toc231804958" w:history="1">
            <w:r w:rsidR="00DC0760" w:rsidRPr="00DC0760">
              <w:rPr>
                <w:rStyle w:val="a5"/>
                <w:rFonts w:ascii="Times New Roman" w:hAnsi="Times New Roman" w:cs="Times New Roman"/>
                <w:b/>
                <w:noProof/>
                <w:sz w:val="26"/>
                <w:szCs w:val="26"/>
              </w:rPr>
              <w:t>ПРИЛОЖЕНИЯ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_Toc231804958 \h </w:instrTex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E2DF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79</w:t>
            </w:r>
            <w:r w:rsidR="00DC0760" w:rsidRPr="00DC076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EB0285" w:rsidRDefault="00EB0285" w:rsidP="00EB0285">
          <w:r w:rsidRPr="00DC0760">
            <w:rPr>
              <w:rFonts w:ascii="Times New Roman" w:hAnsi="Times New Roman" w:cs="Times New Roman"/>
              <w:b/>
              <w:bCs/>
              <w:sz w:val="26"/>
              <w:szCs w:val="26"/>
              <w:lang w:val="ru-RU"/>
            </w:rPr>
            <w:fldChar w:fldCharType="end"/>
          </w:r>
        </w:p>
      </w:sdtContent>
    </w:sdt>
    <w:p w:rsidR="00EB0285" w:rsidRDefault="00EB0285" w:rsidP="00EB0285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02A16" w:rsidRPr="00C91D9E" w:rsidRDefault="00C02A16" w:rsidP="00C91D9E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" w:name="_Toc231804943"/>
      <w:r w:rsidRPr="00C91D9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ВВЕДЕНИЕ</w:t>
      </w:r>
      <w:bookmarkEnd w:id="1"/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 темы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1BAF" w:rsidRPr="006751BD">
        <w:rPr>
          <w:rFonts w:ascii="Times New Roman" w:hAnsi="Times New Roman" w:cs="Times New Roman"/>
          <w:sz w:val="28"/>
          <w:szCs w:val="28"/>
          <w:lang w:val="ru-RU"/>
        </w:rPr>
        <w:t>Последние десятилетия показали, что национальные экономики становятся всё более зависимыми от внешних шоков, технологических изменений и скорости адаптации государственных институтов.</w:t>
      </w:r>
      <w:r w:rsidR="00BB1B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Три волны глобальных кризисов - 2008-2009, 2020-2021 и 2022 годов - обнажили одну закономерность, которую сложно игнорировать: одинаковый по силе внешний удар даёт разные траектории восстановления даже у стран со схожим уровнем развития. Одни экономики возвращались к росту достаточно быстро, другие ещё долго несли последствия ш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ока. Классические инструменты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искальная и монетарная политика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объясняют многое, но явно не всё. Так, по оценкам Организации экономического сотрудничества и развития, страны ОЭСР, столкнувшиеся с банковским кризисом в 2008-2009 годах, восстанавливались в среднем около 12 кварталов, тогда как </w:t>
      </w:r>
      <w:r w:rsidR="00DC0760">
        <w:rPr>
          <w:rFonts w:ascii="Times New Roman" w:hAnsi="Times New Roman" w:cs="Times New Roman"/>
          <w:sz w:val="28"/>
          <w:szCs w:val="28"/>
          <w:lang w:val="ru-RU"/>
        </w:rPr>
        <w:t>страны без банковского кризиса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около 4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в три раза при сопоставимой макроэкономической политике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достаточно весомый аргумент в пользу того, что уст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>ойчивость экономики зависит от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реакцией на шок, но и тем, что было выстроено до него.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 условиях четвёртой промышленной рев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олюции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 всё чаще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один из таких структурных факторов. Опыт пандемии 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19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показал, что развитая цифровая инфраструктура, цифровое государство и онлайн-сервисы позволяют поддерживать непрерывность государственных функций, ускорять фискальную трансмиссию и смягчать падение деловой активности. Но называть эту связь полностью изученной пока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рано. 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Вопрос остается открытым.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научной литературе до сих пор нет достаточно системного объяснения того, через какие конкретно механизмы цифровые технологии влияют на отдельные элементы макроэкономической устойчивости.</w:t>
      </w:r>
    </w:p>
    <w:p w:rsidR="00C02A16" w:rsidRPr="000E5726" w:rsidRDefault="00737AF8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37AF8">
        <w:rPr>
          <w:rFonts w:ascii="Times New Roman" w:hAnsi="Times New Roman" w:cs="Times New Roman"/>
          <w:sz w:val="28"/>
          <w:szCs w:val="28"/>
          <w:lang w:val="ru-RU"/>
        </w:rPr>
        <w:t>Для Республики Узбекистан это особенно важно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реализующей программу цифровой трансформации в рамках Стратегии «Цифровой Узбекистан - 2030»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"/>
      </w:r>
      <w:r w:rsidR="00C02A1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национальной экономики здесь важно не просто перенять отдельные решения стран-лидеров, а разобраться - какие именно направления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реально работают на повышение устойчивости к внешним шокам. В отечественной литературе этот вопрос раскрыт слабо, особенно в части связи между количественными показателями цифрового развития и траекториями восстановления в кризисный период 2020-2022 годов. Отсюда и научная, и практическая значимость темы.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Степень изученности проблемы.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Концептуальные основы экономической устойчивости заложены 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проводится принципиальное разграничение между структ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урной уязвимостью экономики и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способностью противостоять шокам. Эмпирические аспекты влияния макроэкономической политики на устойчивость представлены в исследованиях А. Кальдера-Санчес,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других авторов в рамках аналитической программы ОЭСР. Вопросы цифровой трансформации национальных экономик раскрываются в докладах ОЭСР, Всемирного банка и Европейской комиссии, а 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поведение фирм в кризисных условиях - в работах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Ойкономоу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Пьерри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Й.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Тиммера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Пробле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ма в том, что оба направления - устойчивость и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lastRenderedPageBreak/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большинстве работ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существ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ют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бы параллельно, не пересекаясь.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Комплексного анализа каналов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которые цифровые технологии воздействуют на макроэкономическую устойчивость в условиях глобальных кризисов, пока недостаточно. Этот пробел и стал отправной точкой данной работы.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 исследования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процесс цифровой трансформации национальных экономик и формирование их устойчивости к глобальным экзогенным шокам.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Предмет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 механизмы и каналы воздействия цифровых технологий на макроэкономическую устойчивость национальных экономик в условиях глобальных кризисов 2020-2022 годов.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 выявить и эмпирически обосновать каналы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к глобальным кризисам, а также разработать рекомендации по адаптации международного опыта цифровой трансформации к условиям Республики Узбекистан.</w:t>
      </w:r>
    </w:p>
    <w:p w:rsidR="00C02A16" w:rsidRPr="0084714E" w:rsidRDefault="00C02A16" w:rsidP="008471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достижения поставленной цели необходимо решить следующие задачи:</w:t>
      </w:r>
      <w:r w:rsidR="00CA034D">
        <w:rPr>
          <w:rFonts w:ascii="Times New Roman" w:hAnsi="Times New Roman" w:cs="Times New Roman"/>
          <w:sz w:val="28"/>
          <w:szCs w:val="28"/>
        </w:rPr>
        <w:t xml:space="preserve"> </w:t>
      </w:r>
      <w:r w:rsidR="0084714E">
        <w:rPr>
          <w:rFonts w:ascii="Times New Roman" w:hAnsi="Times New Roman" w:cs="Times New Roman"/>
          <w:sz w:val="28"/>
          <w:szCs w:val="28"/>
        </w:rPr>
        <w:t xml:space="preserve">1) </w:t>
      </w:r>
      <w:r w:rsidRPr="00CA034D">
        <w:rPr>
          <w:rFonts w:ascii="Times New Roman" w:hAnsi="Times New Roman" w:cs="Times New Roman"/>
          <w:sz w:val="28"/>
          <w:szCs w:val="28"/>
          <w:lang w:val="ru-RU"/>
        </w:rPr>
        <w:t xml:space="preserve">Раскрыть теоретико-методологические основы </w:t>
      </w:r>
      <w:proofErr w:type="spellStart"/>
      <w:r w:rsidRPr="00CA034D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CA034D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экономики, </w:t>
      </w:r>
      <w:r w:rsidR="00737AF8" w:rsidRPr="00CA034D">
        <w:rPr>
          <w:rFonts w:ascii="Times New Roman" w:hAnsi="Times New Roman" w:cs="Times New Roman"/>
          <w:sz w:val="28"/>
          <w:szCs w:val="28"/>
          <w:lang w:val="ru-RU"/>
        </w:rPr>
        <w:t>выделить её основные направления и разобрать каналы влияния на макроэкономическую устойчивость</w:t>
      </w:r>
      <w:r w:rsidRPr="00CA03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A034D">
        <w:rPr>
          <w:rFonts w:ascii="Times New Roman" w:hAnsi="Times New Roman" w:cs="Times New Roman"/>
          <w:sz w:val="28"/>
          <w:szCs w:val="28"/>
        </w:rPr>
        <w:t xml:space="preserve"> </w:t>
      </w:r>
      <w:r w:rsidR="0084714E">
        <w:rPr>
          <w:rFonts w:ascii="Times New Roman" w:hAnsi="Times New Roman" w:cs="Times New Roman"/>
          <w:sz w:val="28"/>
          <w:szCs w:val="28"/>
        </w:rPr>
        <w:t xml:space="preserve">2) </w:t>
      </w:r>
      <w:r w:rsidRPr="00CA034D">
        <w:rPr>
          <w:rFonts w:ascii="Times New Roman" w:hAnsi="Times New Roman" w:cs="Times New Roman"/>
          <w:sz w:val="28"/>
          <w:szCs w:val="28"/>
          <w:lang w:val="ru-RU"/>
        </w:rPr>
        <w:t>Проанализировать теоретические подходы к категории устойчивости национальных экономик к экзогенным шокам и определить её ключевые компоненты.</w:t>
      </w:r>
      <w:r w:rsidR="0084714E">
        <w:rPr>
          <w:rFonts w:ascii="Times New Roman" w:hAnsi="Times New Roman" w:cs="Times New Roman"/>
          <w:sz w:val="28"/>
          <w:szCs w:val="28"/>
        </w:rPr>
        <w:t xml:space="preserve"> 3) 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>Провести сравнительный анализ моделей цифровой трансформации Эстонии, Республ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ики Корея, Сингапура и Польши</w:t>
      </w:r>
      <w:r w:rsidR="00390488" w:rsidRPr="0084714E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>и оценить как каждая из этих экономик реагировала на глобальные кризисы 2020-2022 годов с учётом уровня цифровой зрелости.</w:t>
      </w:r>
      <w:r w:rsidR="00CA034D" w:rsidRPr="0084714E">
        <w:rPr>
          <w:rFonts w:ascii="Times New Roman" w:hAnsi="Times New Roman" w:cs="Times New Roman"/>
          <w:sz w:val="28"/>
          <w:szCs w:val="28"/>
        </w:rPr>
        <w:t xml:space="preserve"> </w:t>
      </w:r>
      <w:r w:rsidR="0084714E">
        <w:rPr>
          <w:rFonts w:ascii="Times New Roman" w:hAnsi="Times New Roman" w:cs="Times New Roman"/>
          <w:sz w:val="28"/>
          <w:szCs w:val="28"/>
        </w:rPr>
        <w:t xml:space="preserve">4) 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 xml:space="preserve">Построить эконометрическую модель на основе панельных данных, которая позволит оценить связь между показателями </w:t>
      </w:r>
      <w:proofErr w:type="spellStart"/>
      <w:r w:rsidRPr="0084714E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84714E">
        <w:rPr>
          <w:rFonts w:ascii="Times New Roman" w:hAnsi="Times New Roman" w:cs="Times New Roman"/>
          <w:sz w:val="28"/>
          <w:szCs w:val="28"/>
          <w:lang w:val="ru-RU"/>
        </w:rPr>
        <w:t xml:space="preserve"> и индикаторами устойчивости национальных экономик, и интерпретировать полученные результаты.</w:t>
      </w:r>
      <w:r w:rsidR="00CA034D" w:rsidRPr="0084714E">
        <w:rPr>
          <w:rFonts w:ascii="Times New Roman" w:hAnsi="Times New Roman" w:cs="Times New Roman"/>
          <w:sz w:val="28"/>
          <w:szCs w:val="28"/>
        </w:rPr>
        <w:t xml:space="preserve"> </w:t>
      </w:r>
      <w:r w:rsidR="0084714E">
        <w:rPr>
          <w:rFonts w:ascii="Times New Roman" w:hAnsi="Times New Roman" w:cs="Times New Roman"/>
          <w:sz w:val="28"/>
          <w:szCs w:val="28"/>
        </w:rPr>
        <w:t xml:space="preserve">5) 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>Оценить текущее состояние цифровой трансформации экономики Узбекистана в рамках С</w:t>
      </w:r>
      <w:r w:rsidR="00390488" w:rsidRPr="0084714E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 xml:space="preserve">2030» и определить, 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какие элементы международного опыта здесь реально применимы.</w:t>
      </w:r>
      <w:r w:rsidR="00CA034D" w:rsidRPr="0084714E">
        <w:rPr>
          <w:rFonts w:ascii="Times New Roman" w:hAnsi="Times New Roman" w:cs="Times New Roman"/>
          <w:sz w:val="28"/>
          <w:szCs w:val="28"/>
        </w:rPr>
        <w:t xml:space="preserve"> </w:t>
      </w:r>
      <w:r w:rsidR="0084714E">
        <w:rPr>
          <w:rFonts w:ascii="Times New Roman" w:hAnsi="Times New Roman" w:cs="Times New Roman"/>
          <w:sz w:val="28"/>
          <w:szCs w:val="28"/>
        </w:rPr>
        <w:t xml:space="preserve">6) 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>Разработат</w:t>
      </w:r>
      <w:r w:rsidR="00390488" w:rsidRPr="0084714E">
        <w:rPr>
          <w:rFonts w:ascii="Times New Roman" w:hAnsi="Times New Roman" w:cs="Times New Roman"/>
          <w:sz w:val="28"/>
          <w:szCs w:val="28"/>
          <w:lang w:val="ru-RU"/>
        </w:rPr>
        <w:t>ь практические рекомендаций</w:t>
      </w:r>
      <w:r w:rsidRPr="0084714E">
        <w:rPr>
          <w:rFonts w:ascii="Times New Roman" w:hAnsi="Times New Roman" w:cs="Times New Roman"/>
          <w:sz w:val="28"/>
          <w:szCs w:val="28"/>
          <w:lang w:val="ru-RU"/>
        </w:rPr>
        <w:t xml:space="preserve"> по укреплению цифровой инфраструктуры как фактора антикризисной устойчивости национальной экономики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результаты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систематизированы каналы, через которые цифровые технологии могут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влиять на устойчивость националь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 экономик в период глобальных кризисов. В качестве ключевых выделены пять направлений: непрерывность государственн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ых функций, фискальная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трансмис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адаптация частного сектора, сдвиг структуры спроса в пользу цифровых услуг, а также устойчивость информационно-коммуникационного сектора. Отдельно проведён сравнительный анализ моделей цифровой трансформации Эстонии, Республики К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орея, Сингапура и Польши - с уче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том институциональных особенностей каждой страны и того, как они проходили кризисы 2020-2022 годов. На основе панельных данных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построена эконометрическая модель, которая позвол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яет оценить связь между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показати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зрелости и отдельными индикаторами макроэкономической устойчивости.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Эти результаты пригодятся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уточнении стратегических документов цифровой трансформации Республики Узбекистан, включая С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тратегию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2030», а также при подготовке мер по повышению устойчивости национальной экономики в кризисных условиях. Обобщённый международный опыт и сформулированные рекомендации адресованы прежде всего государственным органам в сфере цифрового развития, а также научным и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образова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тельным органи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зациям работающим </w:t>
      </w:r>
      <w:proofErr w:type="gramStart"/>
      <w:r w:rsidR="00390488">
        <w:rPr>
          <w:rFonts w:ascii="Times New Roman" w:hAnsi="Times New Roman" w:cs="Times New Roman"/>
          <w:sz w:val="28"/>
          <w:szCs w:val="28"/>
          <w:lang w:val="ru-RU"/>
        </w:rPr>
        <w:t>на пересечений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вопросов международной экономики, цифровой трансформации и устойчивого развития.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Методология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Методологической основой рабо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ты выступает системный подход - 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сматриваются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здесь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как взаимосвязанные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характерист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а не как отдельные явления. В работе используются методы сравнительного анализа, корреляционно-регрессионного моделирования на панельных данных и графической визуализации. Эконометрический анализ выполнен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применением пакета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plm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Эмпирическую базу составляют данные ОЭСР, Международного валютного фонда, Всемирного банка, Европейской комиссии и ООН. В сравнительном анализе используются международные индексы цифровой зрелости, включая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</w:rPr>
        <w:t>Network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Readiness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Digital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Economy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and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Society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 эконометрической модели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доля интернет-пользователей в численности населения по базе 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обеспечивает сопоставимость данных по выборке из 49 стран за 2010-2024 годы. Также в работе используются нормативно-правовые акты и стратегические документы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Выпускная квалификационная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х глав, разделённых на девять параграфов, заключения, списка использованных источников и приложений.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первой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«Теоретико-методологические основы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устойчивости стран к глобальным кризисам» раскрываются сущность и основные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современной экономики, рассматриваются теоретические подходы к категории устойчивости национальных экономик к экзогенным шокам, а также систематизируются каналы воздействия цифровых технологий на макроэкономическую стабильность.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Во второй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«Международный опыт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эконометрический анализ её влияния на устойчивость стран к глобальным кризисам» проводится сравнительный анализ моделей цифровой трансформации Эстонии, Республики Корея, Сингапура и Польши, оценивается реакция этих экономик на глобальные кризисы 2020-2022 годов, а также выполняется эконометрический анализ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на основе панельных данных.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третьей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«Использование международного опыта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Республики Узбекистан» рассматривается текущее состояние цифровой трансформации экономики Узбекистана в рамках С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2030», оцениваются возможности адаптации международног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 xml:space="preserve">о опыта и формулируются </w:t>
      </w:r>
      <w:proofErr w:type="spellStart"/>
      <w:r w:rsidR="00807BBC">
        <w:rPr>
          <w:rFonts w:ascii="Times New Roman" w:hAnsi="Times New Roman" w:cs="Times New Roman"/>
          <w:sz w:val="28"/>
          <w:szCs w:val="28"/>
          <w:lang w:val="ru-RU"/>
        </w:rPr>
        <w:t>практич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ские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рекомендации по укреплению цифровой устойчивости национальной экономики.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заключении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обобщаются основные результаты исследования, формулируются выводы и практические рекомендации.</w:t>
      </w:r>
    </w:p>
    <w:p w:rsidR="00C91D9E" w:rsidRDefault="00C91D9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91D9E" w:rsidRDefault="00C91D9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91D9E" w:rsidRDefault="00C91D9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91D9E" w:rsidRDefault="00C91D9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91D9E" w:rsidRDefault="00C91D9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B67A04">
      <w:pPr>
        <w:pStyle w:val="1"/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</w:pPr>
      <w:bookmarkStart w:id="2" w:name="_Toc231804944"/>
    </w:p>
    <w:p w:rsidR="00B67A04" w:rsidRPr="00B67A04" w:rsidRDefault="00B67A04" w:rsidP="00B67A04">
      <w:pPr>
        <w:rPr>
          <w:lang w:val="ru-RU"/>
        </w:rPr>
      </w:pPr>
    </w:p>
    <w:p w:rsidR="00C91D9E" w:rsidRPr="00C255BA" w:rsidRDefault="00C02A16" w:rsidP="00C255BA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C91D9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ГЛАВА I. ТЕОРЕТИКО-МЕТОДОЛОГИЧЕСКИЕ ОСНОВЫ ЦИФРОВИЗАЦИИ ЭКОНОМИКИ И УСТОЙЧИВОСТИ СТРАН К ГЛОБАЛЬНЫМ КРИЗИСАМ</w:t>
      </w:r>
      <w:bookmarkEnd w:id="2"/>
    </w:p>
    <w:p w:rsidR="00C91D9E" w:rsidRPr="00C255BA" w:rsidRDefault="00C02A16" w:rsidP="00C255BA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" w:name="_Toc231804945"/>
      <w:r w:rsidRPr="00C91D9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1.1. Сущность, содержание и основные направления </w:t>
      </w:r>
      <w:proofErr w:type="spellStart"/>
      <w:r w:rsidRPr="00C91D9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цифровизации</w:t>
      </w:r>
      <w:proofErr w:type="spellEnd"/>
      <w:r w:rsidRPr="00C91D9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современной экономики</w:t>
      </w:r>
      <w:bookmarkEnd w:id="3"/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Понятие «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экономики» в научной лите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ратуре трактуется неоднозначно,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процесс охватывает не только внедрение технологий, но и более глубокие изменения: в экономических связях, управлении и организации хозяйственной деятельности. В аналитических документах Организации экономического сотрудничества и развития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рассматривается одновременно как процесс распространения цифровых технологий и как структурный сдвиг, влияющий на производство, потребление и регулирование экономической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активност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"/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понимается как встраивание цифровых технологий и данных в производственные, обменные и распределительные процессы национальной экономики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результате меняется её отраслевая структура, модели государственного управления и формы взаимодействия экономических агентов.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Важно разграничивать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как широкий процесс и информационно-коммуникационный сектор как её технологическую основу. Согласно классификации ОЭСР, основанной на международном стандарте ISIC Rev.4, ИКТ-сектор включает производство компьютеров, электронных и оптических изделий, телекоммуникации, а также деятельность в области информационных технологий и информацио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нных услуг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"/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цифровая экономика не огран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ичивается только ИКТ-сектором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она охв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атывает и распространение </w:t>
      </w:r>
      <w:proofErr w:type="spellStart"/>
      <w:r w:rsidR="00081992">
        <w:rPr>
          <w:rFonts w:ascii="Times New Roman" w:hAnsi="Times New Roman" w:cs="Times New Roman"/>
          <w:sz w:val="28"/>
          <w:szCs w:val="28"/>
          <w:lang w:val="ru-RU"/>
        </w:rPr>
        <w:t>цифро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технологий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тради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ционые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 отрасли: промышленность торговлю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финансы и государственное управление. Именно через такое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распространение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начинает влиять на более широкие пока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затели национальной экономики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ВВП на душу населения и производительность труда.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Эмпирические данные показы</w:t>
      </w:r>
      <w:r w:rsidR="00DC0760">
        <w:rPr>
          <w:rFonts w:ascii="Times New Roman" w:hAnsi="Times New Roman" w:cs="Times New Roman"/>
          <w:sz w:val="28"/>
          <w:szCs w:val="28"/>
          <w:lang w:val="ru-RU"/>
        </w:rPr>
        <w:t>вают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 xml:space="preserve"> ИКТ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сектор стабильно расте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 быстрее экономики в целом. По оценкам ОЭСР, основанным на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nowcasting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-модели, в течение 2013-2023 годов ИКТ-сектор стран ОЭСР рос примерно в три раза быстрее совокупной экономики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C07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2023 году средний темп роста ИКТ-сектора достиг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7,6%, причем в десяти странах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включая Великобрит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анию, Бельгию, Германию и США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показатель превысил 9%. Доля валовой добавленной стоимости, генерируемой ИКТ-сектором в странах ОЭСР, увеличилась с 3,9% в 2010 году до 5,4% в 2019 году, 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к 2023 году достигла около 6,2%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"/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Динамика доли ИКТ-сектора в валовой добавленной стоимости стран ОЭСР представлена на рисунке 1.1.</w:t>
      </w:r>
      <w:r w:rsidR="00277A7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7A71" w:rsidRPr="00DC0760">
        <w:rPr>
          <w:rFonts w:ascii="Times New Roman" w:hAnsi="Times New Roman" w:cs="Times New Roman"/>
          <w:sz w:val="28"/>
          <w:szCs w:val="28"/>
          <w:lang w:val="ru-RU"/>
        </w:rPr>
        <w:t>Если ИКТ-се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>ктор растёт в три раза быстрее</w:t>
      </w:r>
      <w:r w:rsidR="00277A71" w:rsidRPr="00DC0760">
        <w:rPr>
          <w:rFonts w:ascii="Times New Roman" w:hAnsi="Times New Roman" w:cs="Times New Roman"/>
          <w:sz w:val="28"/>
          <w:szCs w:val="28"/>
          <w:lang w:val="ru-RU"/>
        </w:rPr>
        <w:t xml:space="preserve"> почему это до сих пор не стало главным приоритетом для каждой страны?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 xml:space="preserve"> Вопрос остается открытым.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53F65" wp14:editId="01CDF065">
            <wp:extent cx="5223510" cy="2621280"/>
            <wp:effectExtent l="0" t="0" r="15240" b="762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>Рисунок 1.1. Динамика доли ИКТ-сектора в валовой добавленной стоимости стран ОЭСР, 2010-2023 гг., %</w:t>
      </w:r>
    </w:p>
    <w:p w:rsidR="00C02A16" w:rsidRPr="00A4607E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Источник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: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составлено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автором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данным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Digital Economy Outlook 2024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STAN Industrial Analysis Database.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Измерить цифровую экономику в едином показателе достаточно сложно - она включает и самостоятельный ИКТ-сектор, и цифровые технологии в других отраслях. До формирования единого монетарного показателя цифровой экономики международные сравнения чаще опираются на промежуточные индикаторы: долю ИКТ-сектора в ВВП, уровень проникновения цифровых технологий среди населения и предприятий, а также композит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ные индексы цифровой зрелости - 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Society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Development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x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 сравнительном и эконометрическом анализе лучше использовать несколько взаимодополняющих индикаторов, а не один универсальный. Это позволяет точнее отразить разные стороны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и не упрощать исследуемый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проце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сверх меры.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Содержание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можно раскрыть через несколько основных направлений, каждое из которых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 своему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на развитие национальной экономики. На основе аналитических докуме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нтов ОЭСР и Европейской комиссий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выделяются пять таких направлений, представленных на рисунке 1.2.</w:t>
      </w:r>
    </w:p>
    <w:p w:rsidR="00C02A16" w:rsidRPr="00A4607E" w:rsidRDefault="00EB0285" w:rsidP="00EB0285">
      <w:r>
        <w:rPr>
          <w:noProof/>
          <w14:ligatures w14:val="none"/>
        </w:rPr>
        <w:lastRenderedPageBreak/>
        <w:drawing>
          <wp:inline distT="0" distB="0" distL="0" distR="0" wp14:anchorId="548BF8FB" wp14:editId="18DB880F">
            <wp:extent cx="6151397" cy="4285859"/>
            <wp:effectExtent l="0" t="0" r="190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397" cy="42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Рисунок 1.2 - Основные направления </w:t>
      </w:r>
      <w:proofErr w:type="spellStart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цифровизации</w:t>
      </w:r>
      <w:proofErr w:type="spellEnd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экономики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Источник: составлено автором на основе OECD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Digital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Economy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Outlook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2024 и аналитических материалов Европейской комиссии.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:rsidR="00C02A16" w:rsidRPr="000E5726" w:rsidRDefault="00FB6BE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Первое направление 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развитие цифровой инфраструкт</w:t>
      </w:r>
      <w:r>
        <w:rPr>
          <w:rFonts w:ascii="Times New Roman" w:hAnsi="Times New Roman" w:cs="Times New Roman"/>
          <w:sz w:val="28"/>
          <w:szCs w:val="28"/>
          <w:lang w:val="ru-RU"/>
        </w:rPr>
        <w:t>уры. Речь иде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 о совокупности сетей фиксированной и мобильной связи, центров обработки данных, спутниковых систем, а также инфраструктуры цифровой идентиф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икации и обмена данными.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Расшири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ние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сетей 5G, развитие беспроводных технологий нового поколения и интеграция наземной и спутниковой связи формируют физическую основу цифровой экономики, без которой невозможна реализация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других направлений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инфраструктура создаёт </w:t>
      </w:r>
      <w:proofErr w:type="spellStart"/>
      <w:r w:rsidR="0084714E">
        <w:rPr>
          <w:rFonts w:ascii="Times New Roman" w:hAnsi="Times New Roman" w:cs="Times New Roman"/>
          <w:sz w:val="28"/>
          <w:szCs w:val="28"/>
          <w:lang w:val="ru-RU"/>
        </w:rPr>
        <w:lastRenderedPageBreak/>
        <w:t>мультпликативный</w:t>
      </w:r>
      <w:proofErr w:type="spellEnd"/>
      <w:r w:rsidR="0084714E">
        <w:rPr>
          <w:rFonts w:ascii="Times New Roman" w:hAnsi="Times New Roman" w:cs="Times New Roman"/>
          <w:sz w:val="28"/>
          <w:szCs w:val="28"/>
          <w:lang w:val="ru-RU"/>
        </w:rPr>
        <w:t xml:space="preserve"> эффект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она стимулирует электронную коммерцию, удалённую занятость и цифровые государственные сервисы.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Второе направление 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– это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распространение цифровых технологий среди предприятий. Речь идёт об использовании в бизнес-секторе облачных вычислений, интернета вещей, аналитики больши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х данных и искусственного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интел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екта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По данным ОЭСР за 2023 год, в среднем по странам ОЭСР облачными вычислениями пользов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ались 49% предприятий,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технолог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вещей - 2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7%, аналитикой больших данных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14% по данным за 2022 год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, а искусственным интеллектом - 8%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Цифры показывают очевидное: более доступные и уже освоенные технологии внедряются быстрее, тогда как сложные решения требуют серьёзной организационной, кадровой и технологической подготовки. Исследования ОЭСР также показывают, что облачные вы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числения распространяются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три раза быстрее аналитики больших данных: переход доли предприятий-пользователей с 5% до 50% занимает около 12 лет для облачных технологий и около 36 л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ет для аналитики больших данных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3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84714E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Третье направление это</w:t>
      </w:r>
      <w:proofErr w:type="gramEnd"/>
      <w:r w:rsidR="00D43AEC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государственного управления. Она включает развитие систем электронной идентификации, межведомственного обмена данными и цифровых услуг для граждан и бизнеса. Цифровое государство важ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но не только как часть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технологческого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развития 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кризисных условиях оно помогает сохранять выполнение ключевых государственных функций, что напрямую влияет на устойчивость экономики. По оценкам ОЭСР, готовность к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адаптации государства и бизнеса в период пандемии COVID-19. Это подтверждается примерами Вьетнама, Казахстана и Швейцарии, где цифровые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платформы использовались для онлайн-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экстренной поддержки населения и быстрого предоста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вления государственных кредитов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4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84714E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Четвёртое направление -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системы. Сюда входят электронные платежи, цифровой банкинг, финансовые технологии и цифровая идентификация. Для макроэкономической устойчивости цифровые финансы важны по двум причи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нам: они расширяют доступ к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лик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идности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сн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ижают транзакционные </w:t>
      </w:r>
      <w:r>
        <w:rPr>
          <w:rFonts w:ascii="Times New Roman" w:hAnsi="Times New Roman" w:cs="Times New Roman"/>
          <w:sz w:val="28"/>
          <w:szCs w:val="28"/>
          <w:lang w:val="ru-RU"/>
        </w:rPr>
        <w:t>издержки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особенно когда физические каналы финансового обс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луживания ограничены. </w:t>
      </w:r>
      <w:proofErr w:type="gramStart"/>
      <w:r w:rsidR="00D43AEC">
        <w:rPr>
          <w:rFonts w:ascii="Times New Roman" w:hAnsi="Times New Roman" w:cs="Times New Roman"/>
          <w:sz w:val="28"/>
          <w:szCs w:val="28"/>
          <w:lang w:val="ru-RU"/>
        </w:rPr>
        <w:t>Кроме того</w:t>
      </w:r>
      <w:proofErr w:type="gram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цифровые платёжные системы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силивают фискальную трансмиссию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государственная поддержка доходит до конечных получателей быстрее и с меньши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ми административными затратами.</w:t>
      </w:r>
    </w:p>
    <w:p w:rsidR="00C02A16" w:rsidRPr="000E5726" w:rsidRDefault="0084714E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Пятое направление –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работы с данными. По мере тог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о как данные становятся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самостое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тельным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экономическим ресурсом, государства выстраивают правила их сбора, хранения, обмена и использования, а также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разрабатывают национальные стратегии управления данными. ОЭСР подчёркивает, что доступ к данным определяет возможности применения искусственного интеллекта и продвинутой аналитики, поэтому становится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5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050ED2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ED2">
        <w:rPr>
          <w:rFonts w:ascii="Times New Roman" w:hAnsi="Times New Roman" w:cs="Times New Roman"/>
          <w:sz w:val="28"/>
          <w:szCs w:val="28"/>
          <w:lang w:val="ru-RU"/>
        </w:rPr>
        <w:t>Все пять напр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авлений работают только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вместе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а</w:t>
      </w:r>
      <w:r w:rsidRPr="00050ED2">
        <w:rPr>
          <w:rFonts w:ascii="Times New Roman" w:hAnsi="Times New Roman" w:cs="Times New Roman"/>
          <w:sz w:val="28"/>
          <w:szCs w:val="28"/>
          <w:lang w:val="ru-RU"/>
        </w:rPr>
        <w:t xml:space="preserve"> порознь эффект гораздо слабее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. Цифровая инфраструктура создаёт основу для внедрения технологий в бизнесе, цифровое государство снижает административные и транзакционные издержки, а цифровые финансы и работа с данными помогают экономике быстрее реагировать на внешние шоки. Именно такая взаимосвязь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рассматривать цифровую экономику не как набор отдельных технологий, а как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систему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которая влияет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 развитие и устойчивость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нациа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нальной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в целом.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проявляется на разных уровнях. На макроуровне оно связано с ростом производительности труда, сокращением транзакционных издержек и расширением международной торговли услугами - всё это в итоге может отражаться на динамике ВВП на душу населения. Всемирный банк фиксирует положительную связь между уровнем проникновения цифровых технологий и темпами экономического роста, особенно в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странах с переходной экономикой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6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микроуровне исследования предприятий показывают, что более высокий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фирм связан с их способностью сохранять выпуск и занятость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экономических шоков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7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связать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цию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с экономическим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стом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н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о и с устойчивостью экономики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подробнее рассматривается в следующем параграфе.</w:t>
      </w:r>
    </w:p>
    <w:p w:rsidR="00D43AEC" w:rsidRPr="000E5726" w:rsidRDefault="00C02A16" w:rsidP="00C255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перечисленные тенденции,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сама по себе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не гарантирует экономических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примуществ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>.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 зависит от качества институтов, эффективности государственного управления, уровня человеческого капитала и объёма сопутствующих инвестиций. Поэтому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не только как технологический процесс, но и как фактор который при определённых условиях может усиливать макроэкономическую устойчивость. Этот аспект подробнее раск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рывается в следующем параграфе.</w:t>
      </w:r>
      <w:r w:rsidR="00DC07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C0760" w:rsidRPr="00DC0760">
        <w:rPr>
          <w:rFonts w:ascii="Times New Roman" w:hAnsi="Times New Roman" w:cs="Times New Roman"/>
          <w:sz w:val="28"/>
          <w:szCs w:val="28"/>
          <w:lang w:val="ru-RU"/>
        </w:rPr>
        <w:t xml:space="preserve">Но можно ли вообще измерить устойчивость </w:t>
      </w:r>
      <w:proofErr w:type="gramStart"/>
      <w:r w:rsidR="00DC0760" w:rsidRPr="00DC0760">
        <w:rPr>
          <w:rFonts w:ascii="Times New Roman" w:hAnsi="Times New Roman" w:cs="Times New Roman"/>
          <w:sz w:val="28"/>
          <w:szCs w:val="28"/>
          <w:lang w:val="ru-RU"/>
        </w:rPr>
        <w:t>до того как</w:t>
      </w:r>
      <w:proofErr w:type="gramEnd"/>
      <w:r w:rsidR="00DC0760" w:rsidRPr="00DC0760">
        <w:rPr>
          <w:rFonts w:ascii="Times New Roman" w:hAnsi="Times New Roman" w:cs="Times New Roman"/>
          <w:sz w:val="28"/>
          <w:szCs w:val="28"/>
          <w:lang w:val="ru-RU"/>
        </w:rPr>
        <w:t xml:space="preserve"> кризис случился?</w:t>
      </w:r>
    </w:p>
    <w:p w:rsidR="00D43AEC" w:rsidRPr="00C255BA" w:rsidRDefault="00C02A16" w:rsidP="00C255BA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" w:name="_Toc231804946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1.2. Теоретические подходы к категории устойчивости национальных экономик к экзогенным шокам и глобальным кризисам</w:t>
      </w:r>
      <w:bookmarkEnd w:id="4"/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Категория «устойчивость»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resilience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) применительно к национальной экономике стала активно использоватьс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я в последние два десятилетия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когда стало очевидно, что одних показателей макроэкономической стабильности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недо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статочно для оценки спосо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бности экономики выдерживать внешние шоки и восстанавливаться после них. В подходе ОЭСР экономическая устойчивость рассматривается как способность экономики снижать уязвимость, противо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стоять шокам и быстро возвращать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ся к траектории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восстановления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8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рассматривается через различие между двумя категориями: уязвимостью и устойчивостью. Уязвимость отражает структурную подверженность экономики внешним шокам, тогда как устойчивость связана со способностью экономической политики смягчать последствия таких шоков или ускорять восстановлен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ие. В этом подходе уязвимость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более постоянная характеристика экономики, а устойчивость зависит от решений государства, качества институтов и поведения частных экономических агентов. На основе такого разграничения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предложил типологическую матрицу, в которой страны классифицируются по сочетанию уровня структурной уязвимости и способности экономики противостоять внешним шокам. Эта типология показывает, что даже страны с высокой уязвимостью могут достигать устойчивых результатов - при наличии эффективной экономической политики и развитых институтов. Эмпирическая проверка модели на выборке из 86 стран подтвердила положительную связь между ВВП на душу населения и уровнем устой</w:t>
      </w:r>
      <w:r w:rsidR="0084714E">
        <w:rPr>
          <w:rFonts w:ascii="Times New Roman" w:hAnsi="Times New Roman" w:cs="Times New Roman"/>
          <w:sz w:val="28"/>
          <w:szCs w:val="28"/>
          <w:lang w:val="ru-RU"/>
        </w:rPr>
        <w:t>чивости, а также отрицательную,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ВВП и уровнем уязвимости. Композитный индекс экономической устойчивости, предложенный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соавторами, включает четыре ключевые компоненты: макроэкономическую стабильность, микроэкономическую рыночную эффективность, качество государственного у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правления и социальное развитие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9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Такой подход позволяет рассматривать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устойчивость не только как теоретическую категорию, но и как измеримый показатель пригодный для сравнительного 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 эконометрического анализа.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Параллельно с подходом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исследованиях ОЭСР устойчивость рассматривается через три взаимосвязанные функции экономической политики: предотвращение накопления уязвимостей, ограничение глубины шока и ускорение восстановл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А. Кальдера-Санчес,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Расмуссена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показано, что на устойчивость влияют разные направления макроэкономической и структурной политики - фискальная, денежно-кредитная, финансовая и трудовая. Ключевая идея здесь в том, что одни и те же меры могут одновременно снижать уязвимость экономики, смягчать последствия кризиса и ускорять восстановление. Но между этими задачами нередко возникают компромиссы - и это требует более сбалансированного подхода к политике.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Согласно оценкам ОЭСР, меры экономической политики могут иметь неоднозначный эффект: например, фискальные резервы расширяют возможности стимулирования в период спада, тогда как жёсткое регулирование рынка труда может смягчать первоначальный удар по занятости, но замедлять последующее 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осстановление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экономики зависит поэтому не только от набора антикризисных инструментов, но и от того насколько политика учитывает возможные компромиссы между смягчением кризисного удара и скорост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ью последующего восстановления.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Эмпирическое направление теории устойчивости получило развитие в исследовании Кальдера-Санчес, 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Гори,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были рассмотрены серьёзные рецессии и финансовые кризисы в 100 странах за период 1970-2014 годов. В этой работе серьёзная рецессия определяется как существенное снижение ВВП на душу населения, превышающее медианный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уровень по выборке. Глобальный финансовый кризис 2008-2009 годов был определён как один из наиболее распространённых и дорогостоящих кризисных эпизодов, поскольку в ряде развитых экономик п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отери выпуска превысили 10%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2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Важным 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результатом указанного исследования является вывод о том, что продолжительность рецессий зависит от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вовлечённости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банковского сектора: в странах ОЭСР, столкнувшихся с банковским кризисом, средний интервал «пик - дно» составил около 12 кварталов, тогда как в ст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ранах без банковского кризиса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около 4 кварталов, а в отдельных стран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>ах вне ОЭСР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около 3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>Разница трехкратная.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Ины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 xml:space="preserve">ми словами, финансовая </w:t>
      </w:r>
      <w:proofErr w:type="spellStart"/>
      <w:r w:rsidR="00BA5274">
        <w:rPr>
          <w:rFonts w:ascii="Times New Roman" w:hAnsi="Times New Roman" w:cs="Times New Roman"/>
          <w:sz w:val="28"/>
          <w:szCs w:val="28"/>
          <w:lang w:val="ru-RU"/>
        </w:rPr>
        <w:t>составля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щая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кризиса способна заметно у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длинять период восстановления</w:t>
      </w:r>
      <w:r w:rsidR="00BA5274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это нужно учитывать при раз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работке антикризисной политики.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теории устойчивости важное место занимают индикаторы раннего предупреждения. Согласно методологии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 наиболее информативным относятся рост частного кредитования, отклонения цен на жильё от долгосрочного тренда, дисбалансы текущего счёта и глобаль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ные показатели кредитного цикла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исследования такой подход важен тем, что показывает: устойчивость экономики можно оценивать через сист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>ему количественных показателей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которые затем используются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сравнитель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ном</w:t>
      </w:r>
      <w:proofErr w:type="gramEnd"/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и эконометрическом анализе.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Современное понимание экономической устойчивости постепенно расширяется за счёт включения цифровых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техно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логических факторов. Если в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кла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сическом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подходе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объяснялась через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макр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оэкономические,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институциа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нальные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социальные переменные, то после пандемии COVID-19 всё большее значение стали получать показатели цифровой готовности. В докладе ОЭСР о сотрудничестве в области развития 2020 года цифровая готовность включается в число ключевых направлений устойчивости национальных экономик к глобальным шокам наряду с международными экономическими связями, системой здравоохранения, социальной защитой, финансовой систем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ой 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государственными финансами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природа современны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х кризисов изменилась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пандемия 2020 года выявила значимость цифровой инфраструктуры как одного 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з инструментов смягчения шока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наряду с фиска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льными и финансовыми резервами.</w:t>
      </w:r>
    </w:p>
    <w:p w:rsidR="007F6B0F" w:rsidRPr="000E5726" w:rsidRDefault="00C02A16" w:rsidP="00CA03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учётом рассмотренных подходов устойчивость национальной экономики можно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понимать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многомерную категорию, объединяющую макроэкономическую стабильность, рыночную эффективность, качество государственного управления, социальное развитие и цифровую готовность. Она может быть выражена через систему композитных индексов и проверена с пом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ощью эконометрических моделей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что позволяет использовать эту категорию не только в теоретическом, но и в сравнительно-аналитическом смысле. При этом важно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учитывать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устойчивость зависит не только от структурных характеристик экономики, но и от качества проводимой политики. Поэтому в следующем параграфе рассматриваются конкретные каналы влияния цифровых технологий на устойчивость национальных экономик.</w:t>
      </w:r>
      <w:r w:rsidR="00F853EF" w:rsidRPr="00F853EF">
        <w:t xml:space="preserve"> 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>12 кварталов против 4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вот реальная цена банковского кризиса. Три лишних года восстановления.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 Это </w:t>
      </w:r>
      <w:proofErr w:type="gramStart"/>
      <w:r w:rsidR="00F853EF">
        <w:rPr>
          <w:rFonts w:ascii="Times New Roman" w:hAnsi="Times New Roman" w:cs="Times New Roman"/>
          <w:sz w:val="28"/>
          <w:szCs w:val="28"/>
          <w:lang w:val="ru-RU"/>
        </w:rPr>
        <w:t>не абстрактная статистика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это</w:t>
      </w:r>
      <w:proofErr w:type="gramEnd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потерянные рабочие места, замороженные инвестиции, снизившиеся доходы.</w:t>
      </w:r>
    </w:p>
    <w:p w:rsidR="00C02A16" w:rsidRPr="00CA034D" w:rsidRDefault="00C02A16" w:rsidP="00CA034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" w:name="_Toc231804947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1.3. Системные механизмы и каналы влияния цифровых технологий на макроэкономическую стабильность государств</w:t>
      </w:r>
      <w:bookmarkEnd w:id="5"/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национальных экономик, рассмотренная в предыдущих параграфах, требует более конкретного раскрытия через отдельные каналы воздействия. Для этого исследован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ия такая систематизация важна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она помогает объяснить каким образом цифровые технологии могут влиять на макроэкономическую устойчивость, а также обосновывает дальнейший выбор переменных для эконометрического анализа. В работе выделяются пять основных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национальной экономики: непрерывность государственных функций, фискальная трансмиссия, адаптация частного сектора, диверсификация конечного спроса и устойчивость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информаци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оно-коммуникацион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сектора.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Первый канал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обеспечение непрерывности государственных функций в условиях внешних шоков. Цифровое государство, включающее электронную идентификацию, межведомственный обмен данными и онлайн-сервисы для граждан и бизнеса, помогает сохранять работу государственных институтов даже при ограничении физического взаимодействия. По оценкам ОЭСР, готовность к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даптации бизнеса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государственого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сектора в период пандемий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COVID-19. Этот канал подтверждается примерами Вьетнама, Швейцарии и Марокко, где цифровые платформы использовались для онлайн-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быстрого предоставления кредитов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и адресной поддержки населения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Второй канал связан с повышением эффективности фискальной трансмиссии. Цифровые платёжные системы, инфраструктура цифровой идентификации и объединённые базы данных помогают быстрее и точнее направлять государственную поддержку конечным получателям. В докладе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ОЭСР 2020 года подчёркивается, что эффективная поддержка домохозяйств и фирм в условиях глобальных шоков требует продвинутого управления данными и объединения информации из налоговых, социальны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х и иных государственных систем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макроэкономической точки зрения этот канал уменьшает временные лаги и административные изде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ржки при распределении </w:t>
      </w:r>
      <w:proofErr w:type="gramStart"/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средств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чему государственные расходы быстрее дают стабилизирующий эффект.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Третий канал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адаптация частного сектора к шокам за счёт цифровых технологий. Эмпирические исследования на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микроданных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показывают, что фирмы с более высоким уровнем внедрения информационных технологий в период пандемии демонстрировали меньшее падение занятости и выручки по сравнению с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енее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цифровизированными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фирмами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объясняется тем, что цифровые решения облегчают переход на уда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лённую работу, развитие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электр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ной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коммерции и более гибкую организацию производственных и логистических процессов. По оценкам ОЭСР, в 2023 году облачными вычислениями пользовались в среднем 49% предприятий стран ОЭСР, что создавало технологическую основу для быстрой адаптации б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изнеса к кризисным ограничениям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Четвёртый канал связан с изменением структуры конечного спроса в пользу цифровых услуг и электронной коммерции. Во время пандемии COVID-19 ограничения физической мобильности ускорили переход потребителей к онлай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н-каналам торговли, связи и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поло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чения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услуг. Так, в 2020 году розничные онлайн-продажи в Европейском союзе и США заметно выросли, а спрос на широкополосную связь у отдельн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ых операторов увеличился до 60%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оценкам исследователей, пандемия продвинула долгосрочный тренд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потребительских рынков примерно на 2,5 года вперёд относи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тельно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допандемийной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точки зрения экономической устойчивости это означает, что цифровые каналы частично сохраняют потребление даже тогда, когда физические форматы торговли и услуг ограничены. Поэтому развитие электронной коммерции и онлайн-сервисов может смягчать последствия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шоков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связанных с ограничением мобильности.</w:t>
      </w:r>
    </w:p>
    <w:p w:rsidR="00C02A16" w:rsidRPr="000E5726" w:rsidRDefault="001E7D4B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Пятый канал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 информационно-коммуникационного сектора как отдельного элемента национальной экономики. Согласно данным ОЭСР, в 2020 году средний темп роста ИКТ-сектора в странах ОЭСР составил 6,6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%, а к 2021 году эффект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пандемии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ного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в большинстве стран данного сектора у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же практически не прослеживался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ИКТ-сектор в кризисных условиях оказыва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ется устойчивее многих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традицио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отраслей. Его значение проявляется в двух аспектах: во-первых, более высокая доля ИКТ-сектора в экономике создаёт дополнительную опору для совокупного выпуска; во-вторых, этот сектор обеспечивает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другие отрасли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цифровыми решениями которые повышают их способнос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ть к адаптации.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Исследования ОЭСР показывают, что среди ранних индикаторов серьёзных рецессий особое значение имеют показатели кредитного цикла, отклонения цен на жильё от долгосрочного тренда и ди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сбалансы счёта текущих операций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 xml:space="preserve">Для нашей </w:t>
      </w:r>
      <w:proofErr w:type="gramStart"/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работы это</w:t>
      </w:r>
      <w:proofErr w:type="gramEnd"/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 xml:space="preserve"> важно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фискальной системы может повышать не только скорость антикризисного реагирования, но и качество раннего выявления макроэкономических дисбалансов - за счёт объединения и анализа данных в режиме близком к реальному времени.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Вопрос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финансового сектора следует рассматривать двойственно: с одной стороны, она ускоряет фискальную и фи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нансовую трансмиссию, с другой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при слабом регулировании может усиливать ра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спространение финансовых рисков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развитие цифровых финансов должно сочета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ться с надёжным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макра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пруденциальным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регулированием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постоянным контролем устойчивости финансовой системы.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Системная связь между перечисленными каналами проявляется в том, что они усиливают друг друга. Развитая цифровая инфраструктура создаёт условия для непрерывности государственных функций и более эффективной фискальной трансмиссии;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 и финансовых механизмов повышает адаптивность частного сектора; а расширение цифровых услуг поддерживает развитие самого ИКТ-сектора.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связанная с цифровыми технологиями формируется не как простая сумма отдельных эффектов, а как результат взаимодействия нескольких каналов. Именно поэтому страны с более высоким уровнем цифровой трансформации могут показывать более устойчивые траектории в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 условиях глобальных кризисов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рассматривается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точки зрения эконометрического моделирования выделенные каналы позволяют обосновать выбор количественных индикаторов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устойчивости национальных экономик. Теоретически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может отражаться через показатели цифровой инфраструктуры, электронного правительства, развития ИКТ-сектора и распространения цифровых технологий среди предприятий. Однако в этой работе, с учётом доступности сопоставимых данных по широкой выборке стран,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выбрана доля интернет-пользователей в численности населения. В качестве зависимой переменной используется натуральный логарифм ВВП на душу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населения. В модель также включаются валовое накопление основного капитала, инфляция, безработица, эксп</w:t>
      </w:r>
      <w:r w:rsidR="001E7D4B">
        <w:rPr>
          <w:rFonts w:ascii="Times New Roman" w:hAnsi="Times New Roman" w:cs="Times New Roman"/>
          <w:sz w:val="28"/>
          <w:szCs w:val="28"/>
          <w:lang w:val="ru-RU"/>
        </w:rPr>
        <w:t xml:space="preserve">орт высокотехнологичной </w:t>
      </w:r>
      <w:proofErr w:type="spellStart"/>
      <w:r w:rsidR="001E7D4B">
        <w:rPr>
          <w:rFonts w:ascii="Times New Roman" w:hAnsi="Times New Roman" w:cs="Times New Roman"/>
          <w:sz w:val="28"/>
          <w:szCs w:val="28"/>
          <w:lang w:val="ru-RU"/>
        </w:rPr>
        <w:t>продукц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кризисные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-переменные 2020 и 2022 годов, а также взаимодействия показателя интернет-проникновения с кризисными периода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ми. Такой подход связывает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теор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тические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положения первой главы с эконометрическим анализом второй.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Цифровые технологии влияют на макроэкономическую устойчивость не через один универсальный механизм, а через систему взаимосвязанных каналов. Они охватывают государственное управление, фискальную трансмиссию, адаптацию частного сектора, структуру конечного спроса и устойчивость ИКТ-сектора. Совместное дейс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твие этих каналов дополняет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кла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ческое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понимание устойчивости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то, что представ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лено в работах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ОЭСР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рассматривать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самостоятельный фактор повышения адаптивности национальных экономик. Эмпирическая проверка этой связи и сравнительный анализ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траекторий в условиях глобальных кризисов представлены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F853E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Выводы по первой главе. Первая глава дала несколько результатов которые определяют логику даль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нейшего анализа.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>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не просто технологический сдвиг: она меняет саму архитектуру экономической адаптации, влияя на то как государство функционирует в кризис, как бизнес перестраивается и как передаётся фискальная поддержка. Подходы ОЭСР, Всемирного банка, Европейской комиссии и исследователей экономической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устойчивости сходятся в одном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 не возникает в момент шока, она либо уже есть в экономике, либо её нет. Пять каналов, систематизированных в этой главе - непрерывность государственных функций, эффективность фискальной трансмиссии, ад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аптация частного сектора, 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диверсс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ификация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конечного спро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са и устойчивость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ИКТ-сектора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просто классификация. Каждый из них представляет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конкретный механизм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который уровень цифровой зрелости страны либо смягчает удар кризиса, либо нет. </w:t>
      </w:r>
      <w:r w:rsidR="00277A71" w:rsidRPr="00277A71">
        <w:rPr>
          <w:rFonts w:ascii="Times New Roman" w:hAnsi="Times New Roman" w:cs="Times New Roman"/>
          <w:sz w:val="28"/>
          <w:szCs w:val="28"/>
          <w:lang w:val="ru-RU"/>
        </w:rPr>
        <w:t>Какой из пяти канал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 xml:space="preserve">ов важнее 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остальных</w:t>
      </w:r>
      <w:r w:rsidR="00277A71" w:rsidRPr="00277A71">
        <w:rPr>
          <w:rFonts w:ascii="Times New Roman" w:hAnsi="Times New Roman" w:cs="Times New Roman"/>
          <w:sz w:val="28"/>
          <w:szCs w:val="28"/>
          <w:lang w:val="ru-RU"/>
        </w:rPr>
        <w:t xml:space="preserve"> или они все одинаково необходимы?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Именно поэтому следующий шаг - не дальнейшая теория, а сравнение реальных стран и эконометрика.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Переходим к делу.</w:t>
      </w:r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>
        <w:rPr>
          <w:rFonts w:ascii="Times New Roman" w:hAnsi="Times New Roman" w:cs="Times New Roman"/>
          <w:sz w:val="28"/>
          <w:szCs w:val="28"/>
        </w:rPr>
        <w:t>посчитать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ИКТ-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сектор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рос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три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раза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бы</w:t>
      </w:r>
      <w:r w:rsidR="00F853EF">
        <w:rPr>
          <w:rFonts w:ascii="Times New Roman" w:hAnsi="Times New Roman" w:cs="Times New Roman"/>
          <w:sz w:val="28"/>
          <w:szCs w:val="28"/>
        </w:rPr>
        <w:t>стрее</w:t>
      </w:r>
      <w:proofErr w:type="spellEnd"/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>
        <w:rPr>
          <w:rFonts w:ascii="Times New Roman" w:hAnsi="Times New Roman" w:cs="Times New Roman"/>
          <w:sz w:val="28"/>
          <w:szCs w:val="28"/>
        </w:rPr>
        <w:t>экономики</w:t>
      </w:r>
      <w:proofErr w:type="spellEnd"/>
      <w:r w:rsidR="00F853EF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="00F853EF">
        <w:rPr>
          <w:rFonts w:ascii="Times New Roman" w:hAnsi="Times New Roman" w:cs="Times New Roman"/>
          <w:sz w:val="28"/>
          <w:szCs w:val="28"/>
        </w:rPr>
        <w:t>лет</w:t>
      </w:r>
      <w:proofErr w:type="spellEnd"/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853EF">
        <w:rPr>
          <w:rFonts w:ascii="Times New Roman" w:hAnsi="Times New Roman" w:cs="Times New Roman"/>
          <w:sz w:val="28"/>
          <w:szCs w:val="28"/>
        </w:rPr>
        <w:t>подряд</w:t>
      </w:r>
      <w:proofErr w:type="spellEnd"/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это</w:t>
      </w:r>
      <w:proofErr w:type="spellEnd"/>
      <w:proofErr w:type="gram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не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тренд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структурный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сдвиг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Узбекистана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долей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ИКТ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всего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2,4%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означает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что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основной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рост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ещё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3EF" w:rsidRPr="00F853EF">
        <w:rPr>
          <w:rFonts w:ascii="Times New Roman" w:hAnsi="Times New Roman" w:cs="Times New Roman"/>
          <w:sz w:val="28"/>
          <w:szCs w:val="28"/>
        </w:rPr>
        <w:t>впереди</w:t>
      </w:r>
      <w:proofErr w:type="spellEnd"/>
      <w:r w:rsidR="00F853EF" w:rsidRPr="00F853EF">
        <w:rPr>
          <w:rFonts w:ascii="Times New Roman" w:hAnsi="Times New Roman" w:cs="Times New Roman"/>
          <w:sz w:val="28"/>
          <w:szCs w:val="28"/>
        </w:rPr>
        <w:t>.</w:t>
      </w:r>
    </w:p>
    <w:p w:rsidR="003E5E9F" w:rsidRPr="000E5726" w:rsidRDefault="003E5E9F" w:rsidP="003E5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6" w:name="_Toc231804948"/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</w:p>
    <w:p w:rsidR="00CA034D" w:rsidRDefault="00CA034D" w:rsidP="003E5E9F">
      <w:pPr>
        <w:pStyle w:val="1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</w:pPr>
    </w:p>
    <w:p w:rsidR="00C255BA" w:rsidRDefault="00C255BA" w:rsidP="00C255BA">
      <w:pPr>
        <w:rPr>
          <w:lang w:val="ru-RU"/>
        </w:rPr>
      </w:pPr>
    </w:p>
    <w:p w:rsidR="00C255BA" w:rsidRPr="00C255BA" w:rsidRDefault="00C255BA" w:rsidP="00C255BA">
      <w:pPr>
        <w:rPr>
          <w:lang w:val="ru-RU"/>
        </w:rPr>
      </w:pPr>
    </w:p>
    <w:p w:rsidR="00CA034D" w:rsidRDefault="00CA034D" w:rsidP="00CA034D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</w:pPr>
    </w:p>
    <w:p w:rsidR="00CA034D" w:rsidRPr="00CA034D" w:rsidRDefault="00CA034D" w:rsidP="00CA034D">
      <w:pPr>
        <w:rPr>
          <w:lang w:val="ru-RU"/>
        </w:rPr>
      </w:pPr>
    </w:p>
    <w:p w:rsidR="00C02A16" w:rsidRPr="00CA034D" w:rsidRDefault="00C02A16" w:rsidP="00CA034D">
      <w:pPr>
        <w:pStyle w:val="1"/>
        <w:ind w:firstLine="720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ГЛАВА II. МЕЖДУНАРОДНЫЙ ОПЫТ ЦИФРОВИЗАЦИИ ЭКОНОМИКИ И ЭКОНОМЕТРИЧЕСКИЙ АНАЛИЗ ЕЁ ВЛИЯНИЯ НА УСТОЙЧИВОСТЬ СТРАН К ГЛОБАЛЬНЫМ КРИЗИСАМ</w:t>
      </w:r>
      <w:bookmarkEnd w:id="6"/>
    </w:p>
    <w:p w:rsidR="00C02A16" w:rsidRPr="00CA034D" w:rsidRDefault="00C02A16" w:rsidP="00CA034D">
      <w:pPr>
        <w:pStyle w:val="2"/>
        <w:spacing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7" w:name="_Toc231804949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2.1. Сравнительный анализ моделей цифровой трансформации стран-лидеров (на примере Эстонии, Республики Корея, Сингапура и Польши)</w:t>
      </w:r>
      <w:bookmarkEnd w:id="7"/>
    </w:p>
    <w:p w:rsidR="003E5E9F" w:rsidRDefault="00C02A16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Теоретическая база, заложенная в первой главе, позволяет перейти к анализу международного опыта цифровой трансформации. В этом параграфе сравниваются четыре национальные модели с разными институциональными условиями и подходами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к цифровому развитию: Эстония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модель малого постсоветского государства, сделавшего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частью национально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го развития; Республика Корея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модель развитой экономики с государственно-направляемой циф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ровой модернизацией; Сингапур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модель города-государства с высоким уровнем цифрово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й конкурентоспособности; Польша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модель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 интегрированной в Европейский союз. Выбор этих стран обусловлен их высокими позициями в международных индексах цифровой зрелости, наличием стратегических программ цифровой трансформации и доступностью сопоставимых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коли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честве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показателей для дальнейшего анализа. Сравнительные позиции четырёх стран в ключевых международных индексах цифровой зрелости представлены в таблице 2.1.</w:t>
      </w: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Pr="003E5E9F" w:rsidRDefault="00CA034D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785" w:type="dxa"/>
        <w:tblInd w:w="-10" w:type="dxa"/>
        <w:tblLook w:val="04A0" w:firstRow="1" w:lastRow="0" w:firstColumn="1" w:lastColumn="0" w:noHBand="0" w:noVBand="1"/>
      </w:tblPr>
      <w:tblGrid>
        <w:gridCol w:w="1287"/>
        <w:gridCol w:w="2130"/>
        <w:gridCol w:w="1356"/>
        <w:gridCol w:w="1024"/>
        <w:gridCol w:w="1003"/>
        <w:gridCol w:w="1000"/>
        <w:gridCol w:w="1075"/>
        <w:gridCol w:w="910"/>
      </w:tblGrid>
      <w:tr w:rsidR="00EF5F83" w:rsidRPr="00C4631A" w:rsidTr="00EF5F83">
        <w:trPr>
          <w:trHeight w:val="840"/>
        </w:trPr>
        <w:tc>
          <w:tcPr>
            <w:tcW w:w="128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Страна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Модель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цифровизации</w:t>
            </w:r>
            <w:proofErr w:type="spellEnd"/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EGDI 2024</w:t>
            </w: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br/>
              <w:t>(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значение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Место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EGDI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NRI 2024</w:t>
            </w: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br/>
              <w:t>(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балл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Место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NRI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Место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IMD</w:t>
            </w: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br/>
              <w:t>WDCR 2024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1E2761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OECD DGI</w:t>
            </w:r>
          </w:p>
        </w:tc>
      </w:tr>
      <w:tr w:rsidR="00EF5F83" w:rsidRPr="00C4631A" w:rsidTr="00EF5F83">
        <w:trPr>
          <w:trHeight w:val="288"/>
        </w:trPr>
        <w:tc>
          <w:tcPr>
            <w:tcW w:w="128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85FA5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185FA5"/>
                <w:sz w:val="24"/>
                <w:szCs w:val="24"/>
              </w:rPr>
              <w:t>Эстония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Малое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цифровое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государство</w:t>
            </w:r>
            <w:proofErr w:type="spellEnd"/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0,9727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67,85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18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24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Топ-10</w:t>
            </w:r>
          </w:p>
        </w:tc>
      </w:tr>
      <w:tr w:rsidR="00EF5F83" w:rsidRPr="00C4631A" w:rsidTr="00EF5F83">
        <w:trPr>
          <w:trHeight w:val="288"/>
        </w:trPr>
        <w:tc>
          <w:tcPr>
            <w:tcW w:w="128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8102E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C8102E"/>
                <w:sz w:val="24"/>
                <w:szCs w:val="24"/>
              </w:rPr>
              <w:t>Респ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b/>
                <w:bCs/>
                <w:color w:val="C8102E"/>
                <w:sz w:val="24"/>
                <w:szCs w:val="24"/>
              </w:rPr>
              <w:t xml:space="preserve">. 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C8102E"/>
                <w:sz w:val="24"/>
                <w:szCs w:val="24"/>
              </w:rPr>
              <w:t>Корея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Developmental state (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крупная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0,9679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72,5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5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16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№ 1 </w:t>
            </w:r>
            <w:r w:rsidRPr="0048225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</w:rPr>
              <w:t>✓</w:t>
            </w:r>
          </w:p>
        </w:tc>
      </w:tr>
      <w:tr w:rsidR="00EF5F83" w:rsidRPr="00C4631A" w:rsidTr="00EF5F83">
        <w:trPr>
          <w:trHeight w:val="288"/>
        </w:trPr>
        <w:tc>
          <w:tcPr>
            <w:tcW w:w="128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EF3340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EF3340"/>
                <w:sz w:val="24"/>
                <w:szCs w:val="24"/>
              </w:rPr>
              <w:t>Сингапур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Глобальный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эталон</w:t>
            </w:r>
            <w:proofErr w:type="spellEnd"/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0,9691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79,4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2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№ 1 </w:t>
            </w:r>
            <w:r w:rsidRPr="0048225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Топ-5</w:t>
            </w:r>
          </w:p>
        </w:tc>
      </w:tr>
      <w:tr w:rsidR="00EF5F83" w:rsidRPr="00C4631A" w:rsidTr="00EF5F83">
        <w:trPr>
          <w:trHeight w:val="300"/>
        </w:trPr>
        <w:tc>
          <w:tcPr>
            <w:tcW w:w="128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3B6D11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b/>
                <w:bCs/>
                <w:color w:val="3B6D11"/>
                <w:sz w:val="24"/>
                <w:szCs w:val="24"/>
              </w:rPr>
              <w:t>Польша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Догоняющая</w:t>
            </w:r>
            <w:proofErr w:type="spellEnd"/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(CEE)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0,8677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30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59,4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32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№ 41–43</w:t>
            </w:r>
          </w:p>
        </w:tc>
        <w:tc>
          <w:tcPr>
            <w:tcW w:w="9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5F5F5"/>
            <w:vAlign w:val="center"/>
            <w:hideMark/>
          </w:tcPr>
          <w:p w:rsidR="00EF5F83" w:rsidRPr="0048225B" w:rsidRDefault="00EF5F83" w:rsidP="00EF5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8225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</w:tbl>
    <w:p w:rsidR="00EF5F83" w:rsidRPr="003E5E9F" w:rsidRDefault="00C02A16" w:rsidP="003E5E9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Таблица 2.1. Позиции четырёх стран в международных индексах цифровой зрелости (2024)</w:t>
      </w:r>
    </w:p>
    <w:p w:rsidR="00C02A16" w:rsidRPr="003E5E9F" w:rsidRDefault="00C02A16" w:rsidP="003E5E9F">
      <w:pPr>
        <w:spacing w:after="0" w:line="360" w:lineRule="auto"/>
        <w:ind w:left="142" w:firstLine="426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Источники: UN DESA (EGDI 2024);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Portulans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Insti</w:t>
      </w:r>
      <w:r w:rsidR="004B1E76" w:rsidRPr="003E5E9F">
        <w:rPr>
          <w:rFonts w:ascii="Times New Roman" w:hAnsi="Times New Roman" w:cs="Times New Roman"/>
          <w:i/>
          <w:sz w:val="24"/>
          <w:szCs w:val="24"/>
          <w:lang w:val="ru-RU"/>
        </w:rPr>
        <w:t>tute</w:t>
      </w:r>
      <w:proofErr w:type="spellEnd"/>
      <w:r w:rsidR="004B1E76"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(NRI 2024); IMD WDCR 2024.</w:t>
      </w:r>
    </w:p>
    <w:p w:rsidR="00EF5F83" w:rsidRPr="00EF5F83" w:rsidRDefault="00EF5F83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Данные таблицы 2.1 показывают: все четыре страны занимают заметные позиции в международных рейтингах цифровой зрелости, но достигают этих результатов разными путями. Эстония опирается на модель компактного цифрового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государства, Республика Корея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 государственно-направляемую ц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ифровую модернизацию, </w:t>
      </w:r>
      <w:proofErr w:type="gramStart"/>
      <w:r w:rsidR="004B3C97">
        <w:rPr>
          <w:rFonts w:ascii="Times New Roman" w:hAnsi="Times New Roman" w:cs="Times New Roman"/>
          <w:sz w:val="28"/>
          <w:szCs w:val="28"/>
          <w:lang w:val="ru-RU"/>
        </w:rPr>
        <w:t>Сингапур 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высокий уровень институциональной координации и цифровой ко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нкурентоспособности, а Польша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на постепенную догоняющую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рамках европейской интеграции.</w:t>
      </w:r>
    </w:p>
    <w:p w:rsidR="00C02A16" w:rsidRPr="000E5726" w:rsidRDefault="004B3C97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Эстония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модель «</w:t>
      </w:r>
      <w:r>
        <w:rPr>
          <w:rFonts w:ascii="Times New Roman" w:hAnsi="Times New Roman" w:cs="Times New Roman"/>
          <w:sz w:val="28"/>
          <w:szCs w:val="28"/>
          <w:lang w:val="ru-RU"/>
        </w:rPr>
        <w:t>цифрового государства» малой пост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советской экономики. Цифровая трансформация Эстонии началась с программы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Tiger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Leap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Tiigrihüpe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), запущенной в 1996 году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направленной на компьютеризаций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школ, подключение их к интернету</w:t>
      </w:r>
      <w:r>
        <w:rPr>
          <w:rFonts w:ascii="Times New Roman" w:hAnsi="Times New Roman" w:cs="Times New Roman"/>
          <w:sz w:val="28"/>
          <w:szCs w:val="28"/>
          <w:lang w:val="ru-RU"/>
        </w:rPr>
        <w:t>, подготовку учителей и создания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учебн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ого контента на эстонском языке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2000 году все школы Эстонии были оснащены компьютерами, а к 2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001 году подключены к интернету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Благода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ря этому страна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сформировала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нюю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базу цифровой грамотности и подготовила общество к дальнейшему развитию электронного государства.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Следующим ключевым шагом стало создание технологической основы эстонского цифрового государства. Центральное место за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няла платформа X-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 xml:space="preserve"> (X-</w:t>
      </w:r>
      <w:proofErr w:type="spellStart"/>
      <w:r w:rsidR="004B3C97">
        <w:rPr>
          <w:rFonts w:ascii="Times New Roman" w:hAnsi="Times New Roman" w:cs="Times New Roman"/>
          <w:sz w:val="28"/>
          <w:szCs w:val="28"/>
          <w:lang w:val="ru-RU"/>
        </w:rPr>
        <w:t>tee</w:t>
      </w:r>
      <w:proofErr w:type="spellEnd"/>
      <w:r w:rsidR="004B3C97">
        <w:rPr>
          <w:rFonts w:ascii="Times New Roman" w:hAnsi="Times New Roman" w:cs="Times New Roman"/>
          <w:sz w:val="28"/>
          <w:szCs w:val="28"/>
          <w:lang w:val="ru-RU"/>
        </w:rPr>
        <w:t>)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распределённая система обмена данными между государственными и частными информационными системами. Проект развернули в 2001 году на принципе децентрализации: данные хранятся в исходных реестрах и передаются по запросу через защищённые каналы с использованием цифрово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й подписи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настоящему времени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более 450 организаций, включая свыше 150 учреждений государственного сектора, обеспечивает работу около 1300 информационных систем и обрабатывает при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мерно 2,2 млрд транзакций в год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2,2 </w:t>
      </w:r>
      <w:proofErr w:type="gramStart"/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миллиарда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proofErr w:type="gramEnd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страны с 1,3 миллиона людей. Это примерно 1700 транзакций на человека в год. Цифра говорит сама за </w:t>
      </w:r>
      <w:proofErr w:type="spellStart"/>
      <w:proofErr w:type="gramStart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себя.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>Цифры</w:t>
      </w:r>
      <w:proofErr w:type="spellEnd"/>
      <w:proofErr w:type="gramEnd"/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впечатляют.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B3C97">
        <w:rPr>
          <w:rFonts w:ascii="Times New Roman" w:hAnsi="Times New Roman" w:cs="Times New Roman"/>
          <w:sz w:val="28"/>
          <w:szCs w:val="28"/>
          <w:lang w:val="ru-RU"/>
        </w:rPr>
        <w:t>Открытие исходного кода централь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 компонентов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 лицензией MIT усилило между</w:t>
      </w:r>
      <w:r w:rsidR="003B484D">
        <w:rPr>
          <w:rFonts w:ascii="Times New Roman" w:hAnsi="Times New Roman" w:cs="Times New Roman"/>
          <w:sz w:val="28"/>
          <w:szCs w:val="28"/>
          <w:lang w:val="ru-RU"/>
        </w:rPr>
        <w:t xml:space="preserve">народное значение этой </w:t>
      </w:r>
      <w:proofErr w:type="gramStart"/>
      <w:r w:rsidR="003B484D">
        <w:rPr>
          <w:rFonts w:ascii="Times New Roman" w:hAnsi="Times New Roman" w:cs="Times New Roman"/>
          <w:sz w:val="28"/>
          <w:szCs w:val="28"/>
          <w:lang w:val="ru-RU"/>
        </w:rPr>
        <w:t>модели ,например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в 2018 году были соединены системы обмена данными Эстонии и Финляндии.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Продолжением этой модели стала прогр</w:t>
      </w:r>
      <w:r w:rsidR="00BA6504">
        <w:rPr>
          <w:rFonts w:ascii="Times New Roman" w:hAnsi="Times New Roman" w:cs="Times New Roman"/>
          <w:sz w:val="28"/>
          <w:szCs w:val="28"/>
          <w:lang w:val="ru-RU"/>
        </w:rPr>
        <w:t xml:space="preserve">амма электронного </w:t>
      </w:r>
      <w:proofErr w:type="spellStart"/>
      <w:r w:rsidR="00BA6504">
        <w:rPr>
          <w:rFonts w:ascii="Times New Roman" w:hAnsi="Times New Roman" w:cs="Times New Roman"/>
          <w:sz w:val="28"/>
          <w:szCs w:val="28"/>
          <w:lang w:val="ru-RU"/>
        </w:rPr>
        <w:t>резидентства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она позволила Эстонии использовать цифровую инфраструктуру не только внутри страны, но и за её пределами. Программа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Residency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запущенная в конце 2014 года, по состоянию на 2025 год охватывает более 128 тыс. человек из 185 стран; ими основано свыше 36 тыс. эстонских компаний, а совокупный прямой экономический эффект дл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я бюджета составил 342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2024 году e-резиденты создали 4818 новых компаний, а налоговые поступления от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рограммы достигли 66,8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В Индексе развития электронных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правительства ООН EGDI 2024 года Эстония заняла 2-е место в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ире со значением индекса 0,9727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итоге эстонская модель держится на четырёх опорах: циф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ровая грамотность,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межведомстве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цифровая идентификация и продвижение государственных решений на 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международном уровне.</w:t>
      </w:r>
    </w:p>
    <w:p w:rsidR="00C02A16" w:rsidRPr="000E5726" w:rsidRDefault="004007C3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Республика Корея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модель государственно-направляемой цифровой модернизации. Цифровая трансформация Республики Корея отличается сильной ролью государства, долгосрочным планированием и активным использованием фискальных стимулов для ускорения технологического развития. Одним из ключевых программных документов стал Корейский новый курс (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), объявленный 14 июля 2020 года. Общий объём инвестиций программы на 2020-2025 годы составил 160 трлн вон, или около 133 млрд долларов США, из которых 114,1 трлн вон финансировалось центральным правительством, что соо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тветствовало 5,9% ВВП 2020 года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была направлена на создание 1,9 млн рабочих мест и включала три блока: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Green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укрепление системы социаль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ной защиты.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Центральным цифровым блоком стал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На его реализацию было выделено 58,2 трлн вон, из которых 44,8 трлн финансиро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вались из государственной казны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основе п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рограммы лежала концепция </w:t>
      </w:r>
      <w:proofErr w:type="gramStart"/>
      <w:r w:rsidR="004007C3">
        <w:rPr>
          <w:rFonts w:ascii="Times New Roman" w:hAnsi="Times New Roman" w:cs="Times New Roman"/>
          <w:sz w:val="28"/>
          <w:szCs w:val="28"/>
          <w:lang w:val="ru-RU"/>
        </w:rPr>
        <w:t>DNA  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proofErr w:type="gram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AI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которая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связывала развитие данных, сетевой инфраструктуры и искусственного интеллекта с модернизацией ключевых секторов экономики. 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практическом плане программа включала создание отраслевых платформ больших данных, внедрение 5G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блокчейн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государственные услуги, оснащение 18 больниц технологиями 5G и интернета вещей, разработку программного обеспечения для диагностики 12 заболеваний, а также подключение более 310 000 классов к высокоскор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остному беспроводному интернету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июле 2021 года был объявлен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2.0 - общий бюджет программы расш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ирили примерно до 220 трлн вон.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 данным Министерства науки и ИКТ Кореи, совокупный бюджет на развитие ведущих цифровых технологий в первый год реализации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10,1 трлн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вон, или 8,7 млрд долларов США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программы также отразилась на международных позициях страны: в рейтинге цифровой конкурентоспособности IMD Республика Корея поднялась с 10-го места в 2019 году на 8-е в 2020 году, а в индексе готовности правительств к использованию искусствен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ного интеллекта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Oxford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Insights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26-го на 7-е место. Ещё в декабре 2019 года Корея приняла Национальную стратегию в области искусственного интеллекта, предусматривающую цель войти в тройку наиболее конкурентоспособных цифровых экономик мира к 2030 году и инвестиции в размере 1 трлн вон на развитие ИИ-п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олупроводников в течение 10 лет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EGDI 2024 Республика Корея занимает 4-е место со значением индекса 0,9679, а в OECD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23 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1-е место среди стран ОЭСР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B484D">
        <w:rPr>
          <w:rFonts w:ascii="Times New Roman" w:hAnsi="Times New Roman" w:cs="Times New Roman"/>
          <w:sz w:val="28"/>
          <w:szCs w:val="28"/>
          <w:lang w:val="ru-RU"/>
        </w:rPr>
        <w:t xml:space="preserve"> В принципе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корейская модель отличается крупным масштабом государственных инвестиций и тесной связью цифровой трансформа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ции с антикризисной политикой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 запущен именно как ответ на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последствия пандемии COVID-19.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Сингапур: модель города-государства как глобального эталона цифровой конкурентоспособности. Инициатива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была объявлена в 2014 году и стала основой сингапурской стратегии цифровой трансформации, ориентир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ованной на внедрение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информацио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-коммуникационных технологий, цифровых платформ, сетей и больших данных в государ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ственное управление и экономику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8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реализации этой политики были созданы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специализированные институты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Group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которые объединили стратегическое планирование и техническую реализацию цифровых сервисов. В 2023 году координация цифровой повестки была передана Министерству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цифрового развития и информаций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показывает дальнейшее институциональное укрепление цифровой трансформации в стране.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Практические результаты сингапурской модели проявляются в устойчивом росте цифровой экономики и широком распространении цифровых сервисов. Её вклад в ВВП Сингапура увеличился с 13,3% в 2017 году до 17,7% в 2023 году при среднегодовом темпе роста 11,2%, что почти вдвое превышало темп роста 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экономики в целом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9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Около 99% домохозяйств подключены к интернету, а 99% государственных услуг доступны в цифровом формате. Ключевыми эл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ементами цифровой инфраструктур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являются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единая система цифровой идентификации, платёжная 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PayNow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Virtual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Singapore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трёхмерный цифровой двойник городской среды, используемый для моделировани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я сценариев городского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0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 COVID-19 Сингапур оперативно развернул систему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er</w:t>
      </w:r>
      <w:proofErr w:type="spellEnd"/>
      <w:r w:rsidR="00990EE6">
        <w:rPr>
          <w:rFonts w:ascii="Times New Roman" w:hAnsi="Times New Roman" w:cs="Times New Roman"/>
          <w:sz w:val="28"/>
          <w:szCs w:val="28"/>
          <w:lang w:val="ru-RU"/>
        </w:rPr>
        <w:t xml:space="preserve"> для отслеживания контактов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показало способность цифровой инфраструктуры быстро адаптироваться к кризисным условиям.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Следующим этапом стала обновлённая стратегия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2.0. В октябре 2024 года премьер-министр Лоуренс Вонг представил концепцию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2.0, одним из ключевых элементов которой стало выделение 120 млн сингапурских долларов на программу AI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for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Science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развития междисциплинарных исследований в области искусственного интеллекта.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Новая стратегия переносит акцент с создания базовой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инфраструктуры на практиче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ское использование технологий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прежде всего генератив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ного искусственного интеллекта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дальнейшего развития экономики и общества. В IMD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World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Competitiveness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Ranking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Сингапур занимает 1-е место в мире, 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2024 2-е место, а в EGDI 2024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3-е ме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сто со значением индекса 0,9691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2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Отличитель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ная черта сингапурской модели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сочетание стратегического государственного планирования, активного участия частного сектора и системной интеграции цифровых решений в городскую среду.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4007C3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Польша 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догоняющей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экономики. Цифровая трансформация Польши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развивалась иначе чем 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Эстонии, Кореи или Сингапура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не как единая централизованная стратегия, а как постепенный процесс сближения с цифровыми стандартами Европейского союза. Важную роль здесь сыграли финансовые инструменты ЕС, развитие внутреннего ИКТ-сектора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модернизация государственных цифровых сервисов. Первым крупным программным документом стала программа «Цифровая Польша» на период 2014-2020 годов с бюджетом около 2,17 млрд евро, направленная на развитие широкополосной инфраструктуры и ци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фровых государственных сервисов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Её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продолжением стала программа FERC на период 2021-2027 годов, реализуемая под координацией Министерства цифровых дел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Це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нтра проектов «Цифровая Польша»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Заметным результатом этой политики стало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цифровых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государствен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сервисов. Одним из ключевых элементов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польской цифровой трансформаций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стало мобильное приложение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запущенное в 2017 году. В 2020 году в приложение интегрировали электронные рецепты и мобильные водительские удостоверения. 14 июля 2023 года вступил в силу закон, уравнявший юридическую силу цифрового удостоверения личности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mDowód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приложении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el</w:t>
      </w:r>
      <w:proofErr w:type="spellEnd"/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2.0 с пластиковым документом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2025 году число пользователей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превысило 10 млн человек, то есть около трети населения страны; цифровое водительское удостоверение используют 5,5 млн граждан, цифровое свидетельство о регис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трации транспортного средства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5,7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млн, а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ччерез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доступна более 40 государственных услуг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6"/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Параллельно Польша развивает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il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платформу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ePUAP</w:t>
      </w:r>
      <w:proofErr w:type="spellEnd"/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 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ни обеспечивают доступ к государственным порталам, электронное подписание документов и вз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аимодействие с органами власти.</w:t>
      </w:r>
    </w:p>
    <w:p w:rsidR="00C02A16" w:rsidRPr="000E5726" w:rsidRDefault="00737AF8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37AF8">
        <w:rPr>
          <w:rFonts w:ascii="Times New Roman" w:hAnsi="Times New Roman" w:cs="Times New Roman"/>
          <w:sz w:val="28"/>
          <w:szCs w:val="28"/>
          <w:lang w:val="ru-RU"/>
        </w:rPr>
        <w:t>При этом польская модель показывает разрыв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развитием государственных цифровых сервисов и уро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>внем цифровой зрелости население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бизнеса. По данным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Decade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Report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Европейской комиссии за 2024 год,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базовыми цифровыми навыками </w:t>
      </w:r>
      <w:proofErr w:type="spellStart"/>
      <w:r w:rsidR="004007C3">
        <w:rPr>
          <w:rFonts w:ascii="Times New Roman" w:hAnsi="Times New Roman" w:cs="Times New Roman"/>
          <w:sz w:val="28"/>
          <w:szCs w:val="28"/>
          <w:lang w:val="ru-RU"/>
        </w:rPr>
        <w:t>обло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дают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44% населения Польши при среднем показателе по ЕС 56%; искусственный интеллект полностью внедрили 3,7% компаний при среднем уровне ЕС 8%, а аналитику данных используют 19,3%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компа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ний при среднем уровне ЕС 33,2%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ИКТ-сектор страны растёт достаточно быстро. Согласно OECD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Outlook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среднегодовой темп роста ИКТ-сектора Польши за пер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иод 2013-2023 годов превысил 8%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Польша представляет собой модель «конвергенции с ограничениями»: цифровое государство и ИКТ-сектор развиваются, но проблемы цифровых навыков и внедрения технологий в частном секторе пока остаются. Именно поэтому польский опыт особенно интересен для </w:t>
      </w:r>
      <w:r w:rsidR="004007C3">
        <w:rPr>
          <w:rFonts w:ascii="Times New Roman" w:hAnsi="Times New Roman" w:cs="Times New Roman"/>
          <w:sz w:val="28"/>
          <w:szCs w:val="28"/>
          <w:lang w:val="ru-RU"/>
        </w:rPr>
        <w:t xml:space="preserve">стран с переходной экономикой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включая Узбекистан.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 четырёх моделей. Сравнение выбранных стран показывает, что во всех четырёх случаях цифровая трансформация опирается на институциональный центр координации: RIA в Эстонии, MSIT в Республике Корея,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/MDDI в Сингапуре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Ministerstwo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Cyfryzacji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 Общей чертой является и использование цифровой идентификации как основы электронных государственных сервисов: e-ID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Mobile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-ID в Эстонии, национального цифрового идентификатора в Корее,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Сингапуре,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Различия между моделями связаны прежде всего с масштабом инвестиций, институциональной средой и балансом между ролью государства и частного сектора. Корейская модель выделяется самым крупным объёмом государственных вложений: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общее финансирование составило 160 трлн вон на 2020-2025 годы, что соответствовало 5,9% ВВП 2020 года. Эстонская модель, напротив,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цифровая идентификация могут стать основой цифрового государства даже при сравнительно ограниченных ресурсах. Сингапурская модель отличается высокой степенью интеграции цифровых решений в городскую среду и значительным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вкладом цифровой экономики в ВВП: в 2023 го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ду этот показатель достиг 17,7%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9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Польская модель отражает особенности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развитые государственные сервисы сочетаются здесь с более низкой цифровой зрелостью населения и частного сектора.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>Эстония потратила на цифровую трансформацию десяти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 xml:space="preserve">летия последовательной работы 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>и получила -3% в 2020 против -6,1% по ЕС. Грубо говоря, каждый евро вложенный в X-</w:t>
      </w:r>
      <w:proofErr w:type="spellStart"/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в 2001 году окупился в 2020-м.</w:t>
      </w:r>
    </w:p>
    <w:p w:rsidR="004B1E76" w:rsidRPr="00CA034D" w:rsidRDefault="00C02A16" w:rsidP="00CA03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Четыре страны представляют разные модели ц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ифровой трансформации: </w:t>
      </w:r>
      <w:proofErr w:type="gramStart"/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Эстония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интероперабельное</w:t>
      </w:r>
      <w:proofErr w:type="spellEnd"/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цифровое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государство, Республика Корея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государственно-направляемую цифровую 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 xml:space="preserve">модернизацию, Сингапур </w:t>
      </w:r>
      <w:proofErr w:type="spellStart"/>
      <w:r w:rsidR="004F305F">
        <w:rPr>
          <w:rFonts w:ascii="Times New Roman" w:hAnsi="Times New Roman" w:cs="Times New Roman"/>
          <w:sz w:val="28"/>
          <w:szCs w:val="28"/>
          <w:lang w:val="ru-RU"/>
        </w:rPr>
        <w:t>высоко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нтегрированную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цифровую экономик</w:t>
      </w:r>
      <w:r w:rsidR="004F305F">
        <w:rPr>
          <w:rFonts w:ascii="Times New Roman" w:hAnsi="Times New Roman" w:cs="Times New Roman"/>
          <w:sz w:val="28"/>
          <w:szCs w:val="28"/>
          <w:lang w:val="ru-RU"/>
        </w:rPr>
        <w:t>у города-государства, а Польша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конвергенцию с определёнными ограничениями.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развивается не по ед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 xml:space="preserve">иной схеме, а через разные </w:t>
      </w:r>
      <w:proofErr w:type="spellStart"/>
      <w:r w:rsidR="00915457">
        <w:rPr>
          <w:rFonts w:ascii="Times New Roman" w:hAnsi="Times New Roman" w:cs="Times New Roman"/>
          <w:sz w:val="28"/>
          <w:szCs w:val="28"/>
          <w:lang w:val="ru-RU"/>
        </w:rPr>
        <w:t>инсте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туциональные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траектории. В следующем параграфе рассматривается как эти экономики реагировали на глобальные кризисы 2020-2022 годов с учётом уровня цифровой зрелости.</w:t>
      </w:r>
    </w:p>
    <w:p w:rsidR="00C02A16" w:rsidRPr="00CA034D" w:rsidRDefault="00C02A16" w:rsidP="00CA034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8" w:name="_Toc231804950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2.2. Реакция национальных экономик на глобальные кризисы 2020-2022 годов в контексте уровня цифровой зрелости</w:t>
      </w:r>
      <w:bookmarkEnd w:id="8"/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согласования сравнительного анализа с эконометрической моделью параграфа 2.3 в работе выделяются два кризисных года. 2020-й рассматривается как период острой фазы пандемии COVID-19 и максимального падения ВВП, а 2022-й - как период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энергетического и инфляционного шока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связанного с геополитической эскалацией. При этом 2021 год трактуется как этап восстановления, а не как самостоятельный кризисный эпизод. В эконометрической модели эти кризисные годы отражены через бинарные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что позволяет отдельно оценить их влияние на зависимую переменную при контроле уровня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Такое разделение важно потому что пандемия COVID-19 выступила шоком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неэкономического происхождения и ограничила физическую мобильность, тогда как кризис 2022 года проявился преимущественно через энергетический, ценовой и инфляционный каналы. Это позволяет оценить не только способность цифровой инфраструктуры смягчать последствия кризисов, но и её пределы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там где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находится вне прямого воздействия цифровых технологий.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Реакция Эстонии. В 2020 году экономика Эстонии показала сравнительно мягкое падение: снижение ВВП составило 3,0% против среднего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оказати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ля</w:t>
      </w:r>
      <w:proofErr w:type="spellEnd"/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по ЕС на уровне -6,1%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в 2021 году экономика восс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тановилась с темпом роста 8,6%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один из на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иболее высоких показателей в ЕС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 xml:space="preserve">И тут появляется </w:t>
      </w:r>
      <w:proofErr w:type="gramStart"/>
      <w:r w:rsidR="00277A71">
        <w:rPr>
          <w:rFonts w:ascii="Times New Roman" w:hAnsi="Times New Roman" w:cs="Times New Roman"/>
          <w:sz w:val="28"/>
          <w:szCs w:val="28"/>
          <w:lang w:val="ru-RU"/>
        </w:rPr>
        <w:t>вопрос</w:t>
      </w:r>
      <w:r w:rsidR="00277A71" w:rsidRPr="00277A71">
        <w:t xml:space="preserve"> </w:t>
      </w:r>
      <w:r w:rsidR="00277A71">
        <w:rPr>
          <w:lang w:val="ru-RU"/>
        </w:rPr>
        <w:t>,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277A71" w:rsidRPr="00277A71">
        <w:rPr>
          <w:rFonts w:ascii="Times New Roman" w:hAnsi="Times New Roman" w:cs="Times New Roman"/>
          <w:sz w:val="28"/>
          <w:szCs w:val="28"/>
          <w:lang w:val="ru-RU"/>
        </w:rPr>
        <w:t>ак</w:t>
      </w:r>
      <w:proofErr w:type="gramEnd"/>
      <w:r w:rsidR="00277A71" w:rsidRPr="00277A71">
        <w:rPr>
          <w:rFonts w:ascii="Times New Roman" w:hAnsi="Times New Roman" w:cs="Times New Roman"/>
          <w:sz w:val="28"/>
          <w:szCs w:val="28"/>
          <w:lang w:val="ru-RU"/>
        </w:rPr>
        <w:t xml:space="preserve"> стране с населением меньше чем в Ташкенте удалось обогнать по устойчивости Францию и Германию?</w:t>
      </w:r>
      <w:r w:rsidR="00277A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Это объясняется прежде всего высокой цифровой зрелостью страны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 возможностями инфраструктуры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которая помогла сохранить непрерывность государственных функций при ограничении физического взаимодействия. В период пандемии 99% государственных услуг оставались доступны онлайн, а 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правительство просто запустило новые сервисы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упрощённые процедуры регистрации браков, рождений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обращений за пособиями через e-ID 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853EF" w:rsidRPr="00F853EF">
        <w:t xml:space="preserve">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Когда я смотрел на эти цифры, первая мысль была простая: страна с населением 1,3 млн человек обогнала по устойчивости Францию и Италию. Это заставляет задуматься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Кризис 2022 года обнажил пределы эстонской модели. Отказ от российских энергоносителей и высокая чувствительность к региональным энергетическим рынкам обернулись падением ВВП на 1,3% и инф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ляцией, превысившей 19% по HICP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2"/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Цена высокая.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подтверждает вывод первой главы: цифровая зрелость смягчает шоки мобильности и информационной асимметрии, но не закрывает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структурную уязвимость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 энергетическим и ценовым потрясениям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gramStart"/>
      <w:r w:rsidR="00592F74" w:rsidRPr="00592F74">
        <w:rPr>
          <w:rFonts w:ascii="Times New Roman" w:hAnsi="Times New Roman" w:cs="Times New Roman"/>
          <w:sz w:val="28"/>
          <w:szCs w:val="28"/>
          <w:lang w:val="ru-RU"/>
        </w:rPr>
        <w:t>Получается</w:t>
      </w:r>
      <w:proofErr w:type="gramEnd"/>
      <w:r w:rsidR="00592F74" w:rsidRPr="00592F74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="00592F74" w:rsidRPr="00592F74">
        <w:rPr>
          <w:rFonts w:ascii="Times New Roman" w:hAnsi="Times New Roman" w:cs="Times New Roman"/>
          <w:sz w:val="28"/>
          <w:szCs w:val="28"/>
          <w:lang w:val="ru-RU"/>
        </w:rPr>
        <w:t>цифровизац</w:t>
      </w:r>
      <w:r w:rsidR="00592F74">
        <w:rPr>
          <w:rFonts w:ascii="Times New Roman" w:hAnsi="Times New Roman" w:cs="Times New Roman"/>
          <w:sz w:val="28"/>
          <w:szCs w:val="28"/>
          <w:lang w:val="ru-RU"/>
        </w:rPr>
        <w:t>ия</w:t>
      </w:r>
      <w:proofErr w:type="spellEnd"/>
      <w:r w:rsidR="00592F74">
        <w:rPr>
          <w:rFonts w:ascii="Times New Roman" w:hAnsi="Times New Roman" w:cs="Times New Roman"/>
          <w:sz w:val="28"/>
          <w:szCs w:val="28"/>
          <w:lang w:val="ru-RU"/>
        </w:rPr>
        <w:t xml:space="preserve"> защищает от одних кризисов </w:t>
      </w:r>
      <w:r w:rsidR="00592F74" w:rsidRPr="00592F74">
        <w:rPr>
          <w:rFonts w:ascii="Times New Roman" w:hAnsi="Times New Roman" w:cs="Times New Roman"/>
          <w:sz w:val="28"/>
          <w:szCs w:val="28"/>
          <w:lang w:val="ru-RU"/>
        </w:rPr>
        <w:t>но не от других?</w:t>
      </w:r>
      <w:r w:rsidR="00592F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224E">
        <w:rPr>
          <w:rFonts w:ascii="Times New Roman" w:hAnsi="Times New Roman" w:cs="Times New Roman"/>
          <w:sz w:val="28"/>
          <w:szCs w:val="28"/>
          <w:lang w:val="ru-RU"/>
        </w:rPr>
        <w:t xml:space="preserve">Энергетика не цифра.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План восстановления и устойчивости Эстонии, утверждённый в 2021 году, предусматривал 953,3 млн евр</w:t>
      </w:r>
      <w:r w:rsidR="00592F74">
        <w:rPr>
          <w:rFonts w:ascii="Times New Roman" w:hAnsi="Times New Roman" w:cs="Times New Roman"/>
          <w:sz w:val="28"/>
          <w:szCs w:val="28"/>
          <w:lang w:val="ru-RU"/>
        </w:rPr>
        <w:t>о, или около 3,4% ВВП 2019 года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21,5% ресурсов направлено на цифровую трансформацию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, 41,5% на климатические цели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3"/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Адаптация Эстонии была направ</w:t>
      </w:r>
      <w:r w:rsidR="00592F74">
        <w:rPr>
          <w:rFonts w:ascii="Times New Roman" w:hAnsi="Times New Roman" w:cs="Times New Roman"/>
          <w:sz w:val="28"/>
          <w:szCs w:val="28"/>
          <w:lang w:val="ru-RU"/>
        </w:rPr>
        <w:t>лена сразу на два блока рисков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и энергетико-климатический.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Республики Корея. Среди рассматриваемых стран К</w:t>
      </w:r>
      <w:r w:rsidR="00D33B33">
        <w:rPr>
          <w:rFonts w:ascii="Times New Roman" w:hAnsi="Times New Roman" w:cs="Times New Roman"/>
          <w:sz w:val="28"/>
          <w:szCs w:val="28"/>
          <w:lang w:val="ru-RU"/>
        </w:rPr>
        <w:t>орея прошла 2020 год мягче всех,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ВВП снизился лишь на 0,7%, а докризисный уровень активности восстановился уже к маю 2021 года. </w:t>
      </w:r>
      <w:r w:rsidR="00D33B33">
        <w:rPr>
          <w:rFonts w:ascii="Times New Roman" w:hAnsi="Times New Roman" w:cs="Times New Roman"/>
          <w:sz w:val="28"/>
          <w:szCs w:val="28"/>
          <w:lang w:val="ru-RU"/>
        </w:rPr>
        <w:t>Вот тут остается открытый вопрос,</w:t>
      </w:r>
      <w:r w:rsidR="00D33B33" w:rsidRPr="00D33B33">
        <w:t xml:space="preserve"> </w:t>
      </w:r>
      <w:r w:rsidR="00D33B33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D33B33" w:rsidRPr="00D33B33">
        <w:rPr>
          <w:rFonts w:ascii="Times New Roman" w:hAnsi="Times New Roman" w:cs="Times New Roman"/>
          <w:sz w:val="28"/>
          <w:szCs w:val="28"/>
          <w:lang w:val="ru-RU"/>
        </w:rPr>
        <w:t>ак стране с одним и тем же внешним шоком удалось упасть в девять раз меньше чем в среднем по ЕС?</w:t>
      </w:r>
      <w:r w:rsidR="00D33B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202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1 году рост ВВП составил 4,6%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наибо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высокий показатель за одиннадцать лет, обусловленный устойчивым внешним спросом на полупроводник</w:t>
      </w:r>
      <w:r w:rsidR="00915457">
        <w:rPr>
          <w:rFonts w:ascii="Times New Roman" w:hAnsi="Times New Roman" w:cs="Times New Roman"/>
          <w:sz w:val="28"/>
          <w:szCs w:val="28"/>
          <w:lang w:val="ru-RU"/>
        </w:rPr>
        <w:t>и и потребительскую электронику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4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Мягкость спада объясняется тремя факторами: эффективной системой цифрового отслеживания контактов, масштабным фискальным стимулированием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экспортных ИКТ-секторов на фоне роста глобальног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о спроса на цифровые технологии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2022 году Республика Корея сохранила положительный рост ВВП на уровне 2,7%, тогда как ряд европейских экономик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силь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нр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ощутил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последствия энергетического кризиса. Инфляция достигла пика в 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июле 2022 года на уровне 6,3%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максимум с ноября 1998 года, однако этот показатель оставался ниже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уровне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й большинства европейских стран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2023 году прогноз роста был снижен до 1,4%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замедление экспортного цикла полупроводников дал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>о о себе знать. Здесь,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выступил не только инструментом краткосрочной стабилизации в период пандемии, но и механизмом укрепления долгосрочной конкурентоспособности экономики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Корея сделала ставку и выиграла.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подтверждается подъёмом Кореи в рейтинге цифр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овой </w:t>
      </w:r>
      <w:proofErr w:type="spellStart"/>
      <w:r w:rsidR="007200F4">
        <w:rPr>
          <w:rFonts w:ascii="Times New Roman" w:hAnsi="Times New Roman" w:cs="Times New Roman"/>
          <w:sz w:val="28"/>
          <w:szCs w:val="28"/>
          <w:lang w:val="ru-RU"/>
        </w:rPr>
        <w:t>конкурентоспасобности</w:t>
      </w:r>
      <w:proofErr w:type="spellEnd"/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7200F4">
        <w:rPr>
          <w:rFonts w:ascii="Times New Roman" w:hAnsi="Times New Roman" w:cs="Times New Roman"/>
          <w:sz w:val="28"/>
          <w:szCs w:val="28"/>
          <w:lang w:val="ru-RU"/>
        </w:rPr>
        <w:t>IMD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10-го места в 2019 году на 8-е в 2020-м.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Сингапура. В 2020 году экономика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 Сингапура сократилась на 3,9%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высокая зависимость от международной торговли, туризма и трансграничной мобильности дала о себе знать. Однако уже в 2021 году ВВП вырос н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а 7,6%, а в 2022 году на 3,6%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8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Важную роль сыграла быстрая мобилизация цифровой инфраструктуры. В марте 2020 года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 восемь недель разра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ботал и запустил (</w:t>
      </w:r>
      <w:proofErr w:type="spellStart"/>
      <w:r w:rsidR="007200F4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="007200F4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первое в мире национальное приложение для отслеживания контактов; к началу 2022 года в нём было зарегистриров</w:t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ано более 6,2 млн пользователей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9"/>
      </w:r>
      <w:r w:rsidR="007200F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позволило сократить время между выявлением случая заболевания и установлением близких контактов с четырёх д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ней до менее чем пол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тора суток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Одновремен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цифровые системы обеспечили быструю реализацию бюджетной поддержки. В 2020 году правительство Сингапура объявило четыре пакета фискального стимулирования общим объёмом более 20% ВВП 2019 года, включая субсидии на заработную плату до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75% от первых 4600 сингапурских долларов и д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енежные переводы домохозяйствам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 Сингапур потратил много</w:t>
      </w:r>
      <w:r w:rsidR="00286375" w:rsidRPr="00286375">
        <w:rPr>
          <w:rFonts w:ascii="Times New Roman" w:hAnsi="Times New Roman" w:cs="Times New Roman"/>
          <w:sz w:val="28"/>
          <w:szCs w:val="28"/>
          <w:lang w:val="ru-RU"/>
        </w:rPr>
        <w:t xml:space="preserve"> и получил </w:t>
      </w:r>
      <w:proofErr w:type="gramStart"/>
      <w:r w:rsidR="00286375" w:rsidRPr="00286375"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proofErr w:type="gramEnd"/>
      <w:r w:rsidR="00286375" w:rsidRPr="00286375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соответствующий масштабу.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атёжная инфраструктура позволили точнее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направлять поддержку, сокращая временные лаги фискальной трансмиссии. В 2022 году инфляция в Си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нгапуре достигла 6,1%, что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потр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бовало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нескольких раундов денежно-кредитного ужесточения со стороны Денежно-кредитного управления Сингапура.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D33B33">
        <w:rPr>
          <w:rFonts w:ascii="Times New Roman" w:hAnsi="Times New Roman" w:cs="Times New Roman"/>
          <w:sz w:val="28"/>
          <w:szCs w:val="28"/>
          <w:lang w:val="ru-RU"/>
        </w:rPr>
        <w:t>Все таки</w:t>
      </w:r>
      <w:proofErr w:type="gramEnd"/>
      <w:r w:rsidR="00D33B33">
        <w:rPr>
          <w:rFonts w:ascii="Times New Roman" w:hAnsi="Times New Roman" w:cs="Times New Roman"/>
          <w:sz w:val="28"/>
          <w:szCs w:val="28"/>
          <w:lang w:val="ru-RU"/>
        </w:rPr>
        <w:t xml:space="preserve"> остается вопрос который имеет значение в этом контексте, м</w:t>
      </w:r>
      <w:r w:rsidR="00D33B33" w:rsidRPr="00D33B33">
        <w:rPr>
          <w:rFonts w:ascii="Times New Roman" w:hAnsi="Times New Roman" w:cs="Times New Roman"/>
          <w:sz w:val="28"/>
          <w:szCs w:val="28"/>
          <w:lang w:val="ru-RU"/>
        </w:rPr>
        <w:t>огла ли эта поддержка сработать так быстро без цифровой инфраструктуры?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Польши. В 2020 году эконом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ика Польши сократилась на 2,0%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один из наиболее мягких спадов в ЕС, значительно лучше среднего по союзу (-6,1%).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2021 году рост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ВВП составил 5,9%, а в 2022-м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4,9%, несмотря на войну в Украине, э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нергетический кризис и инфляцию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За этой устойчивостью стоит сразу несколько причин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крупным внутренним рынком, диверсифицированной структурой экономики, гибким обменным курсом злотого и антикризисным пакетом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Tarcza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Antykryzysowa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объёмом около 55 млрд долларов. Цифровой компонент тоже имел значение: расширение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интеграция электронных рецептов и цифровых водительских удостоверений в 2020 году помогли сохранить часть административных процедур в дистанционном формате.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Кризис 2022 года показал более высокую чувствительность Польши к энергетическому и инфляционному шоку. Зависимость от угольной энергетики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одна из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самых высоких среди стран МЭА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и доля ископаемого топлива на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уровне 85% общего энергоснабжения в 2020 году создавали структурную уязвимость. 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энергетики оказалась важнее уровня </w:t>
      </w:r>
      <w:proofErr w:type="spellStart"/>
      <w:r w:rsidR="00286375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. Структура энергетики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Дополнительное давление добавили близость к зоне конфликта и значительный приток украинских беженцев. Инфляция достигла 18,4% в феврале 2023 года.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смягчения последствий правительство ввело Антиинфляционный щит: снижение НДС на электроэне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ргию с 23% до 5%, на отопление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23% до 8%, а также снижение НДС и акцизов на топливо; общая стоимос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ть мер составила около 2,1%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польского и эстонского кейсов п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одтверждает одну и ту же логику,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цифровая зрелость смягчает шоки мобильности и административных ограничений, но не закрывает структурную уязвимость к энергетическим и ценовым потрясениям.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Урок простой.</w:t>
      </w:r>
    </w:p>
    <w:p w:rsidR="00C02A1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синтез. Сопоставление траекторий четырёх экономик за 2020-2022 годы даёт несколько важных выводов. Во-первых, в период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2020 года все четыре страны показали более мягкое падение ВВП чем средний показатель по ЕС: в Республике Корея снижение сос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тавило 0,7%, в Польше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- 2,0%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>, в Эстонии - 3,0%, в Сингапуре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3,9%, тогда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как средний спад по ЕС достиг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6,1%. Это говорит 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может повышать устойчивость экономик к шокам связанным с ограничением физической мобильно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сти и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админ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стративных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процессов. Во-вторых, в 2021 году все четыре страны показали быстрое восстановление: наиболее высокие темпы роста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 у Эстонии -8,6% и Сингапура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7,6%, тогда как Польша выросл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а на 5,9%, а Республика Корея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 4,6%.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динамика показывает что цифровая инфраструктура могла поддержать восстановление деловой активности, </w:t>
      </w:r>
      <w:r w:rsidR="007638E3">
        <w:rPr>
          <w:rFonts w:ascii="Times New Roman" w:hAnsi="Times New Roman" w:cs="Times New Roman"/>
          <w:sz w:val="28"/>
          <w:szCs w:val="28"/>
          <w:lang w:val="ru-RU"/>
        </w:rPr>
        <w:t xml:space="preserve">государственных сервисов и </w:t>
      </w:r>
      <w:proofErr w:type="spellStart"/>
      <w:r w:rsidR="007638E3">
        <w:rPr>
          <w:rFonts w:ascii="Times New Roman" w:hAnsi="Times New Roman" w:cs="Times New Roman"/>
          <w:sz w:val="28"/>
          <w:szCs w:val="28"/>
          <w:lang w:val="ru-RU"/>
        </w:rPr>
        <w:t>потри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бительского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спроса.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Динамика реального ВВП четырёх стран в сопоставлении со средним показателем по ЕС за 2019-2022 го</w:t>
      </w:r>
      <w:r w:rsidR="00E23D01">
        <w:rPr>
          <w:rFonts w:ascii="Times New Roman" w:hAnsi="Times New Roman" w:cs="Times New Roman"/>
          <w:sz w:val="28"/>
          <w:szCs w:val="28"/>
          <w:lang w:val="ru-RU"/>
        </w:rPr>
        <w:t>ды представлена на рисунке 2.1.</w:t>
      </w:r>
    </w:p>
    <w:p w:rsidR="00EF5F83" w:rsidRPr="00C255BA" w:rsidRDefault="00EF5F83" w:rsidP="00C255B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6DE2" wp14:editId="3A27470D">
            <wp:extent cx="6152515" cy="3635375"/>
            <wp:effectExtent l="0" t="0" r="635" b="3175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:rsidR="00EF5F83" w:rsidRPr="003E5E9F" w:rsidRDefault="00C02A16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Рисунок 2.1 Динамика реального валового внутреннего продукта в Эстонии, Республике Корея, Сингапуре и Польше в сопоставлении со средним показателем по Европейскому союзу, 2019-2022 гг., %</w:t>
      </w:r>
    </w:p>
    <w:p w:rsidR="00EF5F83" w:rsidRPr="00CA034D" w:rsidRDefault="00C02A16" w:rsidP="00CA034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по данным IMF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World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Economic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Outlook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(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April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2024),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Eurostat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Default="00C02A16" w:rsidP="00CA03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В-третьих, энергетический и инфляционный шок 2022 года обнажил пределы цифровой зрелости. Она могла поддерживать государственные сервисы, б</w:t>
      </w:r>
      <w:r w:rsidR="00627AAF">
        <w:rPr>
          <w:rFonts w:ascii="Times New Roman" w:hAnsi="Times New Roman" w:cs="Times New Roman"/>
          <w:sz w:val="28"/>
          <w:szCs w:val="28"/>
          <w:lang w:val="ru-RU"/>
        </w:rPr>
        <w:t xml:space="preserve">изнес-процессы и </w:t>
      </w:r>
      <w:proofErr w:type="gramStart"/>
      <w:r w:rsidR="00627AAF">
        <w:rPr>
          <w:rFonts w:ascii="Times New Roman" w:hAnsi="Times New Roman" w:cs="Times New Roman"/>
          <w:sz w:val="28"/>
          <w:szCs w:val="28"/>
          <w:lang w:val="ru-RU"/>
        </w:rPr>
        <w:t>коммуникации</w:t>
      </w:r>
      <w:proofErr w:type="gramEnd"/>
      <w:r w:rsidR="00627AAF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 не устраняла ценовые уязвимости связанные со структурой энергетики и внешними рынками. Поэтому Эстония и Польша, более зависимые от ископаемого топлива и региональны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 xml:space="preserve">х энергетических рисков, </w:t>
      </w:r>
      <w:proofErr w:type="spellStart"/>
      <w:r w:rsidR="001657DE">
        <w:rPr>
          <w:rFonts w:ascii="Times New Roman" w:hAnsi="Times New Roman" w:cs="Times New Roman"/>
          <w:sz w:val="28"/>
          <w:szCs w:val="28"/>
          <w:lang w:val="ru-RU"/>
        </w:rPr>
        <w:t>столкне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лись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более высокой инфляцией чем Республика Корея</w:t>
      </w:r>
      <w:r w:rsidR="0022556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Сингапур. Сопоставление пиковых значений потребительской инфляции четырёх стран представлено на рисунке 2.2.</w:t>
      </w:r>
    </w:p>
    <w:p w:rsidR="00EF5F83" w:rsidRPr="004D6A0C" w:rsidRDefault="00EF5F83" w:rsidP="00EF5F8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DD904C" wp14:editId="41F56D87">
            <wp:extent cx="6152515" cy="3999230"/>
            <wp:effectExtent l="0" t="0" r="635" b="127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Pr="004D6A0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EF5F83" w:rsidRPr="003E5E9F" w:rsidRDefault="00EF5F83" w:rsidP="00EF5F83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Рисунок 2.2 Пиковые значения потребительской инфляции в Эстонии, Польше, Республике Корея и Сингапуре в 2022 году, % </w:t>
      </w:r>
    </w:p>
    <w:p w:rsidR="00EF5F83" w:rsidRPr="00C255BA" w:rsidRDefault="00EF5F83" w:rsidP="00C255BA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по данным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Eurostat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(HICP),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Bank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of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Korea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,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M</w:t>
      </w:r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>onetary</w:t>
      </w:r>
      <w:proofErr w:type="spellEnd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>Authority</w:t>
      </w:r>
      <w:proofErr w:type="spellEnd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>of</w:t>
      </w:r>
      <w:proofErr w:type="spellEnd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>Singapore</w:t>
      </w:r>
      <w:proofErr w:type="spellEnd"/>
      <w:r w:rsidR="00C255BA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В-четвёрты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 xml:space="preserve">х, во всех четырёх странах </w:t>
      </w:r>
      <w:proofErr w:type="spellStart"/>
      <w:r w:rsidR="001657DE">
        <w:rPr>
          <w:rFonts w:ascii="Times New Roman" w:hAnsi="Times New Roman" w:cs="Times New Roman"/>
          <w:sz w:val="28"/>
          <w:szCs w:val="28"/>
          <w:lang w:val="ru-RU"/>
        </w:rPr>
        <w:t>значе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тельную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роль сыграли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фискальные меры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реализованные с опорой на цифровую инфраструктуру. Их масштаб различался - от 2,1% ВВП в Польше до более чем 20% ВВП в Сингапуре. Это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инфраструктура важна не только для развития электронного государства, но и для более быстрой передачи антикризисной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держки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населению и бизнесу.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E23D01" w:rsidRPr="000E5726" w:rsidRDefault="00050ED2" w:rsidP="00C255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ED2">
        <w:rPr>
          <w:rFonts w:ascii="Times New Roman" w:hAnsi="Times New Roman" w:cs="Times New Roman"/>
          <w:sz w:val="28"/>
          <w:szCs w:val="28"/>
          <w:lang w:val="ru-RU"/>
        </w:rPr>
        <w:t>Теперь пора проверить эти наблюдения цифрами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Для проверки выявленных закономерностей нужно перейти от описательного сравнения стран к статистической оценке связи между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показателями устойчивости национальных экономик. Поэтому следующий параграф посвящён эконометрическому моделированию на панельных данных за 2010-2023 годы.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lastRenderedPageBreak/>
        <w:t>Картина не однозначная.</w:t>
      </w:r>
      <w:r w:rsidR="00BC19B3" w:rsidRPr="00BC19B3">
        <w:t xml:space="preserve"> 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>Четыре страны четыре модели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один вывод: цифровая готовность работает ка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>к страховка. Покупаешь заранее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получаешь 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>выплату в кризис. Не покупаешь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платишь сам.</w:t>
      </w:r>
    </w:p>
    <w:p w:rsidR="00C02A16" w:rsidRPr="00CA034D" w:rsidRDefault="00C02A16" w:rsidP="00CA034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9" w:name="_Toc231804951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2.3. Эконометрическая оценка влияния </w:t>
      </w:r>
      <w:proofErr w:type="spellStart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цифровизации</w:t>
      </w:r>
      <w:proofErr w:type="spellEnd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на устойчивость национальных экономик на основе панельных данных</w:t>
      </w:r>
      <w:bookmarkEnd w:id="9"/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четырёх стран в параграфе 2.1 и оценка их реакции на кризисы 2020 и 2022 годов в параграфе 2.2 показали общую закономерность: экономики с более высоким уровнем цифровой зрелости проходили кризисные периоды мягче и быстрее возвращались к росту.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Здесь проверяем цифрами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эконометрической модели на панельных данных. Количественная проверка выдвинутых гипотез проведена на несбалансированной панели 49 стран за период 2010-2024 годов с использованием данных Всемирного банка (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Исследование строится на двух гипотезах. Основная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предполагает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выраженный через долю интернет-пользователей, положительно связан с ВВП на душу населения и может смягчать негативное влияние глоб</w:t>
      </w:r>
      <w:r w:rsidR="001657DE">
        <w:rPr>
          <w:rFonts w:ascii="Times New Roman" w:hAnsi="Times New Roman" w:cs="Times New Roman"/>
          <w:sz w:val="28"/>
          <w:szCs w:val="28"/>
          <w:lang w:val="ru-RU"/>
        </w:rPr>
        <w:t>альных кризисов. Вспомогательный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состоит в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сила и статистическая значимость этого эффе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кта различаются между тремя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групами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стран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развитыми, переходными и развивающимися экономиками.</w:t>
      </w:r>
    </w:p>
    <w:p w:rsidR="00C255BA" w:rsidRDefault="00C02A16" w:rsidP="00C255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Выборка вк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лючает 49 стран,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классифицирова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484D">
        <w:rPr>
          <w:rFonts w:ascii="Times New Roman" w:hAnsi="Times New Roman" w:cs="Times New Roman"/>
          <w:sz w:val="28"/>
          <w:szCs w:val="28"/>
          <w:lang w:val="ru-RU"/>
        </w:rPr>
        <w:t>на три группы по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критериями Всемирного банка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методологией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22 развитых экономики ОЭСР с высоким доходом (ВВП на душу свыше 25 тысяч долларов 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ценах 2015 года), 16 переходных экономик (постсоветские и постсоциалистические страны со средним доходом, включая Эстонию, Польшу, Казахстан и Турцию)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11 развивающихся экономик с низким и нижне-средним доходом (включая Узбекистан, Китай, Индию, Бразилию). После исключения наблюдений с пропущенными значениями итоговая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панель содержит 707 наблюдении,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330 - по группе развитых стран, 233 - по переходным экономикам и 144 - по развивающимся.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255BA" w:rsidRPr="00B070E3" w:rsidRDefault="00C255BA" w:rsidP="00C255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70E3">
        <w:rPr>
          <w:rFonts w:ascii="Times New Roman" w:hAnsi="Times New Roman" w:cs="Times New Roman"/>
          <w:sz w:val="28"/>
          <w:szCs w:val="28"/>
          <w:lang w:val="ru-RU"/>
        </w:rPr>
        <w:t>Общая спецификация модели имеет следующий вид:</w:t>
      </w:r>
    </w:p>
    <w:p w:rsidR="00C255BA" w:rsidRPr="00F50F52" w:rsidRDefault="00C255BA" w:rsidP="00C255BA">
      <w:pPr>
        <w:pStyle w:val="isselectedend"/>
        <w:spacing w:line="360" w:lineRule="auto"/>
      </w:pPr>
      <m:oMathPara>
        <m:oMath>
          <m:r>
            <w:rPr>
              <w:rFonts w:ascii="Cambria Math" w:hAnsi="Cambria Math"/>
              <w:lang w:val="en-US"/>
            </w:rPr>
            <m:t>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GDP_pc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it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Interne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it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GFC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Inflatio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Unemploymen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Hig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>Tec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>Expor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Crisis_COVID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Crisis_Geo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Interne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Crisis_COVID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ln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Interne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) ×</m:t>
          </m:r>
          <m:r>
            <w:rPr>
              <w:rFonts w:ascii="Cambria Math" w:hAnsi="Cambria Math"/>
              <w:lang w:val="en-US"/>
            </w:rPr>
            <m:t>Crisis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  <w:lang w:val="en-US"/>
            </w:rPr>
            <m:t>Ge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)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:rsidR="00C02A16" w:rsidRPr="000E5726" w:rsidRDefault="00C255BA" w:rsidP="00C255B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6360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i</m:t>
        </m:r>
      </m:oMath>
      <w:r w:rsidRPr="002B6360">
        <w:rPr>
          <w:rFonts w:ascii="Times New Roman" w:hAnsi="Times New Roman" w:cs="Times New Roman"/>
          <w:sz w:val="28"/>
          <w:szCs w:val="28"/>
          <w:lang w:val="ru-RU"/>
        </w:rPr>
        <w:t xml:space="preserve"> обозначает страну,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t</m:t>
        </m:r>
      </m:oMath>
      <w:r w:rsidRPr="002B6360">
        <w:rPr>
          <w:rFonts w:ascii="Times New Roman" w:hAnsi="Times New Roman" w:cs="Times New Roman"/>
          <w:sz w:val="28"/>
          <w:szCs w:val="28"/>
          <w:lang w:val="ru-RU"/>
        </w:rPr>
        <w:t xml:space="preserve"> - год,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2B6360">
        <w:rPr>
          <w:rFonts w:ascii="Times New Roman" w:hAnsi="Times New Roman" w:cs="Times New Roman"/>
          <w:sz w:val="28"/>
          <w:szCs w:val="28"/>
          <w:lang w:val="ru-RU"/>
        </w:rPr>
        <w:t xml:space="preserve"> отражает индивидуальные страновые эффекты, 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ε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it</m:t>
            </m:r>
          </m:sub>
        </m:sSub>
      </m:oMath>
      <w:r w:rsidRPr="002B6360">
        <w:rPr>
          <w:rFonts w:ascii="Times New Roman" w:hAnsi="Times New Roman" w:cs="Times New Roman"/>
          <w:sz w:val="28"/>
          <w:szCs w:val="28"/>
          <w:lang w:val="ru-RU"/>
        </w:rPr>
        <w:t xml:space="preserve"> - случайную ошибку модели. Наличие индивидуальных эффектов особенно важно, поскольку страны различаются по институциональной среде, историческим условиям, уровню развития, географическому положению и структуре экономики.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Зависимая переменная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натуральный логарифм ВВП на душу населения в постоянных ценах 2015 года (</w:t>
      </w:r>
      <w:r w:rsidRPr="000E5726">
        <w:rPr>
          <w:rFonts w:ascii="Times New Roman" w:hAnsi="Times New Roman" w:cs="Times New Roman"/>
          <w:sz w:val="28"/>
          <w:szCs w:val="28"/>
        </w:rPr>
        <w:t>NY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PCAP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KD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Основной регрессор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логарифм доли интернет-пользователей (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USER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). Контрольные переменные включают ло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гарифм валового накопления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осно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капитала (</w:t>
      </w:r>
      <w:r w:rsidRPr="000E5726">
        <w:rPr>
          <w:rFonts w:ascii="Times New Roman" w:hAnsi="Times New Roman" w:cs="Times New Roman"/>
          <w:sz w:val="28"/>
          <w:szCs w:val="28"/>
        </w:rPr>
        <w:t>NE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FTOT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инфляцию (</w:t>
      </w:r>
      <w:r w:rsidRPr="000E5726">
        <w:rPr>
          <w:rFonts w:ascii="Times New Roman" w:hAnsi="Times New Roman" w:cs="Times New Roman"/>
          <w:sz w:val="28"/>
          <w:szCs w:val="28"/>
        </w:rPr>
        <w:t>FP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CPI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безработицу (</w:t>
      </w:r>
      <w:r w:rsidRPr="000E5726">
        <w:rPr>
          <w:rFonts w:ascii="Times New Roman" w:hAnsi="Times New Roman" w:cs="Times New Roman"/>
          <w:sz w:val="28"/>
          <w:szCs w:val="28"/>
        </w:rPr>
        <w:t>SL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UEM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долю экспорта высокотехнологичных товаров (</w:t>
      </w:r>
      <w:r w:rsidRPr="000E5726">
        <w:rPr>
          <w:rFonts w:ascii="Times New Roman" w:hAnsi="Times New Roman" w:cs="Times New Roman"/>
          <w:sz w:val="28"/>
          <w:szCs w:val="28"/>
        </w:rPr>
        <w:t>TX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VAL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MF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Кризисные периоды идентифицированы через две раздельные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-переменные: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(2020 год) 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(2022 год). Включение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lastRenderedPageBreak/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воляет тестировать гипотезу о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ференциальном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антикризисном эффекте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Спецификация модели оценивается отдельно для каждой из трёх групп стран.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Описательная статистика по группам стран представлена в таблице 2.2 и показывает заметные различия по основным переменным модели. Средний логарифм ВВП на душу населения составляет 10,694 в группе развитых стран, 9,153 в пере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ходных и 8,480 в развивающихся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соответствует примерно 44 000, 9 400 и 4 800 долларов соответственно. Средний уровень интернет-проникновения равен 86,8%, 72,4% и 55,6%, а средняя инфляция в развивающихся экономиках (4,76%) заметно выше чем в развитых странах (2,06%). Распределение переменных на рисунке 2.3 в виде диаграмм раз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маха также подтверждает различие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группами и обосновывает необходимость раздельного эконометрического анализа.</w:t>
      </w:r>
    </w:p>
    <w:p w:rsidR="00EF5F83" w:rsidRPr="000E5726" w:rsidRDefault="00EF5F83" w:rsidP="00DC076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77BD8A" wp14:editId="2FAF4DBF">
            <wp:extent cx="5493148" cy="3293533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0537" cy="333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F83" w:rsidRPr="003E5E9F" w:rsidRDefault="0027301E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Таблица </w:t>
      </w:r>
      <w:r w:rsidR="00C02A16" w:rsidRPr="003E5E9F">
        <w:rPr>
          <w:rFonts w:ascii="Times New Roman" w:hAnsi="Times New Roman" w:cs="Times New Roman"/>
          <w:b/>
          <w:sz w:val="24"/>
          <w:szCs w:val="24"/>
          <w:lang w:val="ru-RU"/>
        </w:rPr>
        <w:t>2.2</w:t>
      </w: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 - </w:t>
      </w:r>
      <w:r w:rsidR="00C02A16" w:rsidRPr="003E5E9F">
        <w:rPr>
          <w:rFonts w:ascii="Times New Roman" w:hAnsi="Times New Roman" w:cs="Times New Roman"/>
          <w:b/>
          <w:sz w:val="24"/>
          <w:szCs w:val="24"/>
          <w:lang w:val="ru-RU"/>
        </w:rPr>
        <w:t>Описательная статистика основных переменных модели по группам стран</w:t>
      </w:r>
    </w:p>
    <w:p w:rsidR="00C02A16" w:rsidRPr="003E5E9F" w:rsidRDefault="00C02A16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данных Всемирного банка и результатов обработки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="00E23D01"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EF5F83" w:rsidRPr="00EF5F83" w:rsidRDefault="00EF5F83" w:rsidP="00DC0760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46608A" wp14:editId="6DF28B43">
            <wp:extent cx="5897230" cy="3519805"/>
            <wp:effectExtent l="0" t="0" r="889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970"/>
                    <a:stretch/>
                  </pic:blipFill>
                  <pic:spPr bwMode="auto">
                    <a:xfrm>
                      <a:off x="0" y="0"/>
                      <a:ext cx="5934884" cy="3542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5F83" w:rsidRPr="003E5E9F" w:rsidRDefault="0027301E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Рисунок 2.3 - </w:t>
      </w:r>
      <w:r w:rsidR="00C02A16" w:rsidRPr="003E5E9F">
        <w:rPr>
          <w:rFonts w:ascii="Times New Roman" w:hAnsi="Times New Roman" w:cs="Times New Roman"/>
          <w:b/>
          <w:sz w:val="24"/>
          <w:szCs w:val="24"/>
        </w:rPr>
        <w:t>Boxplot</w:t>
      </w:r>
      <w:r w:rsidR="00C02A16" w:rsidRPr="003E5E9F">
        <w:rPr>
          <w:rFonts w:ascii="Times New Roman" w:hAnsi="Times New Roman" w:cs="Times New Roman"/>
          <w:b/>
          <w:sz w:val="24"/>
          <w:szCs w:val="24"/>
          <w:lang w:val="ru-RU"/>
        </w:rPr>
        <w:t>-распределение переменных эконометрической модели по группам стран</w:t>
      </w:r>
    </w:p>
    <w:p w:rsidR="003E5E9F" w:rsidRPr="003E5E9F" w:rsidRDefault="00C02A16" w:rsidP="00CA034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Необходимость раздельной оценки по группам стран подтверждается тестом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оу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на структурную однородность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результаты представлены в таблице 2.3. Значение 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-статистики составило 5,3377 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 = 18;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= 631;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что позволяет отвергнуть нулев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ую гипотезу об одинаковости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коэ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фициентов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тремя группами стран на уровне значимости менее 0,001. Иными словами, оценка единой модели по всей выборке дала бы смещён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ную интерпретацию </w:t>
      </w:r>
      <w:proofErr w:type="spellStart"/>
      <w:r w:rsidR="0027301E">
        <w:rPr>
          <w:rFonts w:ascii="Times New Roman" w:hAnsi="Times New Roman" w:cs="Times New Roman"/>
          <w:sz w:val="28"/>
          <w:szCs w:val="28"/>
          <w:lang w:val="ru-RU"/>
        </w:rPr>
        <w:t>резултатов</w:t>
      </w:r>
      <w:proofErr w:type="spellEnd"/>
      <w:r w:rsidR="002730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параметры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реально различаются между развитыми, переходными и развивающимися экономиками.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>Различия статистически значимы.</w:t>
      </w:r>
    </w:p>
    <w:p w:rsidR="00CA034D" w:rsidRDefault="00CA034D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EF5F83" w:rsidRPr="000E5726" w:rsidRDefault="00EF5F83" w:rsidP="00DC0760">
      <w:pPr>
        <w:spacing w:after="0" w:line="360" w:lineRule="auto"/>
        <w:ind w:firstLine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D5705F" wp14:editId="734496B2">
            <wp:extent cx="5554980" cy="716915"/>
            <wp:effectExtent l="0" t="0" r="762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29832"/>
                    <a:stretch/>
                  </pic:blipFill>
                  <pic:spPr bwMode="auto">
                    <a:xfrm>
                      <a:off x="0" y="0"/>
                      <a:ext cx="5554980" cy="71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5F83" w:rsidRPr="003E5E9F" w:rsidRDefault="00C02A16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Таблица 2.3 - Результаты теста </w:t>
      </w:r>
      <w:proofErr w:type="spellStart"/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Чоу</w:t>
      </w:r>
      <w:proofErr w:type="spellEnd"/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на структурную однородность между группами стран</w:t>
      </w:r>
    </w:p>
    <w:p w:rsidR="003E5E9F" w:rsidRPr="003E5E9F" w:rsidRDefault="00C02A16" w:rsidP="00CA034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Выбор между моделями с фиксированными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случайными (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эффектами был сделан на основе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дополнительной теоретической аргументации. Формальный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группы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4,576;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0,87)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1,363;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0,998) указывает на допустимость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-модели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0"/>
      </w:r>
      <w:r w:rsidR="002730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-модель не была идентифициро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>вана из-за сингулярной матрицы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связано с небольшим размером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144 наблюдения на 11 стран при 9 переменных. Тем не менее во всех трёх группах используется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-модель. Во-первых, это обеспечивает сопоставимость результатов между группами. Во-вт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орых,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страновая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гетерогенность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качество институтов, географическое положение, ис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торическая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трайктория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развития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высокой вероятностью коррелирует с уровнем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делает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состоятельным, а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несостоятельным. В-третьих, диагностика остатков показала чувствительность</w:t>
      </w:r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теста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="007322BE">
        <w:rPr>
          <w:rFonts w:ascii="Times New Roman" w:hAnsi="Times New Roman" w:cs="Times New Roman"/>
          <w:sz w:val="28"/>
          <w:szCs w:val="28"/>
          <w:lang w:val="ru-RU"/>
        </w:rPr>
        <w:t xml:space="preserve"> к </w:t>
      </w:r>
      <w:proofErr w:type="spellStart"/>
      <w:r w:rsidR="007322BE">
        <w:rPr>
          <w:rFonts w:ascii="Times New Roman" w:hAnsi="Times New Roman" w:cs="Times New Roman"/>
          <w:sz w:val="28"/>
          <w:szCs w:val="28"/>
          <w:lang w:val="ru-RU"/>
        </w:rPr>
        <w:t>гетероскедасте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может завышать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value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В-четвёртых, в панельных исследованиях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межстрановых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различий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модель с фиксированными эффектами является более надёжным выбором.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Диагностика остатков проводилась отдельно для каждой группы стран.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Бройша-Пагана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выявил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группах развитых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87,210;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5,9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38,888;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1,21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тогда как в группе развивающихся стран гомоскедастичность не отвергается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= 11,790;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0,225).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Вулдриджа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показал наличие серийной автокорреляции во всех трёх группах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¹⁶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Выявленная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автокорреляция обосновывают применение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кластеризованных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странам стандартных ошибок </w:t>
      </w:r>
      <w:r w:rsidRPr="000E5726">
        <w:rPr>
          <w:rFonts w:ascii="Times New Roman" w:hAnsi="Times New Roman" w:cs="Times New Roman"/>
          <w:sz w:val="28"/>
          <w:szCs w:val="28"/>
        </w:rPr>
        <w:t>HC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1 во всех спецификациях модели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1"/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Итоговые результаты оценки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 представлены в таблице 2.4.</w:t>
      </w:r>
    </w:p>
    <w:p w:rsidR="00EF5F83" w:rsidRPr="000E5726" w:rsidRDefault="00EF5F83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560E9F" wp14:editId="657BA939">
            <wp:extent cx="6151880" cy="5417261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2263" b="-739"/>
                    <a:stretch/>
                  </pic:blipFill>
                  <pic:spPr bwMode="auto">
                    <a:xfrm>
                      <a:off x="0" y="0"/>
                      <a:ext cx="6151880" cy="5417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5F83" w:rsidRPr="003E5E9F" w:rsidRDefault="00C02A16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Таблица 2.4 - Результаты оценки </w:t>
      </w:r>
      <w:r w:rsidRPr="003E5E9F">
        <w:rPr>
          <w:rFonts w:ascii="Times New Roman" w:hAnsi="Times New Roman" w:cs="Times New Roman"/>
          <w:b/>
          <w:sz w:val="24"/>
          <w:szCs w:val="24"/>
        </w:rPr>
        <w:t>FE</w:t>
      </w: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-моделей по группам стран</w:t>
      </w:r>
    </w:p>
    <w:p w:rsidR="00C02A16" w:rsidRPr="003E5E9F" w:rsidRDefault="00C02A16" w:rsidP="00EF5F83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развитых стран (22 страны, 330 наблюдений)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как на общий уровень экономического роста, так и на реакцию экономики в кризисные периоды.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= 0,050)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указывает на положительную эластичность: рост интернет-проникновения на 1% связан с увеличением ВВП на душу населения примерно на 0,21% при прочих равных условиях.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равен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-1,7942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0,002), что отражает значительное отрицательное воздействие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шока. При этом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= 0,003)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говорит о смягчающей роли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Аналогично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, interaction term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также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значим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: β = 0,3943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развитых странах более высокий уровень интернет-проникновения был связан с меньшим негативным эффектом кризисов 2020 и 2022 годов.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переходных экономик (16 стран, 233 наблюдения)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наиболее выраженным: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0,31% при прочих равных условиях. Однако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незначимы: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0,1105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0,661),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0,456).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Иными словами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переходных экономиках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скорее устойчивым фактором роста чем подтверждённым антикризисным буфером. Отрицательный знак коэффициента при геополитическом кризисе может быт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ь связан со спецификой </w:t>
      </w:r>
      <w:proofErr w:type="gramStart"/>
      <w:r w:rsidR="008453F5">
        <w:rPr>
          <w:rFonts w:ascii="Times New Roman" w:hAnsi="Times New Roman" w:cs="Times New Roman"/>
          <w:sz w:val="28"/>
          <w:szCs w:val="28"/>
          <w:lang w:val="ru-RU"/>
        </w:rPr>
        <w:t>выборки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включает страны непосредственно затронутые шоком 2022 года, когда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могла компенсировать структурные потери от разрыва торговых и энергетических цепочек.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развивающихся экономик включающей Узбекистан (11 стран, 144 наблюдения),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также положителен 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0,20% при прочих равных условиях. При этом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незначимыж</w:t>
      </w:r>
      <w:proofErr w:type="spellEnd"/>
      <w:r w:rsidR="008453F5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Такой результат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цифровой зрелости развивающихся экономик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поддерживает рост, но антикризисного эффекта пока не даёт.</w:t>
      </w:r>
      <w:r w:rsidR="00BF44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>Потенциал есть.</w:t>
      </w:r>
      <w:r w:rsidR="00F853E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Честно говоря, это и был </w:t>
      </w:r>
      <w:proofErr w:type="gramStart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главный вопрос</w:t>
      </w:r>
      <w:proofErr w:type="gramEnd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с которым я начинал эту работу. О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твет оказался </w:t>
      </w:r>
      <w:proofErr w:type="gramStart"/>
      <w:r w:rsidR="00F853EF">
        <w:rPr>
          <w:rFonts w:ascii="Times New Roman" w:hAnsi="Times New Roman" w:cs="Times New Roman"/>
          <w:sz w:val="28"/>
          <w:szCs w:val="28"/>
          <w:lang w:val="ru-RU"/>
        </w:rPr>
        <w:t>неоднозначным</w:t>
      </w:r>
      <w:proofErr w:type="gramEnd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 но именно поэтому интересным.</w:t>
      </w:r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Узбекистана это означает конкретное: расширение цифрового доступа само по себе работает на рост, но для смягчения внешних шоков нужен более высокий 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уровень цифровой инфраструктуры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институциональной интеграции и реального использования технологий в бизнесе. Дополнительно стоит учитывать огра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ничение статистической мощности,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144 наблюдения на 11 стран при 9 переменных снижают вероятность выявления слабых эффектов.</w:t>
      </w:r>
    </w:p>
    <w:p w:rsidR="00C02A1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Визуальное сопоставление интернет-проникновения и ВВП на душу населения в кризисные годы представлено на рисунке 2.4. Рисунок дополняет 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-моделей: развитые экономики находятся в зоне высоких значений обоих показателей, тогда как переходные и развивающиеся страны демонстрируют более неоднородную траекторию.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EF5F83" w:rsidRPr="000E5726" w:rsidRDefault="00EF5F83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17EA24" wp14:editId="347E3947">
            <wp:extent cx="6151880" cy="3448329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5344"/>
                    <a:stretch/>
                  </pic:blipFill>
                  <pic:spPr bwMode="auto">
                    <a:xfrm>
                      <a:off x="0" y="0"/>
                      <a:ext cx="6151880" cy="3448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5F83" w:rsidRPr="003E5E9F" w:rsidRDefault="00C02A16" w:rsidP="00EF5F83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Рисунок 2.4 - Взаимосвязь между уровнем интернет-проникновения и ВВП на душу населения в кризисные годы по группам стран</w:t>
      </w:r>
    </w:p>
    <w:p w:rsidR="00C02A16" w:rsidRPr="003E5E9F" w:rsidRDefault="00C02A16" w:rsidP="00EF5F83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proofErr w:type="spellStart"/>
      <w:r w:rsidRPr="003E5E9F">
        <w:rPr>
          <w:rFonts w:ascii="Times New Roman" w:hAnsi="Times New Roman" w:cs="Times New Roman"/>
          <w:i/>
          <w:sz w:val="24"/>
          <w:szCs w:val="24"/>
        </w:rPr>
        <w:t>RStudio</w:t>
      </w:r>
      <w:proofErr w:type="spellEnd"/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Полученные коэффициенты позволяют построить условные прогнозные сценарии и сравнить потенциальный эф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фект дальнейшего роста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интернет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проникновения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группами стран. Эти расчёты не являются полноценны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м макроэкономическим </w:t>
      </w:r>
      <w:proofErr w:type="gramStart"/>
      <w:r w:rsidR="008453F5">
        <w:rPr>
          <w:rFonts w:ascii="Times New Roman" w:hAnsi="Times New Roman" w:cs="Times New Roman"/>
          <w:sz w:val="28"/>
          <w:szCs w:val="28"/>
          <w:lang w:val="ru-RU"/>
        </w:rPr>
        <w:t>прогнозом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они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основаны на предположении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показывают лишь относительный вклад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динамику ВВП на душу населения. Сводные прогнозные значения по трём группам стран на 2025-2030 годы представлены в таблице 2.5. Детальная интерпретация сценария для Узбекистана рассматривается в §3.3.</w:t>
      </w:r>
    </w:p>
    <w:p w:rsidR="00C91D9E" w:rsidRPr="000E5726" w:rsidRDefault="00C91D9E" w:rsidP="00F66A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68163B" wp14:editId="5929D389">
            <wp:extent cx="6012180" cy="4410075"/>
            <wp:effectExtent l="0" t="0" r="762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5958"/>
                    <a:stretch/>
                  </pic:blipFill>
                  <pic:spPr bwMode="auto">
                    <a:xfrm>
                      <a:off x="0" y="0"/>
                      <a:ext cx="6012180" cy="441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3E5E9F" w:rsidRDefault="00C02A16" w:rsidP="00C91D9E">
      <w:pPr>
        <w:tabs>
          <w:tab w:val="left" w:pos="2977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Таблица 2.5 - Прогноз ВВП на душу населения по группам стран на 2025-2030 годы (</w:t>
      </w:r>
      <w:r w:rsidRPr="003E5E9F">
        <w:rPr>
          <w:rFonts w:ascii="Times New Roman" w:hAnsi="Times New Roman" w:cs="Times New Roman"/>
          <w:b/>
          <w:sz w:val="24"/>
          <w:szCs w:val="24"/>
        </w:rPr>
        <w:t>FE</w:t>
      </w: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-модели)</w:t>
      </w:r>
    </w:p>
    <w:p w:rsidR="00C02A16" w:rsidRPr="003E5E9F" w:rsidRDefault="00C02A16" w:rsidP="00C91D9E">
      <w:pPr>
        <w:tabs>
          <w:tab w:val="left" w:pos="2977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Проведённый эконометрический анализ на несбалансированной панели 49 стран за 2010-2024 годы (707 наблюдений) даёт несколько выводов. Основная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подтверждается: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>ки значим во всех трёх группах 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0,212 для развитых,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для развивающихся экономик. Вспомогательная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также подтверждается -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отвергает однородность коэффициентов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а антикризисные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значимы только для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</w:t>
      </w:r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Число не </w:t>
      </w:r>
      <w:proofErr w:type="gramStart"/>
      <w:r w:rsidR="00286375">
        <w:rPr>
          <w:rFonts w:ascii="Times New Roman" w:hAnsi="Times New Roman" w:cs="Times New Roman"/>
          <w:sz w:val="28"/>
          <w:szCs w:val="28"/>
          <w:lang w:val="ru-RU"/>
        </w:rPr>
        <w:t>большое</w:t>
      </w:r>
      <w:proofErr w:type="gramEnd"/>
      <w:r w:rsidR="00286375">
        <w:rPr>
          <w:rFonts w:ascii="Times New Roman" w:hAnsi="Times New Roman" w:cs="Times New Roman"/>
          <w:sz w:val="28"/>
          <w:szCs w:val="28"/>
          <w:lang w:val="ru-RU"/>
        </w:rPr>
        <w:t xml:space="preserve"> но статистически значимое, и это важно.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переходных 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развивающихся экономик такие эффекты статистически не подтверждаются. В развивающихся странах включая Узбекистан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 выступает прежде всего фактором роста, но не выполняет функцию макроэкономического стабилизатора. Полученны</w:t>
      </w:r>
      <w:r w:rsidR="008453F5">
        <w:rPr>
          <w:rFonts w:ascii="Times New Roman" w:hAnsi="Times New Roman" w:cs="Times New Roman"/>
          <w:sz w:val="28"/>
          <w:szCs w:val="28"/>
          <w:lang w:val="ru-RU"/>
        </w:rPr>
        <w:t xml:space="preserve">е результаты создают </w:t>
      </w:r>
      <w:proofErr w:type="spellStart"/>
      <w:r w:rsidR="008453F5">
        <w:rPr>
          <w:rFonts w:ascii="Times New Roman" w:hAnsi="Times New Roman" w:cs="Times New Roman"/>
          <w:sz w:val="28"/>
          <w:szCs w:val="28"/>
          <w:lang w:val="ru-RU"/>
        </w:rPr>
        <w:t>количестве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основу для практических рекомендаций, рассматриваемых в параграфах 3.2 и 3.3.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3E5E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второй главе.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>ация</w:t>
      </w:r>
      <w:proofErr w:type="spellEnd"/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 повышает устойчивость национальных экономик, однако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эффект зависит от типа кризиса и уровня цифровой зрелости.</w:t>
      </w:r>
      <w:r w:rsidR="0006224E">
        <w:rPr>
          <w:rFonts w:ascii="Times New Roman" w:hAnsi="Times New Roman" w:cs="Times New Roman"/>
          <w:sz w:val="28"/>
          <w:szCs w:val="28"/>
          <w:lang w:val="ru-RU"/>
        </w:rPr>
        <w:t xml:space="preserve"> Картина не однозначная.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2020 году Эстония, Республика Корея, Сингапур и Польша показали более мягкое падение ВВП по 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>сравнению со средним по ЕС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связано с развитием цифрового государства, онлайн-сервисов и механизмов адресной поддержки. Кризис 2022 го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да показал пределы </w:t>
      </w:r>
      <w:proofErr w:type="spellStart"/>
      <w:r w:rsidR="009450A1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энергетические и геополитические шоки не компенсируются цифровыми технологиями даже при высокой цифровой зрелости. Эконометрика на панели 49</w:t>
      </w:r>
      <w:r w:rsidR="009450A1">
        <w:rPr>
          <w:rFonts w:ascii="Times New Roman" w:hAnsi="Times New Roman" w:cs="Times New Roman"/>
          <w:sz w:val="28"/>
          <w:szCs w:val="28"/>
          <w:lang w:val="ru-RU"/>
        </w:rPr>
        <w:t xml:space="preserve"> стран подтвердила </w:t>
      </w:r>
      <w:proofErr w:type="spellStart"/>
      <w:r w:rsidR="009450A1">
        <w:rPr>
          <w:rFonts w:ascii="Times New Roman" w:hAnsi="Times New Roman" w:cs="Times New Roman"/>
          <w:sz w:val="28"/>
          <w:szCs w:val="28"/>
          <w:lang w:val="ru-RU"/>
        </w:rPr>
        <w:t>положительнуй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связь между интернет-проникновением и ВВП на душу населения: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подтвердил структурные различия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Антикризисный буферный эффект выявлен только у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0,3943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фактором роста во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всех группах, но функцию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макроо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кономического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стабилизатора начинает выполнять только при высоком уровне цифровой зрелости. Для Узбекистана вывод конкретный: расширение интернет-проникновения усиливает рост, но для антикризисного эффекта нужна более глубокая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частного сектора.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>β=0,394 для развитых стран против незначи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>мого эффекта для развивающихся</w:t>
      </w:r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это и есть главный количественный результат работы. </w:t>
      </w:r>
      <w:proofErr w:type="spellStart"/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работает как стабилизатор только после определённого порога зрелости. Узбек</w:t>
      </w:r>
      <w:r w:rsidR="00BC19B3">
        <w:rPr>
          <w:rFonts w:ascii="Times New Roman" w:hAnsi="Times New Roman" w:cs="Times New Roman"/>
          <w:sz w:val="28"/>
          <w:szCs w:val="28"/>
          <w:lang w:val="ru-RU"/>
        </w:rPr>
        <w:t xml:space="preserve">истан этот порог ещё не </w:t>
      </w:r>
      <w:proofErr w:type="gramStart"/>
      <w:r w:rsidR="00BC19B3">
        <w:rPr>
          <w:rFonts w:ascii="Times New Roman" w:hAnsi="Times New Roman" w:cs="Times New Roman"/>
          <w:sz w:val="28"/>
          <w:szCs w:val="28"/>
          <w:lang w:val="ru-RU"/>
        </w:rPr>
        <w:t>прошёл</w:t>
      </w:r>
      <w:proofErr w:type="gramEnd"/>
      <w:r w:rsidR="00BC19B3" w:rsidRPr="00BC19B3">
        <w:rPr>
          <w:rFonts w:ascii="Times New Roman" w:hAnsi="Times New Roman" w:cs="Times New Roman"/>
          <w:sz w:val="28"/>
          <w:szCs w:val="28"/>
          <w:lang w:val="ru-RU"/>
        </w:rPr>
        <w:t xml:space="preserve"> но он близко.</w:t>
      </w:r>
    </w:p>
    <w:p w:rsidR="00C02A16" w:rsidRPr="00CA034D" w:rsidRDefault="00C02A16" w:rsidP="00CA034D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0" w:name="_Toc231804952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ГЛАВА </w:t>
      </w:r>
      <w:r w:rsidRPr="003E5E9F">
        <w:rPr>
          <w:rFonts w:ascii="Times New Roman" w:hAnsi="Times New Roman" w:cs="Times New Roman"/>
          <w:b/>
          <w:color w:val="auto"/>
          <w:sz w:val="28"/>
          <w:szCs w:val="28"/>
        </w:rPr>
        <w:t>III</w:t>
      </w:r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. ИСПОЛЬЗОВАНИЕ МЕЖДУНАРОДНОГО ОПЫТА ЦИФРОВИЗАЦИИ В УСЛОВИЯХ РЕСПУБЛИКИ УЗБЕКИСТАН</w:t>
      </w:r>
      <w:bookmarkEnd w:id="10"/>
    </w:p>
    <w:p w:rsidR="00C02A16" w:rsidRPr="00CA034D" w:rsidRDefault="00C02A16" w:rsidP="00CA034D">
      <w:pPr>
        <w:pStyle w:val="2"/>
        <w:spacing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31804953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3.1. Современное состояние цифровой трансформации экономики </w:t>
      </w:r>
      <w:r w:rsidR="00CA03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Узбекистана в рамках Стратегии </w:t>
      </w:r>
      <w:r w:rsidR="00CA034D">
        <w:rPr>
          <w:rFonts w:ascii="Times New Roman" w:hAnsi="Times New Roman" w:cs="Times New Roman"/>
          <w:b/>
          <w:color w:val="auto"/>
          <w:sz w:val="28"/>
          <w:szCs w:val="28"/>
        </w:rPr>
        <w:t>“</w:t>
      </w:r>
      <w:r w:rsidR="00CA03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Цифровой Узбекистан</w:t>
      </w:r>
      <w:r w:rsidR="00CA034D">
        <w:rPr>
          <w:rFonts w:ascii="Times New Roman" w:hAnsi="Times New Roman" w:cs="Times New Roman"/>
          <w:b/>
          <w:color w:val="auto"/>
          <w:sz w:val="28"/>
          <w:szCs w:val="28"/>
        </w:rPr>
        <w:t>-</w:t>
      </w:r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2030</w:t>
      </w:r>
      <w:bookmarkEnd w:id="11"/>
      <w:r w:rsidR="00CA034D">
        <w:rPr>
          <w:rFonts w:ascii="Times New Roman" w:hAnsi="Times New Roman" w:cs="Times New Roman"/>
          <w:b/>
          <w:color w:val="auto"/>
          <w:sz w:val="28"/>
          <w:szCs w:val="28"/>
        </w:rPr>
        <w:t>”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международного опыта из второй главы и модель пяти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из первой главы позволяют перейти к оценке текущего состояния цифровой трансформации Республики Узбе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кистан. Задача этого </w:t>
      </w:r>
      <w:proofErr w:type="gramStart"/>
      <w:r w:rsidR="00F647F9">
        <w:rPr>
          <w:rFonts w:ascii="Times New Roman" w:hAnsi="Times New Roman" w:cs="Times New Roman"/>
          <w:sz w:val="28"/>
          <w:szCs w:val="28"/>
          <w:lang w:val="ru-RU"/>
        </w:rPr>
        <w:t>параграфа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просто описать государственные программы, а охарактеризовать стартовую позицию национальной экономики по тем индикаторам которые использовались при анализе Эстонии, Республики Корея, Сингапура и Польши. Это обеспечивает методологическую сопоставимость и позволяет оценить возможности адаптации международного опыта к условиям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F647F9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Стратегия «Цифровой Узбекистан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2030», утверждённая Указом Президента Республики Узбекистан № УП-6079 от 5 октября 2020 года, определяет основные ориентиры цифровой транс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формации национальной экономики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2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её 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мках в 2023-2024 годах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реализово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вались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программы «Цифровое правительство» и «Цифровой регион», включавшие 300 приоритетных проектов, из них 112 - в сфере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управления, 51 - в сект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орах реальной экономики и 137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в области реги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ональной цифровой трансформации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Стратегия также устанавливае</w:t>
      </w:r>
      <w:r>
        <w:rPr>
          <w:rFonts w:ascii="Times New Roman" w:hAnsi="Times New Roman" w:cs="Times New Roman"/>
          <w:sz w:val="28"/>
          <w:szCs w:val="28"/>
          <w:lang w:val="ru-RU"/>
        </w:rPr>
        <w:t>т ряд количественных ориентиров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увеличение доли цифровой экономики в ВВП не менее чем в 2,5 раза к 2026 году, расширение экспорта про</w:t>
      </w:r>
      <w:r>
        <w:rPr>
          <w:rFonts w:ascii="Times New Roman" w:hAnsi="Times New Roman" w:cs="Times New Roman"/>
          <w:sz w:val="28"/>
          <w:szCs w:val="28"/>
          <w:lang w:val="ru-RU"/>
        </w:rPr>
        <w:t>граммного обеспечения в 10 раз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до 500 млн долларов США, а также вхождение Узбекистана в число 30 ведущих стран мира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 </w:t>
      </w:r>
      <w:r w:rsidR="00C02A16" w:rsidRPr="000E5726">
        <w:rPr>
          <w:rFonts w:ascii="Times New Roman" w:hAnsi="Times New Roman" w:cs="Times New Roman"/>
          <w:sz w:val="28"/>
          <w:szCs w:val="28"/>
        </w:rPr>
        <w:t>EGDI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к 2030 году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ориентиры позволяют оценить насколько фактическая динамика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заявленным целям.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международного позиционирования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заметно продвинулась по ряду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композитных индексов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рассмотре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во второй главе. По данным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Survey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ООН за 2024 год, Узбекистан занял 63-е место среди 193 стран со значением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0,7999, поднявшись с 69-й позиции в 2022 году, когда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значение инде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кса составляло 0,7265, и впервые вошёл в группу стран с «о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чень высоким» уровнем развития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електронного</w:t>
      </w:r>
      <w:proofErr w:type="spellEnd"/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правительства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5"/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Тем самым целевой показатель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≥ 0,75, установленный Стратегией на 2025 год, был достигнут раньше срока. Одновременно Узбекистан поднялся на 37 позиций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Maturity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Всемирного банка и впервые вошёл в высшую категорию «</w:t>
      </w:r>
      <w:r w:rsidRPr="000E5726">
        <w:rPr>
          <w:rFonts w:ascii="Times New Roman" w:hAnsi="Times New Roman" w:cs="Times New Roman"/>
          <w:sz w:val="28"/>
          <w:szCs w:val="28"/>
        </w:rPr>
        <w:t>A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Индексе готовности к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искусствен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ому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интеллекту </w:t>
      </w:r>
      <w:r w:rsidRPr="000E5726">
        <w:rPr>
          <w:rFonts w:ascii="Times New Roman" w:hAnsi="Times New Roman" w:cs="Times New Roman"/>
          <w:sz w:val="28"/>
          <w:szCs w:val="28"/>
        </w:rPr>
        <w:t>Oxford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Insights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страна улучшила позиции: с 87-го места в 2023 году до 70-го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в 2024 году и 62-го в 2025 году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 xml:space="preserve"> При этом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с цифровыми лидерами сохраняется: по сравнению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Эстонией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занявшей 2-е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отставание Узбекистана составляет 0,1728 пункта индекса и 61 позицию рейтинга.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Сост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ояние цифровой инфраструктуры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базовое условие для реализации пяти кана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лов влияния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усту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йчивость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экономики. В Узбекистане наблюдается расширение сетевой связности, однако по отдельным качественным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параметрам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прежде всего скорости передачи данных и развитию фиксированного широкополосно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го доступа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отставание. К началу 2023 года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протяжённость волоконно-оптических линий связи в Узбекистане превысила 227 тыс. км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⁸⁸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2024 году покрытие сетями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достигло 97% населения, тогда как покрытие сетями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составило лишь 18%.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данным Международного союза эле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ктросвязи, уровень 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 Узбекистане в 2023 году достиг 89% населе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ния против 83,9% годом ранее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структу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ра доступа остаётся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преимуществу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мобильной: подписка на активную мобильную широкополосную связь составила 107%, тогда как фиксированная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широкополосная подписка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30,3%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Согласно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Speedtest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Global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 началу 2025 года медианная скорость загрузки в фиксированной сети достигла 79 Мбит/с, увеличившись на 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43% за год, а в мобильной сети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38 Мбит/с, увеличившись на 53%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2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целом Узбекистан уже сформировал базовую цифровую инфраструктуру, но следующий этап требует повы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шения качества связи, расширение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-покрытия и развития фиксированного широкополосного доступа.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ИКТ-сектора важна для анализа пятого канала - устойчивости самого сектора как отдельного компонента национальной экономики. В случае Узбекистана этот сектор растёт быстро, хотя его доля в структуре экономики пока остаётся сравнительно небольшой. По данным Агентства государственной статистики Республики Узбекистан, в 2024 году ВВП страны в текущих ценах составил 1 454,6 трлн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или 114,96 млрд долларов США, увеличивши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сь на 6,5% в реальном выражений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доля услуг информации и связи в валовой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доба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вленной стоимости достигла 2,4%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Внутри сектора основная часть добавленной стоимост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и приходится на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телекоммуникацие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услуги, компьютерное п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рограммирование и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консультацион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услуги, тогда как хостинг, обработка данных и разработка программного обеспечения занимают меньшую долю. Темп р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оста сектора информаций1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связи в 2024 году составил 24,7% в реальном выражении, что значительно превысило общий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темп роста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рассматриват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 xml:space="preserve">ь ИКТ-сектор как один из </w:t>
      </w:r>
      <w:proofErr w:type="spellStart"/>
      <w:r w:rsidR="00F647F9">
        <w:rPr>
          <w:rFonts w:ascii="Times New Roman" w:hAnsi="Times New Roman" w:cs="Times New Roman"/>
          <w:sz w:val="28"/>
          <w:szCs w:val="28"/>
          <w:lang w:val="ru-RU"/>
        </w:rPr>
        <w:t>наибол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динамичных э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лементов экономики. При этом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со странами ОЭСР, где доля ВДС ИКТ-сектора в 2023 году в среднем составила 6,2%, показывает: Узбекистан пока находи</w:t>
      </w:r>
      <w:r w:rsidR="00F647F9">
        <w:rPr>
          <w:rFonts w:ascii="Times New Roman" w:hAnsi="Times New Roman" w:cs="Times New Roman"/>
          <w:sz w:val="28"/>
          <w:szCs w:val="28"/>
          <w:lang w:val="ru-RU"/>
        </w:rPr>
        <w:t>тся на раннем этапе формирование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экономики - высокие темпы роста сектора ещё не перешли в сопоставимую долю в ВДС.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Развитие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Узбекистана отражает формирование институциональной 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>базы для экспортно-</w:t>
      </w:r>
      <w:proofErr w:type="spellStart"/>
      <w:r w:rsidR="00C74BEF">
        <w:rPr>
          <w:rFonts w:ascii="Times New Roman" w:hAnsi="Times New Roman" w:cs="Times New Roman"/>
          <w:sz w:val="28"/>
          <w:szCs w:val="28"/>
          <w:lang w:val="ru-RU"/>
        </w:rPr>
        <w:t>ориентирован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ИКТ-сектора. Созданный в 2019 году, к концу 2024 года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объединял более 2 500 компаний-резиде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нтов и около 11 тыс. работников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Экспорт ИКТ-услуг увеличился с 50 млн долларов США в 2015 году до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344 млн долларов США в 2023 год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6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Оценки за 2024 год различаются в зависимости от источника и методологии учёта: в одних источниках указывается 620 млн долларов США, в 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других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1,15 млрд долларов США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важнее учитывать не отдельную оценку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, а общую динамику: экспорт ИКТ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услуг показывает устойчивый рост что подтверждает усиление роли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институционального центра цифровой экономики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Ц</w:t>
      </w:r>
      <w:r w:rsidR="00C74BEF">
        <w:rPr>
          <w:rFonts w:ascii="Times New Roman" w:hAnsi="Times New Roman" w:cs="Times New Roman"/>
          <w:sz w:val="28"/>
          <w:szCs w:val="28"/>
          <w:lang w:val="ru-RU"/>
        </w:rPr>
        <w:t>ифровизация</w:t>
      </w:r>
      <w:proofErr w:type="spellEnd"/>
      <w:r w:rsidR="00C74BEF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одно из наиболее быстро развивающихся направлений цифровой трансформации Узбекистана. Она создаёт основу для канала фискальной трансмиссии. По данным отчёта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Mastercard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Pr="000E5726">
        <w:rPr>
          <w:rFonts w:ascii="Times New Roman" w:hAnsi="Times New Roman" w:cs="Times New Roman"/>
          <w:sz w:val="28"/>
          <w:szCs w:val="28"/>
        </w:rPr>
        <w:t>Fintech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Market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» за 2023 год, число пользователей удалённых банковских услуг увеличилось с примерно 8 млн человек в 2018 год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у до 30 млн человек в 2022 году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2020-2022 годах объём транзакций через системы </w:t>
      </w:r>
      <w:r w:rsidRPr="000E5726">
        <w:rPr>
          <w:rFonts w:ascii="Times New Roman" w:hAnsi="Times New Roman" w:cs="Times New Roman"/>
          <w:sz w:val="28"/>
          <w:szCs w:val="28"/>
        </w:rPr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-онлайн рос в среднем на 119% в год, а совокупная стоимость операци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й увеличилась примерно в 15 раз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9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началу 2024 года в обращении находилось более 5,6 млн держателей платёжных карт, число клиентов интернет-банкинга превысило 900 тыс., а на 100 тыс. населения приходилось 28,3 банкомата и 552,5 </w:t>
      </w:r>
      <w:r w:rsidRPr="000E5726">
        <w:rPr>
          <w:rFonts w:ascii="Times New Roman" w:hAnsi="Times New Roman" w:cs="Times New Roman"/>
          <w:sz w:val="28"/>
          <w:szCs w:val="28"/>
        </w:rPr>
        <w:t>POS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-терминала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0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Совокупный объём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транзакциии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межбанковскую систему в 2024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году превысил 7 279 трлн </w:t>
      </w:r>
      <w:proofErr w:type="spellStart"/>
      <w:r w:rsidR="00302040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1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данные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цифровые финансы в Узбекистане уже формируют инфраструктурную базу для более быстрой передачи государственных выплат, поддержк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и бизнеса и антикризисных мер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во второй главе рассматривалось на примере Сингапура и Республики Корея.</w:t>
      </w:r>
    </w:p>
    <w:p w:rsidR="00E23D01" w:rsidRPr="00CA034D" w:rsidRDefault="00C02A16" w:rsidP="00CA03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Систематизация рассмотренных показателей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трансформация Узбекистана развивается неравномерно. С одной стороны, страна заметно продвинулась в развитии цифрового государства, базовой инфр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аструктуры и цифровых финансов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 подтверждается международными индексами и ростом использования онлайн-сервисов.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раняется отставание по доле ИКТ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сектора в валовой добавленной стоимости и по распространению продвинутых цифровых технологий среди предприятий.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 этом смысле Узбекистан близок к польской модели «конвергенции с ограничениями» из §2.1: при активном развитии государст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венных цифровых сервисов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сохране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в цифровой зрелости частного сектора. Возможности сокращения этой асимметрии на основе адаптации международного опыта рассматриваются в следующем параграфе.</w:t>
      </w:r>
      <w:r w:rsidR="00D6223A" w:rsidRPr="00D6223A">
        <w:t xml:space="preserve"> 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63-е место из 193 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звучит скромно. Но ещё в 2022 году это было 69-е место. За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два года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шесть позиций вверх. При таком темпе к 2030 году цель войти в топ-30 выглядит реалистично.</w:t>
      </w:r>
    </w:p>
    <w:p w:rsidR="00C02A16" w:rsidRPr="00CA034D" w:rsidRDefault="00C02A16" w:rsidP="00CA034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2" w:name="_Toc231804954"/>
      <w:r w:rsidRPr="003E5E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3.2. Адаптация международного опыта цифровой трансформации к условиям Республики Узбекистан</w:t>
      </w:r>
      <w:bookmarkEnd w:id="12"/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Результаты эконометрического анализа из параграфа 2.3 и сравнительный анализ четырёх стран-лидеров позволяют перейти к оценке того, какой международный опыт может быть адаптирован к условиям Узбекистана. В этом параграфе адаптация понимается не как прямое копирование отдельных инструментов, а как выборочное использование институциональных решений с учётом стартовых условий национальной экономики рассмотренных в параграфе 3.1.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Отправной точкой является результат из §2.3: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статистически значимые различия между развитыми, переходными и развивающимися экономиками. Узбекистан, согласно классификации Всемирного банка </w:t>
      </w:r>
      <w:r w:rsidRPr="000E5726">
        <w:rPr>
          <w:rFonts w:ascii="Times New Roman" w:hAnsi="Times New Roman" w:cs="Times New Roman"/>
          <w:sz w:val="28"/>
          <w:szCs w:val="28"/>
        </w:rPr>
        <w:t>lower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middle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income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методологии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относится к группе развивающихся экономик, включающей 11 стран и 144 наблюдения. В этой группе коэффициент при основном регрессоре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 - это показывает положительную связь между интернет-проникновением и ВВП на душу населения: рост доли интернет-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пользователей на 1% ассоциируется с увеличением ВВП на душу населения примерно на 0,20%.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Однако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оказались статистически незначимыми: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Это означает что при текущем уровне цифровой зрелости Узбекистана цифровые технологии поддерживают рост в обычных условиях, но пока не дают устойчивого буферного эффекта при внешних шоках. </w:t>
      </w:r>
      <w:r w:rsidR="00050ED2" w:rsidRPr="00050ED2">
        <w:rPr>
          <w:rFonts w:ascii="Times New Roman" w:hAnsi="Times New Roman" w:cs="Times New Roman"/>
          <w:sz w:val="28"/>
          <w:szCs w:val="28"/>
          <w:lang w:val="ru-RU"/>
        </w:rPr>
        <w:t>Узбекистану поэтому нужно не только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расширении цифрового доступа, но и в превращении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полноценный инструмент антикризисной устойчивости.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экономиках (22 страны, 330 наблюдений)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статистически значимым.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составил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β = 0,394 (p = 0,003), 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- β = 0,394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странах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не только функцию фактора роста, но и роль макроэкономического стабилизатора в период внешних шоков. Для Узбекистана этот результат задаёт стратегический ориентир: нужно достичь такого уровня цифровой зрелости при котором цифровые технологии смогу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т смягчать не только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транзакцио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ограничения, но и кризисные колебания экономической активности. Графическое сопоставление кризисных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группам стран представлено на рисунке 3.1.</w:t>
      </w:r>
    </w:p>
    <w:p w:rsidR="00C91D9E" w:rsidRPr="000E5726" w:rsidRDefault="00C91D9E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A52382" wp14:editId="3E500BEB">
            <wp:extent cx="6151880" cy="3290865"/>
            <wp:effectExtent l="0" t="0" r="127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10991"/>
                    <a:stretch/>
                  </pic:blipFill>
                  <pic:spPr bwMode="auto">
                    <a:xfrm>
                      <a:off x="0" y="0"/>
                      <a:ext cx="6151880" cy="3290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3E5E9F" w:rsidRDefault="00C02A16" w:rsidP="00C91D9E">
      <w:pPr>
        <w:tabs>
          <w:tab w:val="left" w:pos="2977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Рисунок 3.1 - Дифференциальная эластичность </w:t>
      </w:r>
      <w:proofErr w:type="spellStart"/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цифровизации</w:t>
      </w:r>
      <w:proofErr w:type="spellEnd"/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 кризисные периоды по группам стран</w:t>
      </w:r>
    </w:p>
    <w:p w:rsidR="00C02A16" w:rsidRPr="003E5E9F" w:rsidRDefault="00C02A16" w:rsidP="00C91D9E">
      <w:pPr>
        <w:tabs>
          <w:tab w:val="left" w:pos="2977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моделей цифровой трансформации из §2.1 позволяет выделить элементы международного опыта полезные для Узбекистана. Эстонская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особый интерес, поскольку обеспечивает защищённый обмен данными между государственными органами и частным сектором, усиливая канал фискальной трансмиссии и с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нижая административные издержки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Дополнительным преимуществом является открытая архитектура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снижает барьеры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технологического заимствования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Вместе с тем прямое копирование эстонской модели невозможно из-за разницы в масштабе. Население Эстонии составляет около 1,3 млн человек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тогда как населени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Узбекистана превышает 36 мл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7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для Узбекистана важен не буквальный перенос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а адаптация её ключевых принципов -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защищённого обмена данными, открытой архитектуры и масштабируемости цифровой инфраструктуры. Более широкие различия между группами стран по уровню экономического 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азвития и интернет-проникновение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представлены на рисунке 3.2.</w:t>
      </w:r>
    </w:p>
    <w:p w:rsidR="00C91D9E" w:rsidRPr="000E5726" w:rsidRDefault="00C91D9E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E5FA1C" wp14:editId="54B8BF70">
            <wp:extent cx="6151880" cy="2895936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8554"/>
                    <a:stretch/>
                  </pic:blipFill>
                  <pic:spPr bwMode="auto">
                    <a:xfrm>
                      <a:off x="0" y="0"/>
                      <a:ext cx="6151880" cy="2895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3E5E9F" w:rsidRDefault="00C02A16" w:rsidP="00C91D9E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Рисунок 3.2 - Динамика </w:t>
      </w:r>
      <w:r w:rsidRPr="003E5E9F">
        <w:rPr>
          <w:rFonts w:ascii="Times New Roman" w:hAnsi="Times New Roman" w:cs="Times New Roman"/>
          <w:b/>
          <w:sz w:val="24"/>
          <w:szCs w:val="24"/>
        </w:rPr>
        <w:t>ln</w:t>
      </w: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spellStart"/>
      <w:r w:rsidRPr="003E5E9F">
        <w:rPr>
          <w:rFonts w:ascii="Times New Roman" w:hAnsi="Times New Roman" w:cs="Times New Roman"/>
          <w:b/>
          <w:sz w:val="24"/>
          <w:szCs w:val="24"/>
        </w:rPr>
        <w:t>GDPpc</w:t>
      </w:r>
      <w:proofErr w:type="spellEnd"/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 и </w:t>
      </w:r>
      <w:r w:rsidRPr="003E5E9F">
        <w:rPr>
          <w:rFonts w:ascii="Times New Roman" w:hAnsi="Times New Roman" w:cs="Times New Roman"/>
          <w:b/>
          <w:sz w:val="24"/>
          <w:szCs w:val="24"/>
        </w:rPr>
        <w:t>ln</w:t>
      </w:r>
      <w:r w:rsidRPr="003E5E9F">
        <w:rPr>
          <w:rFonts w:ascii="Times New Roman" w:hAnsi="Times New Roman" w:cs="Times New Roman"/>
          <w:b/>
          <w:sz w:val="24"/>
          <w:szCs w:val="24"/>
          <w:lang w:val="ru-RU"/>
        </w:rPr>
        <w:t>(интернет-проникновения) по группам стран за 2010-2024 годы</w:t>
      </w:r>
    </w:p>
    <w:p w:rsidR="00C02A16" w:rsidRPr="003E5E9F" w:rsidRDefault="00C02A16" w:rsidP="00C91D9E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3E5E9F">
        <w:rPr>
          <w:rFonts w:ascii="Times New Roman" w:hAnsi="Times New Roman" w:cs="Times New Roman"/>
          <w:i/>
          <w:sz w:val="24"/>
          <w:szCs w:val="24"/>
        </w:rPr>
        <w:t>R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3E5E9F">
        <w:rPr>
          <w:rFonts w:ascii="Times New Roman" w:hAnsi="Times New Roman" w:cs="Times New Roman"/>
          <w:i/>
          <w:sz w:val="24"/>
          <w:szCs w:val="24"/>
        </w:rPr>
        <w:t>Studio</w:t>
      </w:r>
      <w:r w:rsidRPr="003E5E9F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Корейская модель масштабного государственного инвестирования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релевантна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Узбекистана прежде всего с точки зр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ения институционального дизайна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8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Опыт Республики Корея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включение цифровых проектов в антикризисные бюджетные программы позволяет одноврем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енно поддерживать восстановления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создавать основу для долгоср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очной устойчивости. Но,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прямое воспроизведение корейской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модели ограничено масштабом финансирования: объём средств на развитие ведущих цифровых технологий составил 10,1 трлн вон, или около 8,5 млрд долларов США. Поэто</w:t>
      </w:r>
      <w:r w:rsidR="00050ED2">
        <w:rPr>
          <w:rFonts w:ascii="Times New Roman" w:hAnsi="Times New Roman" w:cs="Times New Roman"/>
          <w:sz w:val="28"/>
          <w:szCs w:val="28"/>
          <w:lang w:val="ru-RU"/>
        </w:rPr>
        <w:t>му для Узбекистана лучше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заимствовать не м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асштаб расходов, а сам принцип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привязку программ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бюджетным циклам.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Польская модель имеет значение для Узбекистана в контексте преодоления асимметрии цифровой зрелости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выявленной в §3.1. Её ключевой урок в том что развитие цифрового государства должно сопровождаться целевыми мерами 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ции</w:t>
      </w:r>
      <w:proofErr w:type="spellEnd"/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малого и среднего бизнеса 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иначе возникает разрыв между государственными сервисами и частным сектором. В условиях Узбекис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тана такую функцию могут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выполне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программы Азиатского банка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Европейского банка реконструкции и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Всемирного банка, уже участвующие в финансировании проектов цифровой инфраструктуры.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Сингапурская модель наименее пригодна для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прямого переноса в Узбекистан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Сингапур является городом-государством площадью 728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тогда как Узбекистан занимает 448 тыс.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имеет выраженную региональную дисперсию. Вместе с тем отдельны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е элементы сингапурского опыта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прежде всего система цифровой идентификации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SingPass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механизмы адресной фискально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й помощи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черезз</w:t>
      </w:r>
      <w:proofErr w:type="spellEnd"/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 цифровые каналы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могут быть адаптированы для крупных городов Узбекистана, включая Ташкент, Самарканд и Бухару.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E23D01" w:rsidRPr="00CA034D" w:rsidRDefault="00C02A16" w:rsidP="00CA03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Синтез сравнительного и эконометрического анализа позволяет </w:t>
      </w:r>
      <w:r w:rsidR="003B484D" w:rsidRPr="003B484D">
        <w:rPr>
          <w:rFonts w:ascii="Times New Roman" w:hAnsi="Times New Roman" w:cs="Times New Roman"/>
          <w:sz w:val="28"/>
          <w:szCs w:val="28"/>
          <w:lang w:val="ru-RU"/>
        </w:rPr>
        <w:t>обозначить главное направление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Узбекистана приоритетом должна стать не формальная максимизация композитных индексов цифровой зрелости, а развитие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инфраструктур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ы канала фискальной трансмиссии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системы цифровой идентификации, интегрированных межведомственных баз 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данных и цифровых платежей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3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Именно этот канал, как показано в §2.2, обеспечил высокую скорость развёртывания антикризисных программ в Сингапуре и Республике Ко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рея в период пандемии 2020 года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4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X-</w:t>
      </w:r>
      <w:proofErr w:type="spellStart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обрабатывает 2,2 млрд транза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>кций в год для 1,3 млн человек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это 1700 на человека. Если масштаб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>ировать на Узбекистан с 36 млн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потребуется система способная держать 61 млрд транзакций. 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Задача </w:t>
      </w:r>
      <w:proofErr w:type="gramStart"/>
      <w:r w:rsidR="00D6223A">
        <w:rPr>
          <w:rFonts w:ascii="Times New Roman" w:hAnsi="Times New Roman" w:cs="Times New Roman"/>
          <w:sz w:val="28"/>
          <w:szCs w:val="28"/>
          <w:lang w:val="ru-RU"/>
        </w:rPr>
        <w:t>амбициозная</w:t>
      </w:r>
      <w:proofErr w:type="gramEnd"/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но решаемая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Эстония начинала с нуля в 2001 году.</w:t>
      </w:r>
    </w:p>
    <w:p w:rsidR="00C02A16" w:rsidRPr="00CA034D" w:rsidRDefault="00C02A16" w:rsidP="00CA034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3" w:name="_Toc231804955"/>
      <w:r w:rsidRPr="00EB028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 Практические рекомендации по укреплению цифровой устойчивости экономики Республики Узбекистан и оценка ожидаемого эффекта</w:t>
      </w:r>
      <w:bookmarkEnd w:id="13"/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Практические рекомендации этого параграфа опираются на три результата полученные в ходе исследования. Во-первых, в группе развивающихся экономик выявлена статистически значимая положительная связь между интернет-проникновением и ВВП на душу населения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Во-вторых, в этой же группе не подтверждён самостоятельный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В-третьих, такой эффект выявлен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0,003). Поэтому рекомендации имеют двухуровневую логику: первый уровень - усиление прямого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как фактора роста, </w:t>
      </w:r>
      <w:proofErr w:type="gramStart"/>
      <w:r w:rsidR="00F74968">
        <w:rPr>
          <w:rFonts w:ascii="Times New Roman" w:hAnsi="Times New Roman" w:cs="Times New Roman"/>
          <w:sz w:val="28"/>
          <w:szCs w:val="28"/>
          <w:lang w:val="ru-RU"/>
        </w:rPr>
        <w:t>второй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создание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институциональных условий для перехода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функции макроэкономического стабилизатора.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Первая рекомендация - дальнейшее расширение интернет-проникновения как о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сновного показателя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цифровизаций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использованного в модели. По данным Международного союза эле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>ктросвязи, уровень проникновение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Узбекистане в</w:t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 xml:space="preserve"> 2023 году достиг 89% населения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5"/>
      </w:r>
      <w:r w:rsidR="003020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Прогнозный сценарий на основе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="00F74968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</w:t>
      </w:r>
      <w:proofErr w:type="spellStart"/>
      <w:r w:rsidR="00F74968">
        <w:rPr>
          <w:rFonts w:ascii="Times New Roman" w:hAnsi="Times New Roman" w:cs="Times New Roman"/>
          <w:sz w:val="28"/>
          <w:szCs w:val="28"/>
          <w:lang w:val="ru-RU"/>
        </w:rPr>
        <w:t>разв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вающихся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 показывает количественный эффект дальнейшего роста: при достижении уровня интернет-проникновения 90% прогнозный ВВП на душу населения составит примерно 3 653 доллара США в постоянных ценах 20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15 года, а при достижении 95%</w:t>
      </w:r>
      <w:r w:rsidR="00386D9A">
        <w:rPr>
          <w:rFonts w:ascii="Times New Roman" w:hAnsi="Times New Roman" w:cs="Times New Roman"/>
          <w:sz w:val="28"/>
          <w:szCs w:val="28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около 3 693 долларов США. Соответствующий сценарий представлен на рисунке 3.3.</w:t>
      </w:r>
    </w:p>
    <w:p w:rsidR="00C91D9E" w:rsidRPr="000E5726" w:rsidRDefault="00C91D9E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51F87" wp14:editId="49E750D7">
            <wp:extent cx="6151880" cy="3266103"/>
            <wp:effectExtent l="0" t="0" r="127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11676"/>
                    <a:stretch/>
                  </pic:blipFill>
                  <pic:spPr bwMode="auto">
                    <a:xfrm>
                      <a:off x="0" y="0"/>
                      <a:ext cx="6151880" cy="3266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EB0285" w:rsidRDefault="00386D9A" w:rsidP="00C91D9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b/>
          <w:sz w:val="24"/>
          <w:szCs w:val="24"/>
          <w:lang w:val="ru-RU"/>
        </w:rPr>
        <w:t>Рисунок</w:t>
      </w:r>
      <w:r w:rsidRPr="00EB0285">
        <w:rPr>
          <w:rFonts w:ascii="Times New Roman" w:hAnsi="Times New Roman" w:cs="Times New Roman"/>
          <w:b/>
          <w:sz w:val="24"/>
          <w:szCs w:val="24"/>
        </w:rPr>
        <w:t> </w:t>
      </w:r>
      <w:r w:rsidRPr="00EB0285">
        <w:rPr>
          <w:rFonts w:ascii="Times New Roman" w:hAnsi="Times New Roman" w:cs="Times New Roman"/>
          <w:b/>
          <w:sz w:val="24"/>
          <w:szCs w:val="24"/>
          <w:lang w:val="ru-RU"/>
        </w:rPr>
        <w:t>3.3</w:t>
      </w:r>
      <w:r w:rsidRPr="00EB0285">
        <w:rPr>
          <w:rFonts w:ascii="Times New Roman" w:hAnsi="Times New Roman" w:cs="Times New Roman"/>
          <w:b/>
          <w:sz w:val="24"/>
          <w:szCs w:val="24"/>
        </w:rPr>
        <w:t> </w:t>
      </w:r>
      <w:r w:rsidRPr="00EB0285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EB0285">
        <w:rPr>
          <w:rFonts w:ascii="Times New Roman" w:hAnsi="Times New Roman" w:cs="Times New Roman"/>
          <w:b/>
          <w:sz w:val="24"/>
          <w:szCs w:val="24"/>
        </w:rPr>
        <w:t> </w:t>
      </w:r>
      <w:r w:rsidR="00C02A16" w:rsidRPr="00EB0285">
        <w:rPr>
          <w:rFonts w:ascii="Times New Roman" w:hAnsi="Times New Roman" w:cs="Times New Roman"/>
          <w:b/>
          <w:sz w:val="24"/>
          <w:szCs w:val="24"/>
          <w:lang w:val="ru-RU"/>
        </w:rPr>
        <w:t>Прогнозный сценарий ВВП на душу населения для Узбекистана при росте интернет-проникновения</w:t>
      </w:r>
    </w:p>
    <w:p w:rsidR="00EB0285" w:rsidRPr="00EB0285" w:rsidRDefault="00C02A16" w:rsidP="00CA034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proofErr w:type="spellStart"/>
      <w:r w:rsidRPr="00EB0285">
        <w:rPr>
          <w:rFonts w:ascii="Times New Roman" w:hAnsi="Times New Roman" w:cs="Times New Roman"/>
          <w:i/>
          <w:sz w:val="24"/>
          <w:szCs w:val="24"/>
        </w:rPr>
        <w:t>RStudio</w:t>
      </w:r>
      <w:proofErr w:type="spellEnd"/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Сопоставление с базовым модельным уровнем 3 569 долларов при 80-процентном интернет-проникновении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дальнейшее расширение цифрового доступа может дать прирост порядка 84-124 долларов на душу населения. При численности населения свыше 36 млн человек это соответствует совокупному макроэкономическому эффекту примерно 3,0-4,5 м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лрд долларов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США. При этом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допо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нительный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эффект перехода от 90% к 95% интернет-проникновения составляет около 40 долларов США на душу населения, или примерно 1,4 млрд долларов США в масштабе экономики. Эти оценки условны и основ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аны </w:t>
      </w:r>
      <w:proofErr w:type="gramStart"/>
      <w:r w:rsidR="00386D9A">
        <w:rPr>
          <w:rFonts w:ascii="Times New Roman" w:hAnsi="Times New Roman" w:cs="Times New Roman"/>
          <w:sz w:val="28"/>
          <w:szCs w:val="28"/>
          <w:lang w:val="ru-RU"/>
        </w:rPr>
        <w:t>на предположений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более точная оценка доверительных интервалов для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-прогнозов требует </w:t>
      </w:r>
      <w:r w:rsidRPr="000E5726">
        <w:rPr>
          <w:rFonts w:ascii="Times New Roman" w:hAnsi="Times New Roman" w:cs="Times New Roman"/>
          <w:sz w:val="28"/>
          <w:szCs w:val="28"/>
        </w:rPr>
        <w:t>bootstrap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-процедуры, что выходит за рамки этой работы. Детальные прогнозные значения по го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дам представлены в таблице 3.1.</w:t>
      </w:r>
    </w:p>
    <w:p w:rsidR="00C91D9E" w:rsidRPr="000E5726" w:rsidRDefault="00C91D9E" w:rsidP="00DC07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1516EE" wp14:editId="261D8599">
            <wp:extent cx="6151880" cy="1689561"/>
            <wp:effectExtent l="0" t="0" r="127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4919"/>
                    <a:stretch/>
                  </pic:blipFill>
                  <pic:spPr bwMode="auto">
                    <a:xfrm>
                      <a:off x="0" y="0"/>
                      <a:ext cx="6151880" cy="1689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EB0285" w:rsidRDefault="00386D9A" w:rsidP="00C91D9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b/>
          <w:sz w:val="24"/>
          <w:szCs w:val="24"/>
          <w:lang w:val="ru-RU"/>
        </w:rPr>
        <w:t>Таблица 3.1 - </w:t>
      </w:r>
      <w:r w:rsidR="00C02A16" w:rsidRPr="00EB0285">
        <w:rPr>
          <w:rFonts w:ascii="Times New Roman" w:hAnsi="Times New Roman" w:cs="Times New Roman"/>
          <w:b/>
          <w:sz w:val="24"/>
          <w:szCs w:val="24"/>
          <w:lang w:val="ru-RU"/>
        </w:rPr>
        <w:t>Прогноз ВВП на душу населения для Узбекистана на 2025-2030 годы (</w:t>
      </w:r>
      <w:r w:rsidR="00C02A16" w:rsidRPr="00EB0285">
        <w:rPr>
          <w:rFonts w:ascii="Times New Roman" w:hAnsi="Times New Roman" w:cs="Times New Roman"/>
          <w:b/>
          <w:sz w:val="24"/>
          <w:szCs w:val="24"/>
        </w:rPr>
        <w:t>FE</w:t>
      </w:r>
      <w:r w:rsidR="00C02A16" w:rsidRPr="00EB0285">
        <w:rPr>
          <w:rFonts w:ascii="Times New Roman" w:hAnsi="Times New Roman" w:cs="Times New Roman"/>
          <w:b/>
          <w:sz w:val="24"/>
          <w:szCs w:val="24"/>
          <w:lang w:val="ru-RU"/>
        </w:rPr>
        <w:t xml:space="preserve">-модель, </w:t>
      </w:r>
      <w:r w:rsidR="00C02A16" w:rsidRPr="00EB0285">
        <w:rPr>
          <w:rFonts w:ascii="Times New Roman" w:hAnsi="Times New Roman" w:cs="Times New Roman"/>
          <w:b/>
          <w:sz w:val="24"/>
          <w:szCs w:val="24"/>
        </w:rPr>
        <w:t>ceteris</w:t>
      </w:r>
      <w:r w:rsidR="00C02A16" w:rsidRPr="00EB028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C02A16" w:rsidRPr="00EB0285">
        <w:rPr>
          <w:rFonts w:ascii="Times New Roman" w:hAnsi="Times New Roman" w:cs="Times New Roman"/>
          <w:b/>
          <w:sz w:val="24"/>
          <w:szCs w:val="24"/>
        </w:rPr>
        <w:t>paribus</w:t>
      </w:r>
      <w:r w:rsidR="00C02A16" w:rsidRPr="00EB0285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</w:p>
    <w:p w:rsidR="00C02A16" w:rsidRPr="00EB0285" w:rsidRDefault="00C02A16" w:rsidP="00C91D9E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 xml:space="preserve">Источник: составлено автором на основе результатов эконометрического моделирования в </w:t>
      </w:r>
      <w:r w:rsidRPr="00EB0285">
        <w:rPr>
          <w:rFonts w:ascii="Times New Roman" w:hAnsi="Times New Roman" w:cs="Times New Roman"/>
          <w:i/>
          <w:sz w:val="24"/>
          <w:szCs w:val="24"/>
        </w:rPr>
        <w:t>R</w:t>
      </w:r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EB0285">
        <w:rPr>
          <w:rFonts w:ascii="Times New Roman" w:hAnsi="Times New Roman" w:cs="Times New Roman"/>
          <w:i/>
          <w:sz w:val="24"/>
          <w:szCs w:val="24"/>
        </w:rPr>
        <w:t>Studio</w:t>
      </w:r>
      <w:r w:rsidR="00E872C1" w:rsidRPr="00EB0285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Default="00386D9A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Сравнение тре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х сценариев роста интернет-проникновения и связанной с ними динамик</w:t>
      </w:r>
      <w:r>
        <w:rPr>
          <w:rFonts w:ascii="Times New Roman" w:hAnsi="Times New Roman" w:cs="Times New Roman"/>
          <w:sz w:val="28"/>
          <w:szCs w:val="28"/>
          <w:lang w:val="ru-RU"/>
        </w:rPr>
        <w:t>и ВВП на душу население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на рисунке 3.4.</w:t>
      </w:r>
    </w:p>
    <w:p w:rsidR="00C91D9E" w:rsidRPr="000E5726" w:rsidRDefault="00C91D9E" w:rsidP="00DC0760">
      <w:pPr>
        <w:spacing w:after="0" w:line="360" w:lineRule="auto"/>
        <w:ind w:firstLine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B0FF4" wp14:editId="38BFE785">
            <wp:extent cx="6151880" cy="2732758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12709"/>
                    <a:stretch/>
                  </pic:blipFill>
                  <pic:spPr bwMode="auto">
                    <a:xfrm>
                      <a:off x="0" y="0"/>
                      <a:ext cx="6151880" cy="2732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1D9E" w:rsidRPr="00EB0285" w:rsidRDefault="00C02A16" w:rsidP="00C91D9E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>Рисунок 3.4 - Прогноз ВВП на душу населения для Узбекистана по трём сценариям на 2025-2030 годы</w:t>
      </w:r>
    </w:p>
    <w:p w:rsidR="00C02A16" w:rsidRPr="00EB0285" w:rsidRDefault="00C02A16" w:rsidP="00C91D9E">
      <w:pPr>
        <w:tabs>
          <w:tab w:val="left" w:pos="2835"/>
        </w:tabs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  <w:lang w:val="ru-RU"/>
        </w:rPr>
      </w:pPr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>Источник: составлено автором на основе результатов</w:t>
      </w:r>
      <w:r w:rsidR="00386D9A" w:rsidRPr="00EB0285">
        <w:rPr>
          <w:rFonts w:ascii="Times New Roman" w:hAnsi="Times New Roman" w:cs="Times New Roman"/>
          <w:i/>
          <w:sz w:val="24"/>
          <w:szCs w:val="24"/>
          <w:lang w:val="ru-RU"/>
        </w:rPr>
        <w:t xml:space="preserve"> эконометрического моделирование</w:t>
      </w:r>
      <w:r w:rsidRPr="00EB0285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в </w:t>
      </w:r>
      <w:proofErr w:type="spellStart"/>
      <w:r w:rsidRPr="00EB0285">
        <w:rPr>
          <w:rFonts w:ascii="Times New Roman" w:hAnsi="Times New Roman" w:cs="Times New Roman"/>
          <w:i/>
          <w:sz w:val="24"/>
          <w:szCs w:val="24"/>
        </w:rPr>
        <w:t>RStudio</w:t>
      </w:r>
      <w:proofErr w:type="spellEnd"/>
      <w:r w:rsidR="00E872C1" w:rsidRPr="00EB0285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Вторая реком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ендация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преодоление асимметрии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цифровой зрелости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выявленной в §3.1, то есть разрыва между развитием государственных цифровых сервисов и более ограниченной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сектора. Эконометрический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 группе развивающихся экономик экспорт высокотехнологичных товаров пока не является статистически значимым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-0,0013;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0,835), тогда как в группе развитых стран его вклад положителен и значим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0,0067;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0,027). Это указывает на то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в Узбекистане пока не достигла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уровня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котором она транслируется в структурную диверсификацию э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кспорта. В практическом плане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комендуется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расширение программ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направлении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лей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текстильной промышленности, агропромышл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енного комплекса,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горнодобычи</w:t>
      </w:r>
      <w:proofErr w:type="spellEnd"/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а не только экспорт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но-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ориентирован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ого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ИТ-сектора.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Третья рекомендация касается развития инфраструктуры канала фискальной трансмиссии. Как показал анализ параграфа 2.2, антикризисная скорость Сингапура и Республики Корея в 2020 году определялась не столько общим масштабом цифровой экономики, сколько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наличием трёх базовых элементов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системы цифровой идентификаци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и, интегрированных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межведомстве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баз данных и инфраструктуры мгновенных цифровых платежей. В Узбекистане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первый элемент уже формируется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второй находится на ранней стадии; третий демонстрирует быстрый рост: объём </w:t>
      </w:r>
      <w:r w:rsidRPr="000E5726">
        <w:rPr>
          <w:rFonts w:ascii="Times New Roman" w:hAnsi="Times New Roman" w:cs="Times New Roman"/>
          <w:sz w:val="28"/>
          <w:szCs w:val="28"/>
        </w:rPr>
        <w:lastRenderedPageBreak/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-транзакций увеличивался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на 119% в год в 2020-2022 годах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7"/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. Рекомендуется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ускореннуе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завершение интеграции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 по модели эстонской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создаст технологическую основу для адресного и быстрого развёртывания антикризисных прог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рамм при будущих внешних шоках.</w:t>
      </w:r>
    </w:p>
    <w:p w:rsidR="00C02A16" w:rsidRPr="000E5726" w:rsidRDefault="00386D9A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Четвёртая рекомендация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учёт типа кризиса при проектировании цифровой устойчивости. Эконометрический анализ показал различие между двумя видами шоков: при пандемии </w:t>
      </w:r>
      <w:r w:rsidR="00C02A16" w:rsidRPr="000E5726">
        <w:rPr>
          <w:rFonts w:ascii="Times New Roman" w:hAnsi="Times New Roman" w:cs="Times New Roman"/>
          <w:sz w:val="28"/>
          <w:szCs w:val="28"/>
        </w:rPr>
        <w:t>COVID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-19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дала статистически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значимый буферный эффект в группе развитых стран (</w:t>
      </w:r>
      <w:r w:rsidR="00C02A16" w:rsidRPr="000E5726">
        <w:rPr>
          <w:rFonts w:ascii="Times New Roman" w:hAnsi="Times New Roman" w:cs="Times New Roman"/>
          <w:sz w:val="28"/>
          <w:szCs w:val="28"/>
        </w:rPr>
        <w:t>p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тогда как при геополитическом кризисе 2022 года её эффект оказался менее универсальным. Для группы переходных экономик коэффициент </w:t>
      </w:r>
      <w:r w:rsidR="00C02A16" w:rsidRPr="000E5726">
        <w:rPr>
          <w:rFonts w:ascii="Times New Roman" w:hAnsi="Times New Roman" w:cs="Times New Roman"/>
          <w:sz w:val="28"/>
          <w:szCs w:val="28"/>
        </w:rPr>
        <w:t>interaction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2A16" w:rsidRPr="000E5726">
        <w:rPr>
          <w:rFonts w:ascii="Times New Roman" w:hAnsi="Times New Roman" w:cs="Times New Roman"/>
          <w:sz w:val="28"/>
          <w:szCs w:val="28"/>
        </w:rPr>
        <w:t>term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геополитическом кризисе отрицателен, но статистически незначим (</w:t>
      </w:r>
      <w:r w:rsidR="00C02A16" w:rsidRPr="000E5726">
        <w:rPr>
          <w:rFonts w:ascii="Times New Roman" w:hAnsi="Times New Roman" w:cs="Times New Roman"/>
          <w:sz w:val="28"/>
          <w:szCs w:val="28"/>
        </w:rPr>
        <w:t>β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-0,1252; </w:t>
      </w:r>
      <w:r w:rsidR="00C02A16" w:rsidRPr="000E5726">
        <w:rPr>
          <w:rFonts w:ascii="Times New Roman" w:hAnsi="Times New Roman" w:cs="Times New Roman"/>
          <w:sz w:val="28"/>
          <w:szCs w:val="28"/>
        </w:rPr>
        <w:t>p</w:t>
      </w:r>
      <w:r w:rsidR="00C91D9E">
        <w:rPr>
          <w:rFonts w:ascii="Times New Roman" w:hAnsi="Times New Roman" w:cs="Times New Roman"/>
          <w:sz w:val="28"/>
          <w:szCs w:val="28"/>
          <w:lang w:val="ru-RU"/>
        </w:rPr>
        <w:t> = </w:t>
      </w:r>
      <w:r>
        <w:rPr>
          <w:rFonts w:ascii="Times New Roman" w:hAnsi="Times New Roman" w:cs="Times New Roman"/>
          <w:sz w:val="28"/>
          <w:szCs w:val="28"/>
          <w:lang w:val="ru-RU"/>
        </w:rPr>
        <w:t>0,456)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отражает ограниченную способность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компенсировать потери от разрыва торговых и энергетических цепочек. Для Узбекистана это означает что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прежде всего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инструмент противодействия шокам мобильнос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 и информационной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ассиметрии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пандемиям, логистическим сбоям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административным ограничениям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но не как замену политике энергетической безопасности и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  <w:lang w:val="ru-RU"/>
        </w:rPr>
        <w:t>иверсификаций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внешней торговли.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Пятая рекомендация связана с ограничением статистической мощности модели для группы развивающихся экономик. В этой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использовались 144 наблюдения что снижает вероятность выявления слабых эффектов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кризисные периоды. Поэтому незначимость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может </w:t>
      </w:r>
      <w:proofErr w:type="spellStart"/>
      <w:r w:rsidR="00386D9A">
        <w:rPr>
          <w:rFonts w:ascii="Times New Roman" w:hAnsi="Times New Roman" w:cs="Times New Roman"/>
          <w:sz w:val="28"/>
          <w:szCs w:val="28"/>
          <w:lang w:val="ru-RU"/>
        </w:rPr>
        <w:t>об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ясняться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отсутствием антикризисног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>о эффекта, но и ограниченным объе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мом данных. В связи с этим рекомендуется организация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систематического мониторинга показателей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экономической устойчивости Узбекистана в рамках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 Стратегии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периодической повторной оценкой эконометрической модели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мере накопления данных. Включение Узбекистана в международные панельные базы 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повысит сопоставимость результатов и позволит 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намного точно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отслеживать его сближение с группой переходных экономик, где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рост выражен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 более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сильнее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E872C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Обобщение 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тех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пяти рекомендаций позволяет определить последовательность приоритетов. На </w:t>
      </w:r>
      <w:r w:rsidR="00386D9A">
        <w:rPr>
          <w:rFonts w:ascii="Times New Roman" w:hAnsi="Times New Roman" w:cs="Times New Roman"/>
          <w:sz w:val="28"/>
          <w:szCs w:val="28"/>
          <w:lang w:val="ru-RU"/>
        </w:rPr>
        <w:t xml:space="preserve">первом этапе (2025-2027 </w:t>
      </w:r>
      <w:proofErr w:type="gramStart"/>
      <w:r w:rsidR="00386D9A">
        <w:rPr>
          <w:rFonts w:ascii="Times New Roman" w:hAnsi="Times New Roman" w:cs="Times New Roman"/>
          <w:sz w:val="28"/>
          <w:szCs w:val="28"/>
          <w:lang w:val="ru-RU"/>
        </w:rPr>
        <w:t>годы)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завершить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формирование инфрас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труктуры фискальной трансмиссии,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интегрировать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данных, расширить инфраструктуру цифровых платежей и довести интернет-проникновение до 90%. На втором этапе (2027-2030 годы) основное внимание должно быть направлено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ого сектора и сокращение разрывов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между государст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венными онлайн-сервисами и </w:t>
      </w:r>
      <w:proofErr w:type="spellStart"/>
      <w:r w:rsidR="00114396">
        <w:rPr>
          <w:rFonts w:ascii="Times New Roman" w:hAnsi="Times New Roman" w:cs="Times New Roman"/>
          <w:sz w:val="28"/>
          <w:szCs w:val="28"/>
          <w:lang w:val="ru-RU"/>
        </w:rPr>
        <w:t>цифру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вой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зрелостью предприятий через целевые программы для малого и среднего бизнеса. На третьем эта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пе, после 2030 года, приоритет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достижение такого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функцию макроэкономического стабилизатора аналогичную выявленной в группе развиты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х стран. Указанная </w:t>
      </w:r>
      <w:proofErr w:type="spellStart"/>
      <w:r w:rsidR="00114396">
        <w:rPr>
          <w:rFonts w:ascii="Times New Roman" w:hAnsi="Times New Roman" w:cs="Times New Roman"/>
          <w:sz w:val="28"/>
          <w:szCs w:val="28"/>
          <w:lang w:val="ru-RU"/>
        </w:rPr>
        <w:t>последовател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согласуется с целевыми показателями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опирается на количественные результаты настоящего исследования.</w:t>
      </w:r>
      <w:r w:rsidR="00D6223A" w:rsidRPr="00D6223A">
        <w:t xml:space="preserve"> 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Три этапа 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>025-2027, 2027-2030, после 2030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это не просто красивая схема. За каждым этапом стоит конкретный порог: 90% интернет-проникновения, 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работающий </w:t>
      </w:r>
      <w:proofErr w:type="spellStart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MyID</w:t>
      </w:r>
      <w:proofErr w:type="spell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частного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сектора. Пропустишь один </w:t>
      </w:r>
      <w:proofErr w:type="gramStart"/>
      <w:r w:rsidR="00D6223A">
        <w:rPr>
          <w:rFonts w:ascii="Times New Roman" w:hAnsi="Times New Roman" w:cs="Times New Roman"/>
          <w:sz w:val="28"/>
          <w:szCs w:val="28"/>
          <w:lang w:val="ru-RU"/>
        </w:rPr>
        <w:t>этап</w:t>
      </w:r>
      <w:proofErr w:type="gram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следующий не сработает.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третьей главе. Анализ цифровой трансформации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достигла заметного прогресса в развитии электронного правительства и базовой цифровой инфраструктуры.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 xml:space="preserve"> - 97%.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Для меня это неожиданно высокая цифр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 xml:space="preserve">ещё пять лет назад картина была совершенно другой. Прогресс </w:t>
      </w:r>
      <w:proofErr w:type="spellStart"/>
      <w:proofErr w:type="gramStart"/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реальный.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При</w:t>
      </w:r>
      <w:proofErr w:type="spellEnd"/>
      <w:proofErr w:type="gramEnd"/>
      <w:r w:rsidR="00737AF8">
        <w:rPr>
          <w:rFonts w:ascii="Times New Roman" w:hAnsi="Times New Roman" w:cs="Times New Roman"/>
          <w:sz w:val="28"/>
          <w:szCs w:val="28"/>
          <w:lang w:val="ru-RU"/>
        </w:rPr>
        <w:t xml:space="preserve"> этом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яется структурная асимметрия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активном развитии государственных цифровых сервисов доля услуг информации и св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язи в ВДС составляет лишь 2,4%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ниже среднего уровня стран ОЭСР. Сопоставление с результатами эконометрического анализа показывает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выступает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однако пока не достигла уровня при котором она выполняет функцию антикризисного стабилизатора. Для адаптации наиболее применимы: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корейская привязка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поддержка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 и сингапурские решения в сфере цифровой идентификации. Рекомендаци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и предполагают поэтапный подход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2025-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>2027 годах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межведомственной интеграции, цифровых платежей и доведение интернет-проникнов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ения до 90%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 в 2027-2030 годах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 и час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>тного сектора</w:t>
      </w:r>
      <w:r w:rsidR="00114396">
        <w:rPr>
          <w:rFonts w:ascii="Times New Roman" w:hAnsi="Times New Roman" w:cs="Times New Roman"/>
          <w:sz w:val="28"/>
          <w:szCs w:val="28"/>
          <w:lang w:val="ru-RU"/>
        </w:rPr>
        <w:t xml:space="preserve"> после 2030 года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функцию не только фактора роста, но и макроэкономического стабилизатора.</w:t>
      </w:r>
      <w:r w:rsidR="00737AF8">
        <w:rPr>
          <w:rFonts w:ascii="Times New Roman" w:hAnsi="Times New Roman" w:cs="Times New Roman"/>
          <w:sz w:val="28"/>
          <w:szCs w:val="28"/>
          <w:lang w:val="ru-RU"/>
        </w:rPr>
        <w:t xml:space="preserve"> Задача конкретная.</w:t>
      </w:r>
    </w:p>
    <w:p w:rsidR="00D32DBB" w:rsidRDefault="00D32DB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32DBB" w:rsidRDefault="00D32DB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32DBB" w:rsidRDefault="00D32DB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32DBB" w:rsidRPr="000E5726" w:rsidRDefault="00D32DBB" w:rsidP="00CA034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EB0285" w:rsidRDefault="00C02A16" w:rsidP="00EB0285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4" w:name="_Toc231804956"/>
      <w:r w:rsidRPr="00EB028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ЗАКЛЮЧЕНИЕ</w:t>
      </w:r>
      <w:bookmarkEnd w:id="14"/>
    </w:p>
    <w:p w:rsidR="00C02A16" w:rsidRPr="000E5726" w:rsidRDefault="003B484D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этой работе было изучено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теоретическое осмысление и эмпирическая проверка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связи между цифровой трансформацией национальных экономик и их устойчивостью к глобальным кризисным шокам. В работе рассматривался вопрос о </w:t>
      </w:r>
      <w:proofErr w:type="gram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что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является ли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значимым фактором экономической усто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>йчивости и при каких условиях ее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влияние проявляется наиболее заметно. Ответ был получен на основе сочетания теоретического анализа, сравнительного изучения международного опыта и эконометрического моделирования.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Теоретическая рамка первой главы опирается на подходы к экономической уязвимости и устойч</w:t>
      </w:r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ивости из работ Л. </w:t>
      </w:r>
      <w:proofErr w:type="spellStart"/>
      <w:r w:rsidR="006B77F0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="006B77F0">
        <w:rPr>
          <w:rFonts w:ascii="Times New Roman" w:hAnsi="Times New Roman" w:cs="Times New Roman"/>
          <w:sz w:val="28"/>
          <w:szCs w:val="28"/>
          <w:lang w:val="ru-RU"/>
        </w:rPr>
        <w:t xml:space="preserve"> и со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авторов, аналитические материалы ОЭСР, а также трактовки цифровой экономики Всемирного банка и других международных организаций.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экономик: непрерывность государствен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ных функций, фискальная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трансми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адаптация частного сектора, диверсификация конечного спроса и устойчивость информационно-коммуникационного сектора. Главный теоретический вывод первой главы в том что устойчивость экономики формируется не только в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момент кризиса, а заранее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через качество институтов, уровень инфраструктурного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развития,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цифровую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готовность и способность быстро адаптироваться к внешним шокам.</w:t>
      </w:r>
    </w:p>
    <w:p w:rsidR="00C02A16" w:rsidRPr="000E5726" w:rsidRDefault="00C02A16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Эстонии, Республики Корея, Сингапура и Польши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был связан с более мягкой реакцией экономик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пандемийный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2020 года. Цифровое государство, онлайн-сервисы, электронная идентификация, цифровые платежи и механизмы адресной поддержки позволили этим странам быстрее сохранять государственные функции, поддерживать бизнес и население, а также частично компенсировать ограничения физической мобильности. Вместе с тем кризис 2022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года выявил пределы этого эффекта: энергетические, ценовые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геополитические шоки не могут быть полностью нейтрализованы цифровыми технологиями даже при высоком уровне цифровой инфраструктуры. Эстония и Польша, несмот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ря на развитые цифровые сервисы,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столкнулись с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высоким инфляционным давлением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связанным с энергетическими и внешнеторговыми факторами. Это подтвердило необходимость раздельного учёта кризисов 2020 и 2022 годов в эконометрической модели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161822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="00161822">
        <w:rPr>
          <w:rFonts w:ascii="Times New Roman" w:hAnsi="Times New Roman" w:cs="Times New Roman"/>
          <w:sz w:val="28"/>
          <w:szCs w:val="28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3020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Основной эмпирический результат работы получен в §2.3 на несбалансированной панели 49 стран за 2010-2024 годы (707 наблюдений).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5,3377;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структурную неоднородность выборки и обосновал раздельный анализ трёх групп стран. Основная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₁ подтверждена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ически значим во всех группах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Вспомогательная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также получила подтверждение: антикризисный буферный эффект, выраженный через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статистически выявлен только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0,003;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В переходных и развивающихся экономиках аналогичные эффекты статистически не подтверждаются. 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имеет пороговый характер: цифровые технологии становятся полноценным антикризисным стабилизатором только при достижении высок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Применительно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Республике Узбекистан третья глава показала наличие асимметрии цифровой трансформации. С одной стороны, страна достигла заметного прогресса в развитии электронного правительства и базовой цифровой инфраструктуры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97% населения.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ставание по глубине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цифровизаци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сектора: доля услуг информации и связи в ВДС составляет 2,4%, что ниже среднего уровня стран ОЭСР. Эконометрические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развитий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поддерживает экономический рост: рост интернет-проникновения на 1% связан с увеличением ВВП на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душу население примерно на 0,2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% при прочих равных условиях.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Цифра небольшая на первый взгляд. Но если умножить на 36 миллионов</w:t>
      </w:r>
      <w:r w:rsidR="00F853EF">
        <w:rPr>
          <w:rFonts w:ascii="Times New Roman" w:hAnsi="Times New Roman" w:cs="Times New Roman"/>
          <w:sz w:val="28"/>
          <w:szCs w:val="28"/>
          <w:lang w:val="ru-RU"/>
        </w:rPr>
        <w:t xml:space="preserve"> жителей Узбекистана </w:t>
      </w:r>
      <w:r w:rsidR="00F853EF" w:rsidRPr="00F853EF">
        <w:rPr>
          <w:rFonts w:ascii="Times New Roman" w:hAnsi="Times New Roman" w:cs="Times New Roman"/>
          <w:sz w:val="28"/>
          <w:szCs w:val="28"/>
          <w:lang w:val="ru-RU"/>
        </w:rPr>
        <w:t>масштаб становится понятным.</w:t>
      </w:r>
      <w:r w:rsidR="00F853EF">
        <w:rPr>
          <w:rFonts w:ascii="Times New Roman" w:hAnsi="Times New Roman" w:cs="Times New Roman"/>
          <w:sz w:val="28"/>
          <w:szCs w:val="28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Однако антикризисная буферная функция для группы развивающихся экономик включая Узбекистан, пока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что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не идентифицируется. Прогнозный сценарий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дополнительный переход от 90% к 95% интернет-проникновения может быть связан с эффектом около 40 долларов США на душу населения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(ВВП на душу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насления</w:t>
      </w:r>
      <w:proofErr w:type="spellEnd"/>
      <w:r w:rsidR="0016182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или примерно 1,4 млрд долларов США в масштабе экономики.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Сформулированные практические рекомендации образуют поэтапную программу цифрового развития с горизонтом до 2030 года и после. На первом этап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е в 2025-2027 годах приоритет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развитие инфр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аструктуры фискальной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трансмисси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межведомственной интеграции, цифровых платежей и расширения интернет-проникновения. На втором этапе в 2027-2030 годах ключевая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задача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преодоление асимметрии цифровой зрелости через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отраслей, малого и среднего бизнеса, а также расширение использования цифровых технологий в частном секторе. После 2030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года стратегический ориентир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не только функцию фактора роста, но и функцию макроэкономического стабилизатора. Адаптация международного опыта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при этом должна быть выборочной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61822">
        <w:rPr>
          <w:rFonts w:ascii="Times New Roman" w:hAnsi="Times New Roman" w:cs="Times New Roman"/>
          <w:sz w:val="28"/>
          <w:szCs w:val="28"/>
          <w:lang w:val="ru-RU"/>
        </w:rPr>
        <w:t>орий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нтир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льности</w:t>
      </w:r>
      <w:proofErr w:type="spellEnd"/>
      <w:r w:rsidR="00161822">
        <w:rPr>
          <w:rFonts w:ascii="Times New Roman" w:hAnsi="Times New Roman" w:cs="Times New Roman"/>
          <w:sz w:val="28"/>
          <w:szCs w:val="28"/>
          <w:lang w:val="ru-RU"/>
        </w:rPr>
        <w:t>, опыт Республики Корея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пример привязки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модель - основа для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МСБ, а отдельные элементы сингапурской 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>системы цифровой идентификации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ориентир для развития единого доступа к государственным и финансовым </w:t>
      </w:r>
      <w:proofErr w:type="spellStart"/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сервисам.ого</w:t>
      </w:r>
      <w:proofErr w:type="spellEnd"/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уровня цифровой зрелости.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Научная новизна исследования состоит в трёх аспектах. Во-первых,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экономическую устойчивость, связывающая конкретные направления цифрового развития с механизмами реакции экономики на внешние шоки. Во-вторых, на основе панельного анализа 49 стран эмпирически показан пороговый характер антикризисного буферного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положительная связь с ростом наблюдается во всех группах, но стабилизирующий эффект статистически выявляется только в развитых экономиках. В-третьих, для Республики Узбекистан предложены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прогнозные сценарии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позволяющие связать целевые ориентиры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 Стратегии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2030» с количественными эконометрическими оценками. Вместе с тем исследование имеет ряд ограничений: использование одного основного индикатора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упрощённая идентификация кризисных периодов и ограниченный размер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развивающихся экономик. Эти ограничения определяют напра</w:t>
      </w:r>
      <w:r w:rsidR="00161822">
        <w:rPr>
          <w:rFonts w:ascii="Times New Roman" w:hAnsi="Times New Roman" w:cs="Times New Roman"/>
          <w:sz w:val="28"/>
          <w:szCs w:val="28"/>
          <w:lang w:val="ru-RU"/>
        </w:rPr>
        <w:t xml:space="preserve">вления дальнейших исследований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набора цифровых индикаторов, применение методов </w:t>
      </w:r>
      <w:r w:rsidRPr="000E5726">
        <w:rPr>
          <w:rFonts w:ascii="Times New Roman" w:hAnsi="Times New Roman" w:cs="Times New Roman"/>
          <w:sz w:val="28"/>
          <w:szCs w:val="28"/>
        </w:rPr>
        <w:t>IV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0E5726">
        <w:rPr>
          <w:rFonts w:ascii="Times New Roman" w:hAnsi="Times New Roman" w:cs="Times New Roman"/>
          <w:sz w:val="28"/>
          <w:szCs w:val="28"/>
        </w:rPr>
        <w:t>GMM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проведение отраслевого анализа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Узбекистана.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Главный вывод</w:t>
      </w:r>
      <w:proofErr w:type="gram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который я сделал: </w:t>
      </w:r>
      <w:proofErr w:type="spellStart"/>
      <w:r w:rsidR="00D6223A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это не кнопка которую нажимают в кризис. Это </w:t>
      </w:r>
      <w:proofErr w:type="gramStart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>инфраструктура</w:t>
      </w:r>
      <w:proofErr w:type="gramEnd"/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которую строят годами</w:t>
      </w:r>
      <w:r w:rsidR="00D6223A">
        <w:rPr>
          <w:rFonts w:ascii="Times New Roman" w:hAnsi="Times New Roman" w:cs="Times New Roman"/>
          <w:sz w:val="28"/>
          <w:szCs w:val="28"/>
          <w:lang w:val="ru-RU"/>
        </w:rPr>
        <w:t xml:space="preserve"> до кризиса. Узбекистан строит</w:t>
      </w:r>
      <w:r w:rsidR="00D6223A" w:rsidRPr="00D6223A">
        <w:rPr>
          <w:rFonts w:ascii="Times New Roman" w:hAnsi="Times New Roman" w:cs="Times New Roman"/>
          <w:sz w:val="28"/>
          <w:szCs w:val="28"/>
          <w:lang w:val="ru-RU"/>
        </w:rPr>
        <w:t xml:space="preserve"> и это уже важно.</w:t>
      </w:r>
    </w:p>
    <w:p w:rsidR="00CA034D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A034D" w:rsidRPr="000E5726" w:rsidRDefault="00CA034D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32DBB" w:rsidRPr="00CA034D" w:rsidRDefault="00D32DBB" w:rsidP="00CA034D">
      <w:pPr>
        <w:pStyle w:val="1"/>
        <w:spacing w:line="360" w:lineRule="auto"/>
        <w:ind w:left="2245" w:hanging="260"/>
        <w:rPr>
          <w:rFonts w:ascii="Times New Roman" w:hAnsi="Times New Roman" w:cs="Times New Roman"/>
          <w:b/>
          <w:color w:val="1B1B1B"/>
          <w:spacing w:val="-2"/>
          <w:sz w:val="28"/>
          <w:szCs w:val="28"/>
        </w:rPr>
      </w:pPr>
      <w:bookmarkStart w:id="15" w:name="_Toc231767561"/>
      <w:bookmarkStart w:id="16" w:name="_Toc231804957"/>
      <w:r w:rsidRPr="00AB6598">
        <w:rPr>
          <w:rFonts w:ascii="Times New Roman" w:hAnsi="Times New Roman" w:cs="Times New Roman"/>
          <w:b/>
          <w:color w:val="1B1B1B"/>
          <w:spacing w:val="-2"/>
          <w:sz w:val="28"/>
          <w:szCs w:val="28"/>
        </w:rPr>
        <w:lastRenderedPageBreak/>
        <w:t>СПИСОК</w:t>
      </w:r>
      <w:r w:rsidRPr="00AB6598">
        <w:rPr>
          <w:rFonts w:ascii="Times New Roman" w:hAnsi="Times New Roman" w:cs="Times New Roman"/>
          <w:b/>
          <w:color w:val="1B1B1B"/>
          <w:spacing w:val="-4"/>
          <w:sz w:val="28"/>
          <w:szCs w:val="28"/>
        </w:rPr>
        <w:t xml:space="preserve"> </w:t>
      </w:r>
      <w:r w:rsidRPr="00AB6598">
        <w:rPr>
          <w:rFonts w:ascii="Times New Roman" w:hAnsi="Times New Roman" w:cs="Times New Roman"/>
          <w:b/>
          <w:color w:val="1B1B1B"/>
          <w:spacing w:val="-2"/>
          <w:sz w:val="28"/>
          <w:szCs w:val="28"/>
        </w:rPr>
        <w:t>ИСПОЛЬЗОВАННОЙ</w:t>
      </w:r>
      <w:r w:rsidRPr="00AB6598">
        <w:rPr>
          <w:rFonts w:ascii="Times New Roman" w:hAnsi="Times New Roman" w:cs="Times New Roman"/>
          <w:b/>
          <w:color w:val="1B1B1B"/>
          <w:spacing w:val="-4"/>
          <w:sz w:val="28"/>
          <w:szCs w:val="28"/>
        </w:rPr>
        <w:t xml:space="preserve"> </w:t>
      </w:r>
      <w:r w:rsidRPr="00AB6598">
        <w:rPr>
          <w:rFonts w:ascii="Times New Roman" w:hAnsi="Times New Roman" w:cs="Times New Roman"/>
          <w:b/>
          <w:color w:val="1B1B1B"/>
          <w:spacing w:val="-2"/>
          <w:sz w:val="28"/>
          <w:szCs w:val="28"/>
        </w:rPr>
        <w:t>ЛИТЕРАТУРЫ</w:t>
      </w:r>
      <w:bookmarkEnd w:id="15"/>
      <w:bookmarkEnd w:id="16"/>
    </w:p>
    <w:p w:rsidR="00D32DBB" w:rsidRPr="0015125F" w:rsidRDefault="00D32DBB" w:rsidP="00D32DBB">
      <w:pPr>
        <w:pStyle w:val="a3"/>
        <w:numPr>
          <w:ilvl w:val="0"/>
          <w:numId w:val="3"/>
        </w:numPr>
        <w:spacing w:line="259" w:lineRule="auto"/>
        <w:jc w:val="both"/>
        <w:rPr>
          <w:rFonts w:ascii="Times New Roman" w:hAnsi="Times New Roman" w:cs="Times New Roman"/>
          <w:b/>
          <w:spacing w:val="-4"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Нормативно-правовые</w:t>
      </w:r>
      <w:proofErr w:type="spellEnd"/>
      <w:r w:rsidRPr="0015125F">
        <w:rPr>
          <w:rFonts w:ascii="Times New Roman" w:hAnsi="Times New Roman" w:cs="Times New Roman"/>
          <w:b/>
          <w:spacing w:val="5"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pacing w:val="-4"/>
          <w:sz w:val="28"/>
          <w:szCs w:val="28"/>
        </w:rPr>
        <w:t>акты</w:t>
      </w:r>
      <w:proofErr w:type="spellEnd"/>
    </w:p>
    <w:p w:rsidR="00D32DBB" w:rsidRPr="00EC28F9" w:rsidRDefault="00D32DBB" w:rsidP="00D32DB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Указ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Президента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Республики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Узбекистан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от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5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октября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2020 г. № УП-6079 «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Об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утверждении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Стратегии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“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Цифровой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Узбекистан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- 2030” и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мерах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по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её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эффективной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реализации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». -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Национальная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база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данных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законодательства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Республики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Узбекистан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>, 2020.</w:t>
      </w:r>
    </w:p>
    <w:p w:rsidR="00D32DBB" w:rsidRPr="00EC28F9" w:rsidRDefault="00D32DBB" w:rsidP="00D32DB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C28F9">
        <w:rPr>
          <w:rFonts w:ascii="Times New Roman" w:eastAsia="Times New Roman" w:hAnsi="Times New Roman" w:cs="Times New Roman"/>
          <w:sz w:val="28"/>
          <w:szCs w:val="28"/>
        </w:rPr>
        <w:t>Government of the Republic of Korea. Korean New Deal: National Strategy for a Great Transformation. - Seoul: Government of the Republic of Korea, 2020.</w:t>
      </w:r>
    </w:p>
    <w:p w:rsidR="00D32DBB" w:rsidRPr="00EC28F9" w:rsidRDefault="00D32DBB" w:rsidP="00D32DBB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European Commission. Operational </w:t>
      </w:r>
      <w:proofErr w:type="spellStart"/>
      <w:r w:rsidRPr="00EC28F9">
        <w:rPr>
          <w:rFonts w:ascii="Times New Roman" w:eastAsia="Times New Roman" w:hAnsi="Times New Roman" w:cs="Times New Roman"/>
          <w:sz w:val="28"/>
          <w:szCs w:val="28"/>
        </w:rPr>
        <w:t>Programme</w:t>
      </w:r>
      <w:proofErr w:type="spellEnd"/>
      <w:r w:rsidRPr="00EC28F9">
        <w:rPr>
          <w:rFonts w:ascii="Times New Roman" w:eastAsia="Times New Roman" w:hAnsi="Times New Roman" w:cs="Times New Roman"/>
          <w:sz w:val="28"/>
          <w:szCs w:val="28"/>
        </w:rPr>
        <w:t xml:space="preserve"> Digital Poland 2014-2020 (POPC). - Brussels: European Commission, 2014-2020.</w:t>
      </w:r>
    </w:p>
    <w:p w:rsidR="00D32DBB" w:rsidRPr="0015125F" w:rsidRDefault="00D32DBB" w:rsidP="00D32DBB">
      <w:pPr>
        <w:pStyle w:val="a3"/>
        <w:numPr>
          <w:ilvl w:val="0"/>
          <w:numId w:val="3"/>
        </w:numPr>
        <w:spacing w:line="259" w:lineRule="auto"/>
        <w:jc w:val="both"/>
        <w:rPr>
          <w:rFonts w:ascii="Times New Roman" w:hAnsi="Times New Roman" w:cs="Times New Roman"/>
          <w:b/>
          <w:spacing w:val="-2"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Научная</w:t>
      </w:r>
      <w:proofErr w:type="spellEnd"/>
      <w:r w:rsidRPr="0015125F">
        <w:rPr>
          <w:rFonts w:ascii="Times New Roman" w:hAnsi="Times New Roman" w:cs="Times New Roman"/>
          <w:b/>
          <w:spacing w:val="-9"/>
          <w:sz w:val="28"/>
          <w:szCs w:val="28"/>
        </w:rPr>
        <w:t xml:space="preserve"> </w:t>
      </w:r>
      <w:r w:rsidRPr="0015125F">
        <w:rPr>
          <w:rFonts w:ascii="Times New Roman" w:hAnsi="Times New Roman" w:cs="Times New Roman"/>
          <w:b/>
          <w:sz w:val="28"/>
          <w:szCs w:val="28"/>
        </w:rPr>
        <w:t>и</w:t>
      </w:r>
      <w:r w:rsidRPr="0015125F">
        <w:rPr>
          <w:rFonts w:ascii="Times New Roman" w:hAnsi="Times New Roman" w:cs="Times New Roman"/>
          <w:b/>
          <w:spacing w:val="-9"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учебная</w:t>
      </w:r>
      <w:proofErr w:type="spellEnd"/>
      <w:r w:rsidRPr="0015125F">
        <w:rPr>
          <w:rFonts w:ascii="Times New Roman" w:hAnsi="Times New Roman" w:cs="Times New Roman"/>
          <w:b/>
          <w:spacing w:val="-8"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pacing w:val="-2"/>
          <w:sz w:val="28"/>
          <w:szCs w:val="28"/>
        </w:rPr>
        <w:t>литература</w:t>
      </w:r>
      <w:proofErr w:type="spellEnd"/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Wooldridge J. M. Econometric Analysis of Cross Section and Panel Data. 2nd ed. Cambridge, MA: MIT Press, 2010. 1096 p.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Briguglio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L.,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Cordina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G.,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Farrugia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N., Vella S. Economic Vulnerability and Resilience: Concepts and Measurements // Oxford Development Studies. 2009. Vol. 37, No. 3. P. 229-247.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Caldera Sánchez A., Rasmussen M.,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Röhn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O. Economic Resilience: What Role for Policies? // OECD Economics Department Working Papers. 2015. No. 1251.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Caldera Sánchez A., de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Serres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A., Gori F.,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Hermansen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M.,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Röhn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O. Strengthening Economic Resilience: Insights from the Post-1970 Record of Severe Recessions and Financial Crises // OECD Economic Policy Papers. Paris: OECD Publishing, 2017. No. 20.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Caldera Sánchez A., Gori F. Can Reforms Promoting Growth Increase Financial Fragility? An Empirical Assessment // OECD Economics Department Working Papers. 2016. No. 1340.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Hermansen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M.,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Röhn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O. Economic Resilience: The Usefulness of Early Warning Indicators in OECD Countries // OECD Economics Department Working Papers. 2015. No. 1250. P. 1-27.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lastRenderedPageBreak/>
        <w:t>Czernich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N.,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Falck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O.,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Kretschmer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T.,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Woessmann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L. Broadband Infrastructure and Economic Growth // The Economic Journal. 2011. Vol. 121, No. 552. P. 505-532.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Oikonomou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M.,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Pierri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N.,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Timmer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Y. IT Shields: Technology Adoption and Economic Resilience during the COVID-19 Pandemic //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Labour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Economics. 2023. Vol. 81. Article 102330.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Lee J.-H., Woo J. Discourse of the Post-COVID 19 New Deal in South Korea // Sustainability. 2021. Vol. 13, No. 15. Article 8493.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Yip H. </w:t>
      </w:r>
      <w:proofErr w:type="gramStart"/>
      <w:r w:rsidRPr="00EC28F9">
        <w:rPr>
          <w:rFonts w:ascii="Times New Roman" w:hAnsi="Times New Roman" w:cs="Times New Roman"/>
          <w:sz w:val="28"/>
          <w:szCs w:val="28"/>
        </w:rPr>
        <w:t>et al.</w:t>
      </w:r>
      <w:proofErr w:type="gramEnd"/>
      <w:r w:rsidRPr="00EC28F9">
        <w:rPr>
          <w:rFonts w:ascii="Times New Roman" w:hAnsi="Times New Roman" w:cs="Times New Roman"/>
          <w:sz w:val="28"/>
          <w:szCs w:val="28"/>
        </w:rPr>
        <w:t xml:space="preserve"> Digital Government to Counter the Effects of COVID-19: The Case of Singapore // ERIA Research Project Report. 2022.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Abdukadirova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N. A. Statistical Analysis of the Dynamics of Non-Cash Payments in Uzbekistan Over the Past Five Years // Journal of Applied Science and Social Science. 2026. Vol. 16, No. 5. P. 320-323.</w:t>
      </w:r>
    </w:p>
    <w:p w:rsidR="00D32DBB" w:rsidRPr="00EC28F9" w:rsidRDefault="00D32DBB" w:rsidP="00D32DBB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Komilova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M., Nader M.,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Ajayi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R. Evolution of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in Central Asian Countries and Implications for the Region’s Economy //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>. 2025. Vol. 4, No. 4. Article 69.</w:t>
      </w:r>
    </w:p>
    <w:p w:rsidR="00D32DBB" w:rsidRPr="0015125F" w:rsidRDefault="00D32DBB" w:rsidP="00D32DBB">
      <w:pPr>
        <w:pStyle w:val="a3"/>
        <w:numPr>
          <w:ilvl w:val="0"/>
          <w:numId w:val="3"/>
        </w:numPr>
        <w:spacing w:line="259" w:lineRule="auto"/>
        <w:jc w:val="both"/>
        <w:rPr>
          <w:rFonts w:ascii="Times New Roman" w:hAnsi="Times New Roman" w:cs="Times New Roman"/>
          <w:b/>
          <w:spacing w:val="-2"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Статистические</w:t>
      </w:r>
      <w:proofErr w:type="spellEnd"/>
      <w:r w:rsidRPr="0015125F">
        <w:rPr>
          <w:rFonts w:ascii="Times New Roman" w:hAnsi="Times New Roman" w:cs="Times New Roman"/>
          <w:b/>
          <w:spacing w:val="-17"/>
          <w:sz w:val="28"/>
          <w:szCs w:val="28"/>
        </w:rPr>
        <w:t xml:space="preserve"> </w:t>
      </w:r>
      <w:r w:rsidRPr="0015125F">
        <w:rPr>
          <w:rFonts w:ascii="Times New Roman" w:hAnsi="Times New Roman" w:cs="Times New Roman"/>
          <w:b/>
          <w:sz w:val="28"/>
          <w:szCs w:val="28"/>
        </w:rPr>
        <w:t>и</w:t>
      </w:r>
      <w:r w:rsidRPr="0015125F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аналитические</w:t>
      </w:r>
      <w:proofErr w:type="spellEnd"/>
      <w:r w:rsidRPr="0015125F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pacing w:val="-2"/>
          <w:sz w:val="28"/>
          <w:szCs w:val="28"/>
        </w:rPr>
        <w:t>материалы</w:t>
      </w:r>
      <w:proofErr w:type="spellEnd"/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OECD. OECD Digital Economy Outlook 2024. Vol. 1: Embracing the Technology Frontier. Paris: OECD Publishing, 2024.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OECD. Development Co-operation Report 2020: Learning from Crises, Building Resilience. Paris: OECD Publishing, 2020.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OECD. OECD Structural Analysis (STAN) Database: Value Added by Activity (ISIC Rev.4). Paris: OECD, 2024.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World Bank. World Development Report 2016: Digital Dividends. Washington, D.C.: World Bank, 2016.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World Bank. World Development Indicators (WDI). Washington, D.C.: World Bank, 2024. URL: </w:t>
      </w:r>
      <w:hyperlink r:id="rId23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https://databank.worldbank.org/source/world-development-indicators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lastRenderedPageBreak/>
        <w:t xml:space="preserve">World Bank. World Bank Country and Lending Groups: Country Classification. URL: </w:t>
      </w:r>
      <w:hyperlink r:id="rId24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https://datahelpdesk.worldbank.org/knowledgebase/articles/906519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UNCTAD. World Investment Report 2023: Investing in Sustainable Energy for All. Geneva: United Nations, 2023.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UNCTAD. Digital Economy Report 2021: Cross-border Data Flows and Development. New York: United Nations, 2021.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International Monetary Fund. World Economic Outlook Database, April 2024. Washington, D.C.: IMF, 2024. URL: </w:t>
      </w:r>
      <w:hyperlink r:id="rId25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https://www.imf.org/en/Publications/WEO/weo-database/2024/April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United Nations Department of Economic and Social Affairs (UN DESA). UN E-Government Survey 2024: Accelerating Digital Transformation for Sustainable Development. New York: United Nations, 2024.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International Telecommunication Union (ITU). ICT Indicators Database. Geneva: ITU, 2024. URL: </w:t>
      </w:r>
      <w:hyperlink r:id="rId26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https://datahub.itu.int/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Asian Development Bank. Uzbekistan: Country Partnership Strategy 2019-2023. Manila: ADB, 2019.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European Bank for Reconstruction and Development. Uzbekistan Country Strategy 2018-2023. London: EBRD, 2018.</w:t>
      </w:r>
    </w:p>
    <w:p w:rsidR="00D32DBB" w:rsidRPr="00D41B10" w:rsidRDefault="00D32DBB" w:rsidP="00D41B10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Eurostat. Cloud Computing </w:t>
      </w:r>
      <w:r w:rsidRPr="00D41B10">
        <w:rPr>
          <w:rFonts w:ascii="Times New Roman" w:hAnsi="Times New Roman" w:cs="Times New Roman"/>
          <w:sz w:val="28"/>
          <w:szCs w:val="28"/>
        </w:rPr>
        <w:t xml:space="preserve">- Statistics on the Use by Enterprises. Luxembourg: Eurostat, 2023. URL: </w:t>
      </w:r>
      <w:hyperlink r:id="rId27" w:history="1">
        <w:r w:rsidR="00D41B10" w:rsidRPr="00D41B10">
          <w:rPr>
            <w:rStyle w:val="a5"/>
            <w:rFonts w:ascii="Times New Roman" w:hAnsi="Times New Roman" w:cs="Times New Roman"/>
            <w:sz w:val="28"/>
            <w:szCs w:val="28"/>
          </w:rPr>
          <w:t>https://ec.europa.eu/eurostat/statistics-explained/index.php?title=Main_Page</w:t>
        </w:r>
      </w:hyperlink>
      <w:r w:rsidRPr="00D41B10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Eurostat. Real GDP Growth Rate - Volume. Annual Data 2019-2022. Luxembourg: Eurostat, 2024. URL: </w:t>
      </w:r>
      <w:hyperlink r:id="rId28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https://ec.europa.eu/eurostat/databrowser/view/tec00115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International Energy Agency. Korean New Deal: Digital New Deal, Green New Deal and Stronger Safety Net. Paris: IEA, 2021.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lastRenderedPageBreak/>
        <w:t>International Energy Agency. Poland 2022 - Energy Policy Review. Paris: IEA, 2022.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Ministry of Finance of Singapore. Ministerial Statement on Overview of Government’s Strategy to Emerge Stronger from the COVID-19 Pandemic. Singapore: Ministry of Finance, 2020.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World Bank. Polish Economy Returns to Growth Amidst Pandemic-Related Setbacks. Washington, D.C.: World Bank, 31.03.2021. URL: </w:t>
      </w:r>
      <w:hyperlink r:id="rId29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https://www.worldbank.org/en/news/press-release/2021/03/31/polish-economy-returns-to-growth-amidst-pandemic-related-setbacks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U.S. International Trade Administration. Poland - Digital Economy // Country Commercial Guides. Washington, D.C.: International Trade Administration, 2026. URL: </w:t>
      </w:r>
      <w:hyperlink r:id="rId30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https://www.trade.gov/country-commercial-guides/poland-digital-economy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European Parliament Research Service. Estonia’s National Recovery and Resilience Plan: Latest State of Play // EPRS Briefing. Brussels: European Parliament, 2023.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Friedrich-Ebert-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Stiftung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>. What to Do About Inflation? Poland. Bonn: Friedrich-Ebert-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Stiftung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>, 2022.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S&amp;P Global Market Intelligence. Singapore Economy Continues on Road to Recovery. July 2022. URL: </w:t>
      </w:r>
      <w:hyperlink r:id="rId31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https://www.spglobal.com/marketintelligence/en/mi/research-analysis/singapore-economy-continues-on-road-to-recovery-july22.html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KEIA. The Korean New Deal // The Peninsula. July 2021. URL: </w:t>
      </w:r>
      <w:hyperlink r:id="rId32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https://keia.org/the-peninsula/the-korean-new-deal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International Institute for Management Development (IMD). World Digital Competitiveness Ran</w:t>
      </w:r>
      <w:r w:rsidR="00CA034D">
        <w:rPr>
          <w:rFonts w:ascii="Times New Roman" w:hAnsi="Times New Roman" w:cs="Times New Roman"/>
          <w:sz w:val="28"/>
          <w:szCs w:val="28"/>
        </w:rPr>
        <w:t>king 2024. Lausanne: IMD, 2024.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3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https://www.imd.org/centers/wcc/world-competitiveness-center/rankings/world-digital-competitiveness-ranking/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lastRenderedPageBreak/>
        <w:t>Portulans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Institute. Network Readiness Index 2024. Washington, D.C.: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Portulans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Institute, 2024. URL: </w:t>
      </w:r>
      <w:hyperlink r:id="rId34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https://networkreadinessindex.org/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Oxford Insights. Government AI Readiness Index 2023, 2024, 2025. URL: </w:t>
      </w:r>
      <w:hyperlink r:id="rId35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https://oxfordinsights.com/ai-readiness/ai-readiness-index/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Infocomm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Media Development Authority (IMDA). Singapore Digital Economy Report 2024. Singapore: IMDA, 2024.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Statistics Agency under the President of the Republic of Uzbekistan, cited in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UzDaily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. Uzbekistan’s GDP amounted to US$114.96 billion in 2024. February 2025. URL: </w:t>
      </w:r>
      <w:hyperlink r:id="rId36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https://www.uzdaily.uz/en/uzbekistans-gdp-amounted-to-us11496-billion-in-2024/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Statistics Agency under the President of the Republic of Uzbekistan. Demographic Situation in Uzbekistan, 2024. Tashkent: Statistics Agency, 2024. URL: </w:t>
      </w:r>
      <w:hyperlink r:id="rId37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https://stat.uz/en/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Mastercard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. Fintech Market Uzbekistan. December 2023, cited in: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FintechNews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Switzerland. Fintech on the Rise in Uzbekistan: A Short Overview. January 2024. URL: </w:t>
      </w:r>
      <w:hyperlink r:id="rId38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https://fintechnews.ch/fintech/fintech-on-the-rise-in-uzbekistan-a-short-overview/69023/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IT Park Uzbekistan. Annual Report 2024. Tashkent: IT Park Uzbekistan, 2024. URL: </w:t>
      </w:r>
      <w:hyperlink r:id="rId39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https://it-park.uz/en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15125F" w:rsidRDefault="00D32DBB" w:rsidP="00D32DBB">
      <w:pPr>
        <w:pStyle w:val="a3"/>
        <w:numPr>
          <w:ilvl w:val="0"/>
          <w:numId w:val="3"/>
        </w:numPr>
        <w:spacing w:line="259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Электронные</w:t>
      </w:r>
      <w:proofErr w:type="spellEnd"/>
      <w:r w:rsidRPr="0015125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ресурсы</w:t>
      </w:r>
      <w:proofErr w:type="spellEnd"/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e-Estoni</w:t>
      </w:r>
      <w:r w:rsidR="00CA034D">
        <w:rPr>
          <w:rFonts w:ascii="Times New Roman" w:hAnsi="Times New Roman" w:cs="Times New Roman"/>
          <w:sz w:val="28"/>
          <w:szCs w:val="28"/>
        </w:rPr>
        <w:t>a. X-Road: Data Exchange Layer.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0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https://e-estonia.com/solutions/interoperability-services/x-road/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X-Road. Open-Source Software. URL: </w:t>
      </w:r>
      <w:hyperlink r:id="rId41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https://x-road.global/xroad-open-source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Education Estonia. How It All Began? From Tiger Leap to Digital Society. 2023. URL: </w:t>
      </w:r>
      <w:hyperlink r:id="rId42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https://www.educationestonia.org/tiger-leap/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Estonian World. Estonia’s Tiger Leap: The Schools Project That Wired a Nation for the Digital Age. 21.02.2026. URL: </w:t>
      </w:r>
      <w:hyperlink r:id="rId43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https://estonianworld.com/technology/estonias-tiger-leap-the-schools-project-that-wired-a-nation-for-the-digital-age/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The Baltic Times. New Milestone for e-Residency with Record Number of Companies Founded in 2024. January 2025. URL: </w:t>
      </w:r>
      <w:hyperlink r:id="rId44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https://www.baltictimes.com/new_milestone_for_e-residency_with_record_number_of_companies_founded_in_2024/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Invest in Estonia. e-Residency Brings Record Revenue in First Half of 2025. August 2025. URL: </w:t>
      </w:r>
      <w:hyperlink r:id="rId45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https://investinestonia.com/e-residency-brings-record-revenue-in-first-half-of-2025/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GovTech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Singapore. Smart Nation 2.0: Initiatives in Singapore. 2024. URL: </w:t>
      </w:r>
      <w:hyperlink r:id="rId46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https://www.tech.gov.sg/technews/our-enhanced-smart-nation-vision-paving-the-way-for-a-new-digital-era/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GovTech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Singapore.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SingPass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: National Digital Identity. URL: </w:t>
      </w:r>
      <w:hyperlink r:id="rId47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https://www.singpass.gov.sg/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OpenGov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Asia. Singapore: Milestones and Momentum of</w:t>
      </w:r>
      <w:r w:rsidR="00CA034D">
        <w:rPr>
          <w:rFonts w:ascii="Times New Roman" w:hAnsi="Times New Roman" w:cs="Times New Roman"/>
          <w:sz w:val="28"/>
          <w:szCs w:val="28"/>
        </w:rPr>
        <w:t xml:space="preserve"> a Smart Nation. December 2025.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8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https://opengovasia.com/singapore-milestones-and-momentum-of-a-smart-nation/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European Commission. Digital Connectivity in Poland // Shaping</w:t>
      </w:r>
      <w:r w:rsidR="00CA034D">
        <w:rPr>
          <w:rFonts w:ascii="Times New Roman" w:hAnsi="Times New Roman" w:cs="Times New Roman"/>
          <w:sz w:val="28"/>
          <w:szCs w:val="28"/>
        </w:rPr>
        <w:t xml:space="preserve"> Europe’s Digital Future. 2026.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9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https://digital-strategy.ec.europa.eu/en/policies/digital-connectivity-poland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AIN.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mObywatel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2.0: Digital ID Became Equal to Plastic Document in Poland. 14.07.2023. URL: </w:t>
      </w:r>
      <w:hyperlink r:id="rId50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https://en.ain.ua/2023/07/14/poland-digital-ids-equal-traditional-documents/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Biometric Update. Poland Campaigns to Boost the Use of Its Digital ID P</w:t>
      </w:r>
      <w:r w:rsidR="00CA034D">
        <w:rPr>
          <w:rFonts w:ascii="Times New Roman" w:hAnsi="Times New Roman" w:cs="Times New Roman"/>
          <w:sz w:val="28"/>
          <w:szCs w:val="28"/>
        </w:rPr>
        <w:t xml:space="preserve">latform </w:t>
      </w:r>
      <w:proofErr w:type="spellStart"/>
      <w:r w:rsidR="00CA034D">
        <w:rPr>
          <w:rFonts w:ascii="Times New Roman" w:hAnsi="Times New Roman" w:cs="Times New Roman"/>
          <w:sz w:val="28"/>
          <w:szCs w:val="28"/>
        </w:rPr>
        <w:t>mObywatel</w:t>
      </w:r>
      <w:proofErr w:type="spellEnd"/>
      <w:r w:rsidR="00CA034D">
        <w:rPr>
          <w:rFonts w:ascii="Times New Roman" w:hAnsi="Times New Roman" w:cs="Times New Roman"/>
          <w:sz w:val="28"/>
          <w:szCs w:val="28"/>
        </w:rPr>
        <w:t>. August 2025.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https://www.biometricupdate.com/202508/poland-campaigns-to-boost-the-use-of-its-digital-id-platform-mobywatel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lastRenderedPageBreak/>
        <w:t>Digital Watch Observator</w:t>
      </w:r>
      <w:r w:rsidR="00CA034D">
        <w:rPr>
          <w:rFonts w:ascii="Times New Roman" w:hAnsi="Times New Roman" w:cs="Times New Roman"/>
          <w:sz w:val="28"/>
          <w:szCs w:val="28"/>
        </w:rPr>
        <w:t>y. Uzbekistan: Country Profile.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2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https://dig.watch/countries/uzbekistan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 xml:space="preserve">Ministry of Digital Technologies of the Republic of Uzbekistan.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: National Digital Identification System. URL: </w:t>
      </w:r>
      <w:hyperlink r:id="rId53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https://myid.uz/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TAdv</w:t>
      </w:r>
      <w:r w:rsidR="00CA034D">
        <w:rPr>
          <w:rFonts w:ascii="Times New Roman" w:hAnsi="Times New Roman" w:cs="Times New Roman"/>
          <w:sz w:val="28"/>
          <w:szCs w:val="28"/>
        </w:rPr>
        <w:t>iser</w:t>
      </w:r>
      <w:proofErr w:type="spellEnd"/>
      <w:r w:rsidR="00CA034D">
        <w:rPr>
          <w:rFonts w:ascii="Times New Roman" w:hAnsi="Times New Roman" w:cs="Times New Roman"/>
          <w:sz w:val="28"/>
          <w:szCs w:val="28"/>
        </w:rPr>
        <w:t>. ICT Market of Uzbekistan.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4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https://tadviser.com/index.php/Article:ICT_market_of_Uzbekistan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Worlddata.info. Te</w:t>
      </w:r>
      <w:r w:rsidR="00CA034D">
        <w:rPr>
          <w:rFonts w:ascii="Times New Roman" w:hAnsi="Times New Roman" w:cs="Times New Roman"/>
          <w:sz w:val="28"/>
          <w:szCs w:val="28"/>
        </w:rPr>
        <w:t>lecommunications in Uzbekistan.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5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https://www.worlddata.info/asia/uzbekistan/telecommunication.php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The Global Economy. Uzbekistan: Internet Use</w:t>
      </w:r>
      <w:r w:rsidR="00CA034D">
        <w:rPr>
          <w:rFonts w:ascii="Times New Roman" w:hAnsi="Times New Roman" w:cs="Times New Roman"/>
          <w:sz w:val="28"/>
          <w:szCs w:val="28"/>
        </w:rPr>
        <w:t>rs.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6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https://www.theglobaleconomy.com/Uzbekistan/Internet_users/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sz w:val="28"/>
          <w:szCs w:val="28"/>
        </w:rPr>
        <w:t>Freedom House. Freedo</w:t>
      </w:r>
      <w:r w:rsidR="00CA034D">
        <w:rPr>
          <w:rFonts w:ascii="Times New Roman" w:hAnsi="Times New Roman" w:cs="Times New Roman"/>
          <w:sz w:val="28"/>
          <w:szCs w:val="28"/>
        </w:rPr>
        <w:t>m on the Net 2024 - Uzbekistan.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https://freedomhouse.org/country/uzbekistan/freedom-net/2024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Ookla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Speedtest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Global In</w:t>
      </w:r>
      <w:r w:rsidR="00CA034D">
        <w:rPr>
          <w:rFonts w:ascii="Times New Roman" w:hAnsi="Times New Roman" w:cs="Times New Roman"/>
          <w:sz w:val="28"/>
          <w:szCs w:val="28"/>
        </w:rPr>
        <w:t>dex - Uzbekistan. January 2025.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8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https://www.speedtest.net/global-index/uzbekistan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EC28F9" w:rsidRDefault="00D32DBB" w:rsidP="00D32DBB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8F9">
        <w:rPr>
          <w:rFonts w:ascii="Times New Roman" w:hAnsi="Times New Roman" w:cs="Times New Roman"/>
          <w:sz w:val="28"/>
          <w:szCs w:val="28"/>
        </w:rPr>
        <w:t>Stangarone</w:t>
      </w:r>
      <w:proofErr w:type="spellEnd"/>
      <w:r w:rsidRPr="00EC28F9">
        <w:rPr>
          <w:rFonts w:ascii="Times New Roman" w:hAnsi="Times New Roman" w:cs="Times New Roman"/>
          <w:sz w:val="28"/>
          <w:szCs w:val="28"/>
        </w:rPr>
        <w:t xml:space="preserve"> T. South Korea’s Strong Economic Performance Faces Post-Pandemic Challenges </w:t>
      </w:r>
      <w:r w:rsidR="00CA034D">
        <w:rPr>
          <w:rFonts w:ascii="Times New Roman" w:hAnsi="Times New Roman" w:cs="Times New Roman"/>
          <w:sz w:val="28"/>
          <w:szCs w:val="28"/>
        </w:rPr>
        <w:t>// East Asia Forum. 04.02.2022.</w:t>
      </w:r>
      <w:r w:rsidRPr="00EC28F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9" w:history="1">
        <w:r w:rsidRPr="00EC28F9">
          <w:rPr>
            <w:rStyle w:val="a5"/>
            <w:rFonts w:ascii="Times New Roman" w:hAnsi="Times New Roman" w:cs="Times New Roman"/>
            <w:sz w:val="28"/>
            <w:szCs w:val="28"/>
          </w:rPr>
          <w:t>https://eastasiaforum.org/2022/02/04/south-koreas-strong-economic-performance-faces-post-pandemic-challenges/</w:t>
        </w:r>
      </w:hyperlink>
      <w:r w:rsidRPr="00EC28F9">
        <w:rPr>
          <w:rFonts w:ascii="Times New Roman" w:hAnsi="Times New Roman" w:cs="Times New Roman"/>
          <w:sz w:val="28"/>
          <w:szCs w:val="28"/>
        </w:rPr>
        <w:t xml:space="preserve"> (2026).</w:t>
      </w: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Pr="00257FDA" w:rsidRDefault="00D32DBB" w:rsidP="00D32DB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32DBB" w:rsidRDefault="00D32DBB" w:rsidP="00D32DBB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31767562"/>
      <w:bookmarkStart w:id="18" w:name="_Toc231804958"/>
      <w:r w:rsidRPr="0015125F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17"/>
      <w:bookmarkEnd w:id="18"/>
    </w:p>
    <w:p w:rsidR="00D32DBB" w:rsidRPr="007C5847" w:rsidRDefault="00D32DBB" w:rsidP="00D32DBB"/>
    <w:p w:rsidR="00D32DBB" w:rsidRPr="00C255BA" w:rsidRDefault="00D32DBB" w:rsidP="00C255BA">
      <w:pPr>
        <w:rPr>
          <w:rFonts w:ascii="Times New Roman" w:hAnsi="Times New Roman" w:cs="Times New Roman"/>
          <w:b/>
          <w:spacing w:val="-10"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t>Приложение</w:t>
      </w:r>
      <w:proofErr w:type="spellEnd"/>
      <w:r w:rsidRPr="0015125F">
        <w:rPr>
          <w:rFonts w:ascii="Times New Roman" w:hAnsi="Times New Roman" w:cs="Times New Roman"/>
          <w:b/>
          <w:spacing w:val="-17"/>
          <w:sz w:val="28"/>
          <w:szCs w:val="28"/>
        </w:rPr>
        <w:t xml:space="preserve"> </w:t>
      </w:r>
      <w:r w:rsidR="00C255BA">
        <w:rPr>
          <w:rFonts w:ascii="Times New Roman" w:hAnsi="Times New Roman" w:cs="Times New Roman"/>
          <w:b/>
          <w:spacing w:val="-10"/>
          <w:sz w:val="28"/>
          <w:szCs w:val="28"/>
        </w:rPr>
        <w:t>А</w:t>
      </w:r>
    </w:p>
    <w:p w:rsidR="00D32DBB" w:rsidRDefault="00D32DBB" w:rsidP="00D32DB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2999EB" wp14:editId="3A02B3CF">
            <wp:extent cx="6152515" cy="2797810"/>
            <wp:effectExtent l="0" t="0" r="63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t="9824"/>
                    <a:stretch/>
                  </pic:blipFill>
                  <pic:spPr bwMode="auto">
                    <a:xfrm>
                      <a:off x="0" y="0"/>
                      <a:ext cx="6152515" cy="2797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32DBB" w:rsidRPr="00D32DBB" w:rsidRDefault="00D32DBB" w:rsidP="00D32D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Рисунок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А.1 -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Распределение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D32DBB">
        <w:rPr>
          <w:rFonts w:ascii="Times New Roman" w:hAnsi="Times New Roman" w:cs="Times New Roman"/>
          <w:b/>
          <w:sz w:val="24"/>
          <w:szCs w:val="24"/>
        </w:rPr>
        <w:t>ln(</w:t>
      </w:r>
      <w:proofErr w:type="gram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ВВП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душу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населения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)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по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группам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стран</w:t>
      </w:r>
      <w:proofErr w:type="spellEnd"/>
    </w:p>
    <w:p w:rsidR="00D32DBB" w:rsidRPr="007C5847" w:rsidRDefault="00D32DBB" w:rsidP="00D32DBB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Источник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составлено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автором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на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основе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результатов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эконометрического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7C5847">
        <w:rPr>
          <w:rFonts w:ascii="Times New Roman" w:hAnsi="Times New Roman" w:cs="Times New Roman"/>
          <w:i/>
          <w:sz w:val="24"/>
          <w:szCs w:val="24"/>
        </w:rPr>
        <w:t>моделирования</w:t>
      </w:r>
      <w:proofErr w:type="spellEnd"/>
      <w:r w:rsidRPr="007C5847">
        <w:rPr>
          <w:rFonts w:ascii="Times New Roman" w:hAnsi="Times New Roman" w:cs="Times New Roman"/>
          <w:i/>
          <w:sz w:val="24"/>
          <w:szCs w:val="24"/>
        </w:rPr>
        <w:t xml:space="preserve"> в R Studio.</w:t>
      </w:r>
    </w:p>
    <w:p w:rsidR="00D32DBB" w:rsidRPr="00EC28F9" w:rsidRDefault="00D32DBB" w:rsidP="00D32D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Pr="0015125F" w:rsidRDefault="00C255BA" w:rsidP="00D32DBB">
      <w:pPr>
        <w:rPr>
          <w:rFonts w:ascii="Times New Roman" w:hAnsi="Times New Roman" w:cs="Times New Roman"/>
          <w:b/>
          <w:spacing w:val="-10"/>
          <w:sz w:val="28"/>
          <w:szCs w:val="28"/>
        </w:rPr>
      </w:pPr>
    </w:p>
    <w:p w:rsidR="00C255BA" w:rsidRDefault="00C255BA" w:rsidP="00C255B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255BA" w:rsidRPr="00C255BA" w:rsidRDefault="00C255BA" w:rsidP="00C255BA">
      <w:pPr>
        <w:rPr>
          <w:rFonts w:ascii="Times New Roman" w:hAnsi="Times New Roman" w:cs="Times New Roman"/>
          <w:b/>
          <w:spacing w:val="-10"/>
          <w:sz w:val="28"/>
          <w:szCs w:val="28"/>
        </w:rPr>
      </w:pPr>
      <w:proofErr w:type="spellStart"/>
      <w:r w:rsidRPr="0015125F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proofErr w:type="spellEnd"/>
      <w:r w:rsidRPr="0015125F">
        <w:rPr>
          <w:rFonts w:ascii="Times New Roman" w:hAnsi="Times New Roman" w:cs="Times New Roman"/>
          <w:b/>
          <w:spacing w:val="-17"/>
          <w:sz w:val="28"/>
          <w:szCs w:val="28"/>
        </w:rPr>
        <w:t xml:space="preserve"> </w:t>
      </w:r>
      <w:r w:rsidRPr="0015125F">
        <w:rPr>
          <w:rFonts w:ascii="Times New Roman" w:hAnsi="Times New Roman" w:cs="Times New Roman"/>
          <w:b/>
          <w:spacing w:val="-10"/>
          <w:sz w:val="28"/>
          <w:szCs w:val="28"/>
        </w:rPr>
        <w:t>Б</w:t>
      </w:r>
    </w:p>
    <w:p w:rsidR="00D32DBB" w:rsidRPr="00C13A70" w:rsidRDefault="00C255BA" w:rsidP="00C255B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C13A70">
        <w:rPr>
          <w:rFonts w:ascii="Times New Roman" w:hAnsi="Times New Roman" w:cs="Times New Roman"/>
          <w:b/>
          <w:sz w:val="28"/>
          <w:szCs w:val="28"/>
        </w:rPr>
        <w:t>Дополнительные</w:t>
      </w:r>
      <w:proofErr w:type="spellEnd"/>
      <w:r w:rsidRPr="00C13A7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13A70">
        <w:rPr>
          <w:rFonts w:ascii="Times New Roman" w:hAnsi="Times New Roman" w:cs="Times New Roman"/>
          <w:b/>
          <w:sz w:val="28"/>
          <w:szCs w:val="28"/>
        </w:rPr>
        <w:t>результаты</w:t>
      </w:r>
      <w:proofErr w:type="spellEnd"/>
      <w:r w:rsidRPr="00C13A7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13A70">
        <w:rPr>
          <w:rFonts w:ascii="Times New Roman" w:hAnsi="Times New Roman" w:cs="Times New Roman"/>
          <w:b/>
          <w:sz w:val="28"/>
          <w:szCs w:val="28"/>
        </w:rPr>
        <w:t>эконометрического</w:t>
      </w:r>
      <w:proofErr w:type="spellEnd"/>
      <w:r w:rsidRPr="00C13A7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13A70">
        <w:rPr>
          <w:rFonts w:ascii="Times New Roman" w:hAnsi="Times New Roman" w:cs="Times New Roman"/>
          <w:b/>
          <w:sz w:val="28"/>
          <w:szCs w:val="28"/>
        </w:rPr>
        <w:t>моделирования</w:t>
      </w:r>
      <w:proofErr w:type="spellEnd"/>
    </w:p>
    <w:p w:rsidR="00D32DBB" w:rsidRDefault="00D32DBB" w:rsidP="00D32DB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 w:rsidRPr="00EC28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B8DBB3" wp14:editId="12D13128">
            <wp:extent cx="3013075" cy="29870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t="7094"/>
                    <a:stretch/>
                  </pic:blipFill>
                  <pic:spPr bwMode="auto">
                    <a:xfrm>
                      <a:off x="0" y="0"/>
                      <a:ext cx="3093049" cy="30663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C28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777CF" wp14:editId="7C9C4DCF">
            <wp:extent cx="2726948" cy="297942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t="5594"/>
                    <a:stretch/>
                  </pic:blipFill>
                  <pic:spPr bwMode="auto">
                    <a:xfrm>
                      <a:off x="0" y="0"/>
                      <a:ext cx="2736318" cy="2989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32DBB" w:rsidRDefault="00D32DBB" w:rsidP="00D32D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20A18" wp14:editId="3329F2FE">
            <wp:extent cx="2852420" cy="3177540"/>
            <wp:effectExtent l="0" t="0" r="508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3"/>
                    <a:srcRect t="6404"/>
                    <a:stretch/>
                  </pic:blipFill>
                  <pic:spPr bwMode="auto">
                    <a:xfrm>
                      <a:off x="0" y="0"/>
                      <a:ext cx="2891580" cy="3221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32DBB" w:rsidRPr="00D32DBB" w:rsidRDefault="00D32DBB" w:rsidP="00D32D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Рисунок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Б.1 -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Корреляционные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матрицы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переменных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эконометрической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модели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по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группам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стран</w:t>
      </w:r>
      <w:proofErr w:type="spellEnd"/>
    </w:p>
    <w:p w:rsidR="00D32DBB" w:rsidRPr="000A48DB" w:rsidRDefault="00D32DBB" w:rsidP="00D32DBB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Источник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составлено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автором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на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основе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результатов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эконометрического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моделирования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в R Studio.</w:t>
      </w:r>
    </w:p>
    <w:p w:rsidR="00D32DBB" w:rsidRDefault="00D32DBB" w:rsidP="00D32DBB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:rsidR="00D32DBB" w:rsidRDefault="00D32DBB" w:rsidP="00C255BA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EC28F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5BBD8F" wp14:editId="3983F523">
            <wp:extent cx="6152515" cy="2864485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t="7845"/>
                    <a:stretch/>
                  </pic:blipFill>
                  <pic:spPr bwMode="auto">
                    <a:xfrm>
                      <a:off x="0" y="0"/>
                      <a:ext cx="6152515" cy="286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32DBB" w:rsidRPr="00D32DBB" w:rsidRDefault="00D32DBB" w:rsidP="00D32DBB">
      <w:pPr>
        <w:spacing w:after="0" w:line="360" w:lineRule="auto"/>
        <w:ind w:left="1136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Рисунок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Б.2 -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Распределение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остатков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F</w:t>
      </w:r>
      <w:bookmarkStart w:id="19" w:name="_GoBack"/>
      <w:bookmarkEnd w:id="19"/>
      <w:r w:rsidRPr="00D32DBB">
        <w:rPr>
          <w:rFonts w:ascii="Times New Roman" w:hAnsi="Times New Roman" w:cs="Times New Roman"/>
          <w:b/>
          <w:sz w:val="24"/>
          <w:szCs w:val="24"/>
        </w:rPr>
        <w:t>E-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моделей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по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группам</w:t>
      </w:r>
      <w:proofErr w:type="spellEnd"/>
      <w:r w:rsidRPr="00D32D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32DBB">
        <w:rPr>
          <w:rFonts w:ascii="Times New Roman" w:hAnsi="Times New Roman" w:cs="Times New Roman"/>
          <w:b/>
          <w:sz w:val="24"/>
          <w:szCs w:val="24"/>
        </w:rPr>
        <w:t>стран</w:t>
      </w:r>
      <w:proofErr w:type="spellEnd"/>
    </w:p>
    <w:p w:rsidR="00D32DBB" w:rsidRPr="00AF1E60" w:rsidRDefault="00D32DBB" w:rsidP="00D32DBB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Источник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составлено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автором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на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основе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результатов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эконометрического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A48DB">
        <w:rPr>
          <w:rFonts w:ascii="Times New Roman" w:hAnsi="Times New Roman" w:cs="Times New Roman"/>
          <w:i/>
          <w:sz w:val="24"/>
          <w:szCs w:val="24"/>
        </w:rPr>
        <w:t>моделирования</w:t>
      </w:r>
      <w:proofErr w:type="spellEnd"/>
      <w:r w:rsidRPr="000A48DB">
        <w:rPr>
          <w:rFonts w:ascii="Times New Roman" w:hAnsi="Times New Roman" w:cs="Times New Roman"/>
          <w:i/>
          <w:sz w:val="24"/>
          <w:szCs w:val="24"/>
        </w:rPr>
        <w:t xml:space="preserve"> в R Studio.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678C" w:rsidRDefault="0093678C" w:rsidP="00C02A16">
      <w:pPr>
        <w:spacing w:line="360" w:lineRule="auto"/>
        <w:ind w:firstLine="709"/>
      </w:pPr>
    </w:p>
    <w:sectPr w:rsidR="0093678C" w:rsidSect="00CA034D">
      <w:footerReference w:type="default" r:id="rId65"/>
      <w:pgSz w:w="12240" w:h="15840"/>
      <w:pgMar w:top="1134" w:right="850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1090" w:rsidRDefault="00D51090" w:rsidP="00C02A16">
      <w:pPr>
        <w:spacing w:after="0" w:line="240" w:lineRule="auto"/>
      </w:pPr>
      <w:r>
        <w:separator/>
      </w:r>
    </w:p>
  </w:endnote>
  <w:endnote w:type="continuationSeparator" w:id="0">
    <w:p w:rsidR="00D51090" w:rsidRDefault="00D51090" w:rsidP="00C02A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8"/>
        <w:szCs w:val="28"/>
      </w:rPr>
      <w:id w:val="-1792662935"/>
      <w:docPartObj>
        <w:docPartGallery w:val="Page Numbers (Bottom of Page)"/>
        <w:docPartUnique/>
      </w:docPartObj>
    </w:sdtPr>
    <w:sdtEndPr/>
    <w:sdtContent>
      <w:p w:rsidR="00CA034D" w:rsidRPr="007547C5" w:rsidRDefault="00CA034D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547C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547C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67A04" w:rsidRPr="00B67A04">
          <w:rPr>
            <w:rFonts w:ascii="Times New Roman" w:hAnsi="Times New Roman" w:cs="Times New Roman"/>
            <w:noProof/>
            <w:sz w:val="28"/>
            <w:szCs w:val="28"/>
            <w:lang w:val="ru-RU"/>
          </w:rPr>
          <w:t>84</w: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A034D" w:rsidRDefault="00CA034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1090" w:rsidRDefault="00D51090" w:rsidP="00C02A16">
      <w:pPr>
        <w:spacing w:after="0" w:line="240" w:lineRule="auto"/>
      </w:pPr>
      <w:r>
        <w:separator/>
      </w:r>
    </w:p>
  </w:footnote>
  <w:footnote w:type="continuationSeparator" w:id="0">
    <w:p w:rsidR="00D51090" w:rsidRDefault="00D51090" w:rsidP="00C02A16">
      <w:pPr>
        <w:spacing w:after="0" w:line="240" w:lineRule="auto"/>
      </w:pPr>
      <w:r>
        <w:continuationSeparator/>
      </w:r>
    </w:p>
  </w:footnote>
  <w:footnote w:id="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Caldera Sánchez A. et al. Strengthening Economic Resilience: Insights from the Post-1970 Record of Severe Recessions and Financial Crises // OECD Economic Policy Papers. 2017. No. 20. P. 8. DOI: </w:t>
      </w:r>
      <w:hyperlink r:id="rId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  <w:r w:rsidRPr="00081992">
        <w:rPr>
          <w:rFonts w:ascii="Times New Roman" w:hAnsi="Times New Roman" w:cs="Times New Roman"/>
        </w:rPr>
        <w:t>.</w:t>
      </w:r>
      <w:r w:rsidRPr="00081992">
        <w:rPr>
          <w:rFonts w:ascii="Times New Roman" w:hAnsi="Times New Roman" w:cs="Times New Roman"/>
          <w:lang w:val="en-CA"/>
        </w:rPr>
        <w:t xml:space="preserve"> </w:t>
      </w:r>
    </w:p>
  </w:footnote>
  <w:footnote w:id="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</w:t>
      </w:r>
      <w:r w:rsidRPr="00081992">
        <w:rPr>
          <w:rFonts w:ascii="Times New Roman" w:hAnsi="Times New Roman" w:cs="Times New Roman"/>
          <w:lang w:val="ru-RU"/>
        </w:rPr>
        <w:t xml:space="preserve">2023.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81. </w:t>
      </w:r>
      <w:r w:rsidRPr="00081992">
        <w:rPr>
          <w:rFonts w:ascii="Times New Roman" w:hAnsi="Times New Roman" w:cs="Times New Roman"/>
        </w:rPr>
        <w:t>Article</w:t>
      </w:r>
      <w:r w:rsidRPr="00081992">
        <w:rPr>
          <w:rFonts w:ascii="Times New Roman" w:hAnsi="Times New Roman" w:cs="Times New Roman"/>
          <w:lang w:val="ru-RU"/>
        </w:rPr>
        <w:t xml:space="preserve"> 102330.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2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/10.1016/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labeco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.2023.102330</w:t>
        </w:r>
      </w:hyperlink>
      <w:r w:rsidRPr="00081992">
        <w:rPr>
          <w:rFonts w:ascii="Times New Roman" w:hAnsi="Times New Roman" w:cs="Times New Roman"/>
          <w:lang w:val="ru-RU"/>
        </w:rPr>
        <w:t>.</w:t>
      </w:r>
    </w:p>
  </w:footnote>
  <w:footnote w:id="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Узбекистан,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Oxford Development Studies. 2009. Vol. 37, No. 3. P. 229-247. DOI: </w:t>
      </w:r>
      <w:hyperlink r:id="rId4" w:tgtFrame="_new" w:history="1">
        <w:r w:rsidRPr="00081992">
          <w:rPr>
            <w:rStyle w:val="a5"/>
            <w:rFonts w:ascii="Times New Roman" w:hAnsi="Times New Roman" w:cs="Times New Roman"/>
          </w:rPr>
          <w:t>https://doi.org/10.1080/13600810903089893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United Nations Department of Economic and Social Affairs (UN DESA). UN E-Government Survey 2024: Accelerating Digital Transformation for Sustainable Development. New York: United Nations, 2024. URL: </w:t>
      </w:r>
      <w:hyperlink r:id="rId5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Development Indicators </w:t>
      </w:r>
      <w:proofErr w:type="spellStart"/>
      <w:r w:rsidRPr="00081992">
        <w:rPr>
          <w:rFonts w:ascii="Times New Roman" w:hAnsi="Times New Roman" w:cs="Times New Roman"/>
        </w:rPr>
        <w:t>databaseWorld</w:t>
      </w:r>
      <w:proofErr w:type="spellEnd"/>
      <w:r w:rsidRPr="00081992">
        <w:rPr>
          <w:rFonts w:ascii="Times New Roman" w:hAnsi="Times New Roman" w:cs="Times New Roman"/>
        </w:rPr>
        <w:t xml:space="preserve"> Bank. World Development Indicators database. Washington, D.C.: World Bank, URL: </w:t>
      </w:r>
      <w:hyperlink r:id="rId6" w:history="1">
        <w:r w:rsidRPr="00081992">
          <w:rPr>
            <w:rStyle w:val="a5"/>
            <w:rFonts w:ascii="Times New Roman" w:hAnsi="Times New Roman" w:cs="Times New Roman"/>
          </w:rPr>
          <w:t>https://databank.worldbank.org/source/world-development-indicators</w:t>
        </w:r>
      </w:hyperlink>
    </w:p>
  </w:footnote>
  <w:footnote w:id="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17-18. DOI: </w:t>
      </w:r>
      <w:hyperlink r:id="rId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Structural Analysis (STAN) Database. Paris: OECD, 2024. URL: </w:t>
      </w:r>
      <w:hyperlink r:id="rId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https://doi.org/10.1787/data-00037-en</w:t>
        </w:r>
      </w:hyperlink>
      <w:r w:rsidRPr="00081992">
        <w:rPr>
          <w:rFonts w:ascii="Times New Roman" w:hAnsi="Times New Roman" w:cs="Times New Roman"/>
        </w:rPr>
        <w:t xml:space="preserve">. </w:t>
      </w:r>
      <w:r w:rsidRPr="00081992">
        <w:rPr>
          <w:rFonts w:ascii="Times New Roman" w:hAnsi="Times New Roman" w:cs="Times New Roman"/>
          <w:lang w:val="ru-RU"/>
        </w:rPr>
        <w:t xml:space="preserve">Классификация ИКТ-сектора приводится по </w:t>
      </w:r>
      <w:r w:rsidRPr="00081992">
        <w:rPr>
          <w:rFonts w:ascii="Times New Roman" w:hAnsi="Times New Roman" w:cs="Times New Roman"/>
        </w:rPr>
        <w:t>ISIC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Rev</w:t>
      </w:r>
      <w:r w:rsidRPr="00081992">
        <w:rPr>
          <w:rFonts w:ascii="Times New Roman" w:hAnsi="Times New Roman" w:cs="Times New Roman"/>
          <w:lang w:val="ru-RU"/>
        </w:rPr>
        <w:t xml:space="preserve">.4, </w:t>
      </w:r>
      <w:r w:rsidRPr="00081992">
        <w:rPr>
          <w:rFonts w:ascii="Times New Roman" w:hAnsi="Times New Roman" w:cs="Times New Roman"/>
        </w:rPr>
        <w:t>divisions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26,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61,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>62-63.</w:t>
      </w:r>
    </w:p>
  </w:footnote>
  <w:footnote w:id="9">
    <w:p w:rsidR="00CA034D" w:rsidRPr="00081992" w:rsidRDefault="00CA034D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22-24. DOI: </w:t>
      </w:r>
      <w:hyperlink r:id="rId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2024; European Commission. DESI; UN DESA. E-Government Survey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2024.</w:t>
      </w:r>
    </w:p>
  </w:footnote>
  <w:footnote w:id="11">
    <w:p w:rsidR="00CA034D" w:rsidRPr="00081992" w:rsidRDefault="00CA034D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Cloud Computing - Statistics on the Use by Enterprises. Luxembourg: Eurostat, 2023. URL: </w:t>
      </w:r>
      <w:r w:rsidR="00D41B10">
        <w:rPr>
          <w:rFonts w:ascii="Times New Roman" w:hAnsi="Times New Roman" w:cs="Times New Roman"/>
          <w:lang w:val="ru-RU"/>
        </w:rPr>
        <w:t xml:space="preserve"> </w:t>
      </w:r>
      <w:hyperlink r:id="rId11" w:history="1">
        <w:r w:rsidR="00D41B10" w:rsidRPr="00D41B10">
          <w:rPr>
            <w:rStyle w:val="a5"/>
          </w:rPr>
          <w:t>https://ec.europa.eu/eurostat/statistics-explained/index.php?title=Main_Page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2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  <w:lang w:val="en-CA"/>
        </w:rPr>
        <w:t>.</w:t>
      </w:r>
    </w:p>
  </w:footnote>
  <w:footnote w:id="1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36, 60. DOI: </w:t>
      </w:r>
      <w:hyperlink r:id="rId1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89, 100. DOI: </w:t>
      </w:r>
      <w:hyperlink r:id="rId1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World Development Report 2016: Digital Dividends. Washington, D.C.: World Bank, 2016. DOI: </w:t>
      </w:r>
      <w:hyperlink r:id="rId15" w:tgtFrame="_new" w:history="1">
        <w:r w:rsidRPr="00081992">
          <w:rPr>
            <w:rStyle w:val="a5"/>
            <w:rFonts w:ascii="Times New Roman" w:hAnsi="Times New Roman" w:cs="Times New Roman"/>
          </w:rPr>
          <w:t>https://doi.org/10.1596/978-1-4648-0671-1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1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8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5. DOI: </w:t>
      </w:r>
      <w:hyperlink r:id="rId1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9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UNU-WIDER Research Paper. 2008. No. 2008/55. P. 2-4, 11-14.</w:t>
      </w:r>
    </w:p>
  </w:footnote>
  <w:footnote w:id="20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Economic Resilience: What Role for Policies? // OECD Economics Department Working Papers. 2015. No. 1251. P. 5-7. DOI: </w:t>
      </w:r>
      <w:hyperlink r:id="rId1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1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6. DOI: </w:t>
      </w:r>
      <w:hyperlink r:id="rId1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No. 20. Paris: OECD Publishing, 2017. P. 7-8. DOI: </w:t>
      </w:r>
      <w:hyperlink r:id="rId2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2017. No. 20. P. 8. DOI: </w:t>
      </w:r>
      <w:hyperlink r:id="rId2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22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2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35-37. DOI: </w:t>
      </w:r>
      <w:hyperlink r:id="rId2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57. DOI: </w:t>
      </w:r>
      <w:hyperlink r:id="rId2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7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2020. P. 57-59. DOI: </w:t>
      </w:r>
      <w:hyperlink r:id="rId25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8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 et al. IT Shields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2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</w:p>
  </w:footnote>
  <w:footnote w:id="2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Digital Economy Outlook 2024. Vol. 1. P. 88. DOI: </w:t>
      </w:r>
      <w:hyperlink r:id="rId2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E-commerce statistics for individuals // Statistics Explained. Luxembourg: Eurostat, 2023. URL: </w:t>
      </w:r>
      <w:hyperlink r:id="rId2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https://ec.europa.eu/eurostat/statistics-explained/index.php/E-commerce_statistics_for_individuals</w:t>
        </w:r>
      </w:hyperlink>
    </w:p>
  </w:footnote>
  <w:footnote w:id="3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 Digital Economy Outlook 2024. Vol. 1. Paris: OECD Publishing, 2024. P. 92. DOI: </w:t>
      </w:r>
      <w:hyperlink r:id="rId2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2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Digital Economy Report 2021. New York: United Nations, 2021. URL: </w:t>
      </w:r>
      <w:hyperlink r:id="rId30" w:tgtFrame="_new" w:history="1">
        <w:r w:rsidRPr="00081992">
          <w:rPr>
            <w:rStyle w:val="a5"/>
            <w:rFonts w:ascii="Times New Roman" w:hAnsi="Times New Roman" w:cs="Times New Roman"/>
          </w:rPr>
          <w:t>https://unctad.org/webflyer/digital-economy-report-2021</w:t>
        </w:r>
      </w:hyperlink>
    </w:p>
  </w:footnote>
  <w:footnote w:id="33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31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34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Gori F. Can Reforms Promoting Growth Increase Financial Fragility? // OECD Economics Department Working Papers. 2016. No. 1340. DOI: </w:t>
      </w:r>
      <w:hyperlink r:id="rId32" w:history="1">
        <w:r w:rsidRPr="00081992">
          <w:rPr>
            <w:rStyle w:val="a5"/>
            <w:rFonts w:ascii="Times New Roman" w:hAnsi="Times New Roman" w:cs="Times New Roman"/>
          </w:rPr>
          <w:t>https://doi.org/10.1787/5jln0421ld25-en</w:t>
        </w:r>
      </w:hyperlink>
    </w:p>
  </w:footnote>
  <w:footnote w:id="35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Education Estonia. How it all began? From Tiger Leap to digital society. 2023. URL: </w:t>
      </w:r>
      <w:hyperlink r:id="rId33" w:tgtFrame="_new" w:history="1">
        <w:r w:rsidRPr="00081992">
          <w:rPr>
            <w:rStyle w:val="a5"/>
            <w:rFonts w:ascii="Times New Roman" w:hAnsi="Times New Roman" w:cs="Times New Roman"/>
          </w:rPr>
          <w:t>https://www.educationestonia.org/tiger-leap/</w:t>
        </w:r>
      </w:hyperlink>
    </w:p>
  </w:footnote>
  <w:footnote w:id="3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Tambur</w:t>
      </w:r>
      <w:proofErr w:type="spellEnd"/>
      <w:r w:rsidRPr="00081992">
        <w:rPr>
          <w:rFonts w:ascii="Times New Roman" w:hAnsi="Times New Roman" w:cs="Times New Roman"/>
        </w:rPr>
        <w:t xml:space="preserve"> S. Estonia’s Tiger Leap: The Schools Project That Wired a Nation for the Digital Age // Estonian World. 21.02.2026. URL: </w:t>
      </w:r>
      <w:hyperlink r:id="rId34" w:history="1">
        <w:r w:rsidRPr="00081992">
          <w:rPr>
            <w:rStyle w:val="a5"/>
            <w:rFonts w:ascii="Times New Roman" w:hAnsi="Times New Roman" w:cs="Times New Roman"/>
          </w:rPr>
          <w:t>https://estonianworld.com/technology/estonias-tiger-leap-the-schools-project-that-wired-a-nation-for-the-digital-age/</w:t>
        </w:r>
      </w:hyperlink>
    </w:p>
  </w:footnote>
  <w:footnote w:id="3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 Global. X-Road History. URL: </w:t>
      </w:r>
      <w:hyperlink r:id="rId35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https://x-road.global/xroad-history</w:t>
        </w:r>
      </w:hyperlink>
    </w:p>
  </w:footnote>
  <w:footnote w:id="3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Cybernetica</w:t>
      </w:r>
      <w:proofErr w:type="spellEnd"/>
      <w:r w:rsidRPr="00081992">
        <w:rPr>
          <w:rFonts w:ascii="Times New Roman" w:hAnsi="Times New Roman" w:cs="Times New Roman"/>
        </w:rPr>
        <w:t xml:space="preserve">. Estonian Interoperability Framework X-Road. 2021. URL: </w:t>
      </w:r>
      <w:hyperlink r:id="rId36" w:tgtFrame="_new" w:history="1">
        <w:r w:rsidRPr="00081992">
          <w:rPr>
            <w:rStyle w:val="a5"/>
            <w:rFonts w:ascii="Times New Roman" w:hAnsi="Times New Roman" w:cs="Times New Roman"/>
          </w:rPr>
          <w:t>https://cyber.ee/resources/case-studies/estonian-interoperability-framework-x-road/</w:t>
        </w:r>
      </w:hyperlink>
    </w:p>
  </w:footnote>
  <w:footnote w:id="3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Invest in Estonia. E-Residency Brings Record Revenue in First Half of 2025. August 2025. URL: </w:t>
      </w:r>
      <w:hyperlink r:id="rId37" w:tgtFrame="_new" w:history="1">
        <w:r w:rsidRPr="00081992">
          <w:rPr>
            <w:rStyle w:val="a5"/>
            <w:rFonts w:ascii="Times New Roman" w:hAnsi="Times New Roman" w:cs="Times New Roman"/>
          </w:rPr>
          <w:t>https://investinestonia.com/e-residency-brings-record-revenue-in-first-half-of-2025/</w:t>
        </w:r>
      </w:hyperlink>
    </w:p>
  </w:footnote>
  <w:footnote w:id="4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Baltic Times. New Milestone for e-Residency with Record Number of Companies Founded in 2024. January 2025. URL: </w:t>
      </w:r>
      <w:hyperlink r:id="rId38" w:tgtFrame="_new" w:history="1">
        <w:r w:rsidRPr="00081992">
          <w:rPr>
            <w:rStyle w:val="a5"/>
            <w:rFonts w:ascii="Times New Roman" w:hAnsi="Times New Roman" w:cs="Times New Roman"/>
          </w:rPr>
          <w:t>https://www.baltictimes.com/new_milestone_for_e-residency_with_record_number_of_companies_founded_in_2024/</w:t>
        </w:r>
      </w:hyperlink>
    </w:p>
  </w:footnote>
  <w:footnote w:id="4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2024. New York: United Nations, 2024. URL: </w:t>
      </w:r>
      <w:hyperlink r:id="rId39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</w:t>
        </w:r>
      </w:hyperlink>
    </w:p>
  </w:footnote>
  <w:footnote w:id="4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IEA. Korean New Deal - Digital New Deal, Green New Deal and Stronger Safety Net. 2021. URL: </w:t>
      </w:r>
      <w:hyperlink r:id="rId40" w:tgtFrame="_new" w:history="1">
        <w:r w:rsidRPr="00081992">
          <w:rPr>
            <w:rStyle w:val="a5"/>
            <w:rFonts w:ascii="Times New Roman" w:hAnsi="Times New Roman" w:cs="Times New Roman"/>
          </w:rPr>
          <w:t>https://www.iea.org/policies/11514-korean-new-deal-digital-new-deal-green-new-deal-and-stronger-safety-net</w:t>
        </w:r>
      </w:hyperlink>
    </w:p>
  </w:footnote>
  <w:footnote w:id="4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41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4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KEIA. The Korean New Deal // The Peninsula. July 2021. URL: </w:t>
      </w:r>
      <w:hyperlink r:id="rId42" w:tgtFrame="_new" w:history="1">
        <w:r w:rsidRPr="00081992">
          <w:rPr>
            <w:rStyle w:val="a5"/>
            <w:rFonts w:ascii="Times New Roman" w:hAnsi="Times New Roman" w:cs="Times New Roman"/>
          </w:rPr>
          <w:t>https://keia.org/the-peninsula/the-korean-new-deal/</w:t>
        </w:r>
      </w:hyperlink>
    </w:p>
  </w:footnote>
  <w:footnote w:id="4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MSIT Korea. Digital New Deal Secures Future Growth Engine. August 2021. URL: </w:t>
      </w:r>
      <w:hyperlink r:id="rId43" w:tgtFrame="_new" w:history="1">
        <w:r w:rsidRPr="00081992">
          <w:rPr>
            <w:rStyle w:val="a5"/>
            <w:rFonts w:ascii="Times New Roman" w:hAnsi="Times New Roman" w:cs="Times New Roman"/>
          </w:rPr>
          <w:t>https://www.prnewswire.com/news-releases/digital-new-deal-secures-future-growth-engine-301346790.html</w:t>
        </w:r>
      </w:hyperlink>
    </w:p>
  </w:footnote>
  <w:footnote w:id="4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Diplomat. South Korea’s Digital New Deal. June 2020. URL: </w:t>
      </w:r>
      <w:hyperlink r:id="rId44" w:tgtFrame="_new" w:history="1">
        <w:r w:rsidRPr="00081992">
          <w:rPr>
            <w:rStyle w:val="a5"/>
            <w:rFonts w:ascii="Times New Roman" w:hAnsi="Times New Roman" w:cs="Times New Roman"/>
          </w:rPr>
          <w:t>https://thediplomat.com/2020/06/south-koreas-digital-new-deal/</w:t>
        </w:r>
      </w:hyperlink>
    </w:p>
  </w:footnote>
  <w:footnote w:id="4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Republic of Korea: Country Information. E-Government Development Index 2024. URL: </w:t>
      </w:r>
      <w:hyperlink r:id="rId45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https://publicadministration.un.org/egovkb/en-us/Data/Country-Information/id/138-Republic-of-Korea</w:t>
        </w:r>
      </w:hyperlink>
    </w:p>
  </w:footnote>
  <w:footnote w:id="4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GovInsider</w:t>
      </w:r>
      <w:proofErr w:type="spellEnd"/>
      <w:r w:rsidRPr="00081992">
        <w:rPr>
          <w:rFonts w:ascii="Times New Roman" w:hAnsi="Times New Roman" w:cs="Times New Roman"/>
        </w:rPr>
        <w:t xml:space="preserve">. Leaving </w:t>
      </w:r>
      <w:proofErr w:type="gramStart"/>
      <w:r w:rsidRPr="00081992">
        <w:rPr>
          <w:rFonts w:ascii="Times New Roman" w:hAnsi="Times New Roman" w:cs="Times New Roman"/>
        </w:rPr>
        <w:t>No</w:t>
      </w:r>
      <w:proofErr w:type="gramEnd"/>
      <w:r w:rsidRPr="00081992">
        <w:rPr>
          <w:rFonts w:ascii="Times New Roman" w:hAnsi="Times New Roman" w:cs="Times New Roman"/>
        </w:rPr>
        <w:t xml:space="preserve"> One Behind Will Determine Success of Smart Nation 2.0. 2024. URL: </w:t>
      </w:r>
      <w:hyperlink r:id="rId46" w:tgtFrame="_new" w:history="1">
        <w:r w:rsidRPr="00081992">
          <w:rPr>
            <w:rStyle w:val="a5"/>
            <w:rFonts w:ascii="Times New Roman" w:hAnsi="Times New Roman" w:cs="Times New Roman"/>
          </w:rPr>
          <w:t>https://govinsider.asia/intl-en/article/leaving-no-one-behind-will-determine-success-of-smart-nation-20</w:t>
        </w:r>
      </w:hyperlink>
    </w:p>
  </w:footnote>
  <w:footnote w:id="4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Southeast Asia Infrastructure. Digital Leap: Singapore’s Blueprint for Smart Nation 2.0. 2025. URL: </w:t>
      </w:r>
      <w:hyperlink r:id="rId47" w:tgtFrame="_new" w:history="1">
        <w:r w:rsidRPr="00081992">
          <w:rPr>
            <w:rStyle w:val="a5"/>
            <w:rFonts w:ascii="Times New Roman" w:hAnsi="Times New Roman" w:cs="Times New Roman"/>
          </w:rPr>
          <w:t>https://southeastasiainfra.com/digital-leap-singapores-blueprint-for-smart-nation-2-0/</w:t>
        </w:r>
      </w:hyperlink>
    </w:p>
  </w:footnote>
  <w:footnote w:id="5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Smart Nation 2.0: Initiatives in Singapore. 2024. URL: </w:t>
      </w:r>
      <w:hyperlink r:id="rId48" w:tgtFrame="_new" w:history="1">
        <w:r w:rsidRPr="00081992">
          <w:rPr>
            <w:rStyle w:val="a5"/>
            <w:rFonts w:ascii="Times New Roman" w:hAnsi="Times New Roman" w:cs="Times New Roman"/>
          </w:rPr>
          <w:t>https://www.tech.gov.sg/technews/our-enhanced-smart-nation-vision-paving-the-way-for-a-new-digital-era/</w:t>
        </w:r>
      </w:hyperlink>
    </w:p>
  </w:footnote>
  <w:footnote w:id="5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OpenGov</w:t>
      </w:r>
      <w:proofErr w:type="spellEnd"/>
      <w:r w:rsidRPr="00081992">
        <w:rPr>
          <w:rFonts w:ascii="Times New Roman" w:hAnsi="Times New Roman" w:cs="Times New Roman"/>
        </w:rPr>
        <w:t xml:space="preserve"> Asia. Singapore: Milestones and Momentum of a Smart Nation. December 2025. URL: </w:t>
      </w:r>
      <w:hyperlink r:id="rId49" w:tgtFrame="_new" w:history="1">
        <w:r w:rsidRPr="00081992">
          <w:rPr>
            <w:rStyle w:val="a5"/>
            <w:rFonts w:ascii="Times New Roman" w:hAnsi="Times New Roman" w:cs="Times New Roman"/>
          </w:rPr>
          <w:t>https://opengovasia.com/singapore-milestones-and-momentum-of-a-smart-nation/</w:t>
        </w:r>
      </w:hyperlink>
    </w:p>
  </w:footnote>
  <w:footnote w:id="5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MD. World Digital Competitiveness Ranking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2024; UN DESA. Singapore: EGDI 2024. URL: </w:t>
      </w:r>
      <w:hyperlink r:id="rId50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https://publicadministration.un.org/egovkb/en-us/Data/Country-Information/id/156-Singapore</w:t>
        </w:r>
      </w:hyperlink>
    </w:p>
  </w:footnote>
  <w:footnote w:id="5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Przepióra</w:t>
      </w:r>
      <w:proofErr w:type="spellEnd"/>
      <w:r w:rsidRPr="00081992">
        <w:rPr>
          <w:rFonts w:ascii="Times New Roman" w:hAnsi="Times New Roman" w:cs="Times New Roman"/>
        </w:rPr>
        <w:t xml:space="preserve"> P. Digital State: How Poland Became a European Leader in </w:t>
      </w:r>
      <w:proofErr w:type="spellStart"/>
      <w:r w:rsidRPr="00081992">
        <w:rPr>
          <w:rFonts w:ascii="Times New Roman" w:hAnsi="Times New Roman" w:cs="Times New Roman"/>
        </w:rPr>
        <w:t>Digitalisation</w:t>
      </w:r>
      <w:proofErr w:type="spellEnd"/>
      <w:r w:rsidRPr="00081992">
        <w:rPr>
          <w:rFonts w:ascii="Times New Roman" w:hAnsi="Times New Roman" w:cs="Times New Roman"/>
        </w:rPr>
        <w:t xml:space="preserve"> // Warsaw Institute. 09.10.2025. URL: </w:t>
      </w:r>
      <w:hyperlink r:id="rId51" w:history="1">
        <w:r w:rsidRPr="00081992">
          <w:rPr>
            <w:rStyle w:val="a5"/>
            <w:rFonts w:ascii="Times New Roman" w:hAnsi="Times New Roman" w:cs="Times New Roman"/>
          </w:rPr>
          <w:t xml:space="preserve">Digital State: How Poland Became a European Leader in 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Digitalisation</w:t>
        </w:r>
        <w:proofErr w:type="spellEnd"/>
        <w:r w:rsidRPr="00081992">
          <w:rPr>
            <w:rStyle w:val="a5"/>
            <w:rFonts w:ascii="Times New Roman" w:hAnsi="Times New Roman" w:cs="Times New Roman"/>
          </w:rPr>
          <w:t xml:space="preserve"> | Warsaw Institute</w:t>
        </w:r>
      </w:hyperlink>
    </w:p>
  </w:footnote>
  <w:footnote w:id="5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Digital Connectivity in Poland // Shaping Europe’s Digital Future. Last update: 04.02.2026. URL: </w:t>
      </w:r>
      <w:hyperlink r:id="rId52" w:history="1">
        <w:r w:rsidRPr="00081992">
          <w:rPr>
            <w:rStyle w:val="a5"/>
            <w:rFonts w:ascii="Times New Roman" w:hAnsi="Times New Roman" w:cs="Times New Roman"/>
          </w:rPr>
          <w:t>Digital connectivity in Poland | Shaping Europe’s digital future</w:t>
        </w:r>
      </w:hyperlink>
    </w:p>
  </w:footnote>
  <w:footnote w:id="5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AIN.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 2.0: Digital ID Became Equal to Plastic Document in Poland. 14.07.2023. URL: </w:t>
      </w:r>
      <w:hyperlink r:id="rId53" w:tgtFrame="_new" w:history="1">
        <w:r w:rsidRPr="00081992">
          <w:rPr>
            <w:rStyle w:val="a5"/>
            <w:rFonts w:ascii="Times New Roman" w:hAnsi="Times New Roman" w:cs="Times New Roman"/>
          </w:rPr>
          <w:t>https://en.ain.ua/2023/07/14/poland-digital-ids-equal-traditional-documents/</w:t>
        </w:r>
      </w:hyperlink>
    </w:p>
  </w:footnote>
  <w:footnote w:id="5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Biometric Update. Poland Campaigns to Boost the Use of Its Digital ID Platform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. August 2025. URL: </w:t>
      </w:r>
      <w:hyperlink r:id="rId54" w:tgtFrame="_new" w:history="1">
        <w:r w:rsidRPr="00081992">
          <w:rPr>
            <w:rStyle w:val="a5"/>
            <w:rFonts w:ascii="Times New Roman" w:hAnsi="Times New Roman" w:cs="Times New Roman"/>
          </w:rPr>
          <w:t>https://www.biometricupdate.com/202508/poland-campaigns-to-boost-the-use-of-its-digital-id-platform-mobywatel</w:t>
        </w:r>
      </w:hyperlink>
    </w:p>
  </w:footnote>
  <w:footnote w:id="5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International Trade Administration. Poland - Digital Economy // Country Commercial Guides. 2026. URL: </w:t>
      </w:r>
      <w:hyperlink r:id="rId55" w:tgtFrame="_new" w:history="1">
        <w:r w:rsidRPr="00081992">
          <w:rPr>
            <w:rStyle w:val="a5"/>
            <w:rFonts w:ascii="Times New Roman" w:hAnsi="Times New Roman" w:cs="Times New Roman"/>
          </w:rPr>
          <w:t>https://www.trade.gov/country-commercial-guides/poland-digital-economy</w:t>
        </w:r>
      </w:hyperlink>
    </w:p>
  </w:footnote>
  <w:footnote w:id="5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1. P. 24-25. DOI: </w:t>
      </w:r>
      <w:hyperlink r:id="rId56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5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IMDA. Singapore Digital Economy Report 2024. 2024. P. 8. URL: </w:t>
      </w:r>
      <w:hyperlink r:id="rId57" w:history="1">
        <w:r w:rsidRPr="00081992">
          <w:rPr>
            <w:rStyle w:val="a5"/>
            <w:rFonts w:ascii="Times New Roman" w:hAnsi="Times New Roman" w:cs="Times New Roman"/>
          </w:rPr>
          <w:t>singapore-digital-economy-report-2024.pdf</w:t>
        </w:r>
      </w:hyperlink>
    </w:p>
  </w:footnote>
  <w:footnote w:id="6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Real GDP Growth Rate - Volume: Estonia, Annual Data 2020-2022. URL: </w:t>
      </w:r>
      <w:hyperlink r:id="rId5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6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CSR Universe. Estonia: A Fine Model of E-governance for the World. January 2025. URL: </w:t>
      </w:r>
      <w:hyperlink r:id="rId59" w:tgtFrame="_new" w:history="1">
        <w:r w:rsidRPr="00081992">
          <w:rPr>
            <w:rStyle w:val="a5"/>
            <w:rFonts w:ascii="Times New Roman" w:hAnsi="Times New Roman" w:cs="Times New Roman"/>
          </w:rPr>
          <w:t>https://thecsruniverse.com/articles/estonia-a-fine-model-of-e-governance-for-the-world</w:t>
        </w:r>
      </w:hyperlink>
    </w:p>
  </w:footnote>
  <w:footnote w:id="6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2024: Estonia - Real GDP Growth. Washington, DC: International Monetary Fund, 2024. URL: </w:t>
      </w:r>
      <w:hyperlink r:id="rId60" w:tgtFrame="_new" w:history="1">
        <w:r w:rsidRPr="00081992">
          <w:rPr>
            <w:rStyle w:val="a5"/>
            <w:rFonts w:ascii="Times New Roman" w:hAnsi="Times New Roman" w:cs="Times New Roman"/>
          </w:rPr>
          <w:t>https://www.imf.org/en/Publications/WEO/weo-database/2024/April</w:t>
        </w:r>
      </w:hyperlink>
    </w:p>
  </w:footnote>
  <w:footnote w:id="6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Parliament. Estonia’s National Recovery and Resilience Plan: Latest State of Play // EPRS Briefing. 2023. URL: </w:t>
      </w:r>
      <w:hyperlink r:id="rId61" w:tgtFrame="_new" w:history="1">
        <w:r w:rsidRPr="00081992">
          <w:rPr>
            <w:rStyle w:val="a5"/>
            <w:rFonts w:ascii="Times New Roman" w:hAnsi="Times New Roman" w:cs="Times New Roman"/>
          </w:rPr>
          <w:t>https://www.europarl.europa.eu/thinktank/en/document/EPRS_BRI(2022)698886</w:t>
        </w:r>
      </w:hyperlink>
    </w:p>
  </w:footnote>
  <w:footnote w:id="6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Stangarone</w:t>
      </w:r>
      <w:proofErr w:type="spellEnd"/>
      <w:r w:rsidRPr="00081992">
        <w:rPr>
          <w:rFonts w:ascii="Times New Roman" w:hAnsi="Times New Roman" w:cs="Times New Roman"/>
        </w:rPr>
        <w:t xml:space="preserve"> T. South Korea’s Strong Economic Performance Faces Post-Pandemic Challenges // East Asia Forum. 04.02.2022. URL: </w:t>
      </w:r>
      <w:hyperlink r:id="rId62" w:tgtFrame="_new" w:history="1">
        <w:r w:rsidRPr="00081992">
          <w:rPr>
            <w:rStyle w:val="a5"/>
            <w:rFonts w:ascii="Times New Roman" w:hAnsi="Times New Roman" w:cs="Times New Roman"/>
          </w:rPr>
          <w:t>https://eastasiaforum.org/2022/02/04/south-koreas-strong-economic-performance-faces-post-pandemic-challenges/</w:t>
        </w:r>
      </w:hyperlink>
    </w:p>
  </w:footnote>
  <w:footnote w:id="6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Korean Re. Bulletin No. 180: Economic Outlook 2021. URL: </w:t>
      </w:r>
      <w:hyperlink r:id="rId63" w:tgtFrame="_new" w:history="1">
        <w:r w:rsidRPr="00081992">
          <w:rPr>
            <w:rStyle w:val="a5"/>
            <w:rFonts w:ascii="Times New Roman" w:hAnsi="Times New Roman" w:cs="Times New Roman"/>
          </w:rPr>
          <w:t>http://eng.koreanre.co.kr/webzine/Bulletin_180/bull1.html</w:t>
        </w:r>
      </w:hyperlink>
    </w:p>
  </w:footnote>
  <w:footnote w:id="66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Bank of Korea. Consumer Price Index: July 2022. Seoul: Bank of Korea, 2022. URL: </w:t>
      </w:r>
      <w:hyperlink r:id="rId64" w:tgtFrame="_new" w:history="1">
        <w:r w:rsidRPr="00081992">
          <w:rPr>
            <w:rStyle w:val="a5"/>
            <w:rFonts w:ascii="Times New Roman" w:hAnsi="Times New Roman" w:cs="Times New Roman"/>
          </w:rPr>
          <w:t>https://www.bok.or.kr/eng/main/main.do</w:t>
        </w:r>
      </w:hyperlink>
    </w:p>
  </w:footnote>
  <w:footnote w:id="67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65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68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S&amp;P Global Market Intelligence. Singapore Economy Continues on Road to Recovery. July 2022. URL: </w:t>
      </w:r>
      <w:hyperlink r:id="rId66" w:tgtFrame="_new" w:history="1">
        <w:r w:rsidRPr="00081992">
          <w:rPr>
            <w:rStyle w:val="a5"/>
            <w:rFonts w:ascii="Times New Roman" w:hAnsi="Times New Roman" w:cs="Times New Roman"/>
          </w:rPr>
          <w:t>https://www.spglobal.com/marketintelligence/en/mi/research-analysis/singapore-economy-continues-on-road-to-recovery-july22.html</w:t>
        </w:r>
      </w:hyperlink>
    </w:p>
  </w:footnote>
  <w:footnote w:id="69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ip</w:t>
      </w:r>
      <w:proofErr w:type="spellEnd"/>
      <w:r w:rsidRPr="00081992">
        <w:rPr>
          <w:rFonts w:ascii="Times New Roman" w:hAnsi="Times New Roman" w:cs="Times New Roman"/>
        </w:rPr>
        <w:t xml:space="preserve">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7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Smart Nation Singapore. </w:t>
      </w:r>
      <w:proofErr w:type="spellStart"/>
      <w:r w:rsidRPr="00081992">
        <w:rPr>
          <w:rFonts w:ascii="Times New Roman" w:hAnsi="Times New Roman" w:cs="Times New Roman"/>
        </w:rPr>
        <w:t>TraceTogether</w:t>
      </w:r>
      <w:proofErr w:type="spellEnd"/>
      <w:r w:rsidRPr="00081992">
        <w:rPr>
          <w:rFonts w:ascii="Times New Roman" w:hAnsi="Times New Roman" w:cs="Times New Roman"/>
        </w:rPr>
        <w:t xml:space="preserve"> reduced contact tracing time from 4 days to less than 1.5 days. 2021. </w:t>
      </w:r>
      <w:proofErr w:type="spellStart"/>
      <w:r w:rsidRPr="00081992">
        <w:rPr>
          <w:rFonts w:ascii="Times New Roman" w:hAnsi="Times New Roman" w:cs="Times New Roman"/>
        </w:rPr>
        <w:t>Цит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по</w:t>
      </w:r>
      <w:proofErr w:type="spellEnd"/>
      <w:r w:rsidRPr="00081992">
        <w:rPr>
          <w:rFonts w:ascii="Times New Roman" w:hAnsi="Times New Roman" w:cs="Times New Roman"/>
        </w:rPr>
        <w:t xml:space="preserve">: Yip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8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Finance of Singapore. Ministerial Statement on COVID-19 Strategy. 2020. URL: </w:t>
      </w:r>
      <w:hyperlink r:id="rId69" w:tgtFrame="_new" w:history="1">
        <w:r w:rsidRPr="00081992">
          <w:rPr>
            <w:rStyle w:val="a5"/>
            <w:rFonts w:ascii="Times New Roman" w:hAnsi="Times New Roman" w:cs="Times New Roman"/>
          </w:rPr>
          <w:t>https://www.mof.gov.sg/news-resources/newsroom/ministerial-statement-on-overview-of-government-s-strategy-to-emerge-stronger-from-the-covid-19-pandemic/</w:t>
        </w:r>
      </w:hyperlink>
    </w:p>
  </w:footnote>
  <w:footnote w:id="7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Polish Economy Returns to Growth Amidst Pandemic-Related Setbacks. 31.03.2021. URL: </w:t>
      </w:r>
      <w:hyperlink r:id="rId70" w:tgtFrame="_new" w:history="1">
        <w:r w:rsidRPr="00081992">
          <w:rPr>
            <w:rStyle w:val="a5"/>
            <w:rFonts w:ascii="Times New Roman" w:hAnsi="Times New Roman" w:cs="Times New Roman"/>
          </w:rPr>
          <w:t>https://www.worldbank.org/en/news/press-release/2021/03/31/polish-economy-returns-to-growth-amidst-pandemic-related-setbacks</w:t>
        </w:r>
      </w:hyperlink>
    </w:p>
  </w:footnote>
  <w:footnote w:id="7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Department of State. 2023 Investment Climate Statements: Poland. URL: </w:t>
      </w:r>
      <w:hyperlink r:id="rId71" w:tgtFrame="_new" w:history="1">
        <w:r w:rsidRPr="00081992">
          <w:rPr>
            <w:rStyle w:val="a5"/>
            <w:rFonts w:ascii="Times New Roman" w:hAnsi="Times New Roman" w:cs="Times New Roman"/>
          </w:rPr>
          <w:t>https://www.state.gov/reports/2023-investment-climate-statements/poland</w:t>
        </w:r>
      </w:hyperlink>
    </w:p>
  </w:footnote>
  <w:footnote w:id="7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International Energy Agency. Poland 2022 - Energy Policy Review: Executive Summary. URL: </w:t>
      </w:r>
      <w:hyperlink r:id="rId72" w:tgtFrame="_new" w:history="1">
        <w:r w:rsidRPr="00081992">
          <w:rPr>
            <w:rStyle w:val="a5"/>
            <w:rFonts w:ascii="Times New Roman" w:hAnsi="Times New Roman" w:cs="Times New Roman"/>
          </w:rPr>
          <w:t>https://www.iea.org/reports/poland-2022/executive-summary</w:t>
        </w:r>
      </w:hyperlink>
    </w:p>
  </w:footnote>
  <w:footnote w:id="7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Friedrich-Ebert-</w:t>
      </w:r>
      <w:proofErr w:type="spellStart"/>
      <w:r w:rsidRPr="00081992">
        <w:rPr>
          <w:rFonts w:ascii="Times New Roman" w:hAnsi="Times New Roman" w:cs="Times New Roman"/>
        </w:rPr>
        <w:t>Stiftung</w:t>
      </w:r>
      <w:proofErr w:type="spellEnd"/>
      <w:r w:rsidRPr="00081992">
        <w:rPr>
          <w:rFonts w:ascii="Times New Roman" w:hAnsi="Times New Roman" w:cs="Times New Roman"/>
        </w:rPr>
        <w:t xml:space="preserve">. What to Do About Inflation? Poland. 2022. URL: </w:t>
      </w:r>
      <w:hyperlink r:id="rId73" w:tgtFrame="_new" w:history="1">
        <w:r w:rsidRPr="00081992">
          <w:rPr>
            <w:rStyle w:val="a5"/>
            <w:rFonts w:ascii="Times New Roman" w:hAnsi="Times New Roman" w:cs="Times New Roman"/>
          </w:rPr>
          <w:t>https://www.fes.de/en/progressive-fiscal-policy/inflation/what-to-do-about-inflation/what-to-do-about-inflation-poland</w:t>
        </w:r>
      </w:hyperlink>
    </w:p>
  </w:footnote>
  <w:footnote w:id="7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2024. Washington, DC: International Monetary Fund, 2024; Eurostat. Real GDP Growth Rate - Volume. URL: </w:t>
      </w:r>
      <w:hyperlink r:id="rId74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77">
    <w:p w:rsidR="00CA034D" w:rsidRPr="00081992" w:rsidRDefault="00CA034D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Development Indicators (WDI). URL: </w:t>
      </w:r>
      <w:hyperlink r:id="rId75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https://databank.worldbank.org/source/world-development-indicators</w:t>
        </w:r>
      </w:hyperlink>
    </w:p>
  </w:footnote>
  <w:footnote w:id="78">
    <w:p w:rsidR="00CA034D" w:rsidRPr="00081992" w:rsidRDefault="00CA034D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Bank Country and Lending Groups. URL: </w:t>
      </w:r>
      <w:hyperlink r:id="rId76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https://datahelpdesk.worldbank.org/knowledgebase/articles/906519</w:t>
        </w:r>
      </w:hyperlink>
    </w:p>
  </w:footnote>
  <w:footnote w:id="79">
    <w:p w:rsidR="00CA034D" w:rsidRPr="00081992" w:rsidRDefault="00CA034D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UNCTAD. World Investment Report 2023. Geneva: United Nations, 2023. URL: </w:t>
      </w:r>
      <w:hyperlink r:id="rId77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https://unctad.org/publication/world-investment-report-2023</w:t>
        </w:r>
      </w:hyperlink>
    </w:p>
  </w:footnote>
  <w:footnote w:id="8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Wooldridge J. M. Econometric Analysis of Cross Section and Panel Data. 2nd ed. MIT Press, 2010. P. 286-288.</w:t>
      </w:r>
    </w:p>
  </w:footnote>
  <w:footnote w:id="8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Czernich</w:t>
      </w:r>
      <w:proofErr w:type="spellEnd"/>
      <w:r w:rsidRPr="00081992">
        <w:rPr>
          <w:rFonts w:ascii="Times New Roman" w:hAnsi="Times New Roman" w:cs="Times New Roman"/>
        </w:rPr>
        <w:t xml:space="preserve"> N.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Broadband Infrastructure and Economic Growth // The Economic Journal. </w:t>
      </w:r>
      <w:r w:rsidRPr="00081992">
        <w:rPr>
          <w:rFonts w:ascii="Times New Roman" w:hAnsi="Times New Roman" w:cs="Times New Roman"/>
          <w:lang w:val="ru-RU"/>
        </w:rPr>
        <w:t xml:space="preserve">2011.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121, </w:t>
      </w:r>
      <w:r w:rsidRPr="00081992">
        <w:rPr>
          <w:rFonts w:ascii="Times New Roman" w:hAnsi="Times New Roman" w:cs="Times New Roman"/>
        </w:rPr>
        <w:t>No</w:t>
      </w:r>
      <w:r w:rsidRPr="00081992">
        <w:rPr>
          <w:rFonts w:ascii="Times New Roman" w:hAnsi="Times New Roman" w:cs="Times New Roman"/>
          <w:lang w:val="ru-RU"/>
        </w:rPr>
        <w:t xml:space="preserve">. 552. </w:t>
      </w:r>
      <w:r w:rsidRPr="00081992">
        <w:rPr>
          <w:rFonts w:ascii="Times New Roman" w:hAnsi="Times New Roman" w:cs="Times New Roman"/>
        </w:rPr>
        <w:t>P</w:t>
      </w:r>
      <w:r w:rsidRPr="00081992">
        <w:rPr>
          <w:rFonts w:ascii="Times New Roman" w:hAnsi="Times New Roman" w:cs="Times New Roman"/>
          <w:lang w:val="ru-RU"/>
        </w:rPr>
        <w:t xml:space="preserve">. 505-532.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78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/10.1111/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.1468-0297.2011.02420.</w:t>
        </w:r>
        <w:r w:rsidRPr="00081992">
          <w:rPr>
            <w:rStyle w:val="a5"/>
            <w:rFonts w:ascii="Times New Roman" w:hAnsi="Times New Roman" w:cs="Times New Roman"/>
          </w:rPr>
          <w:t>x</w:t>
        </w:r>
      </w:hyperlink>
    </w:p>
  </w:footnote>
  <w:footnote w:id="8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05.10.2020 «Об утверждении Стратегии “Цифровой Узбекистан - 2030”». </w:t>
      </w:r>
      <w:r w:rsidRPr="00081992">
        <w:rPr>
          <w:rFonts w:ascii="Times New Roman" w:hAnsi="Times New Roman" w:cs="Times New Roman"/>
        </w:rPr>
        <w:t xml:space="preserve">URL: </w:t>
      </w:r>
      <w:hyperlink r:id="rId79" w:history="1">
        <w:r w:rsidRPr="00081992">
          <w:rPr>
            <w:rStyle w:val="a5"/>
            <w:rFonts w:ascii="Times New Roman" w:hAnsi="Times New Roman" w:cs="Times New Roman"/>
          </w:rPr>
          <w:t>https://lex.uz/ru/docs/5031048</w:t>
        </w:r>
      </w:hyperlink>
    </w:p>
  </w:footnote>
  <w:footnote w:id="8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Embassy of the Republic of Uzbekistan in Ukraine. Digital Transformation of Uzbekistan Promotes Regional Integration in Central Asia. URL: </w:t>
      </w:r>
      <w:hyperlink r:id="rId80" w:tgtFrame="_new" w:history="1">
        <w:r w:rsidRPr="00081992">
          <w:rPr>
            <w:rStyle w:val="a5"/>
            <w:rFonts w:ascii="Times New Roman" w:hAnsi="Times New Roman" w:cs="Times New Roman"/>
          </w:rPr>
          <w:t>https://www.uzbekistan.org.ua/en/news/7390-digital-transformation-of-uzbekistan-promotes-regional-integration-in-central-asia.html</w:t>
        </w:r>
      </w:hyperlink>
    </w:p>
  </w:footnote>
  <w:footnote w:id="8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"Цифровой Узбекистан — 2030" и мерах по её эффективной реализации»; </w:t>
      </w:r>
      <w:r w:rsidRPr="00081992">
        <w:rPr>
          <w:rFonts w:ascii="Times New Roman" w:hAnsi="Times New Roman" w:cs="Times New Roman"/>
        </w:rPr>
        <w:t>Beyond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Investments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Group</w:t>
      </w:r>
      <w:r w:rsidRPr="00081992">
        <w:rPr>
          <w:rFonts w:ascii="Times New Roman" w:hAnsi="Times New Roman" w:cs="Times New Roman"/>
          <w:lang w:val="ru-RU"/>
        </w:rPr>
        <w:t xml:space="preserve">. </w:t>
      </w:r>
      <w:r w:rsidRPr="00081992">
        <w:rPr>
          <w:rFonts w:ascii="Times New Roman" w:hAnsi="Times New Roman" w:cs="Times New Roman"/>
        </w:rPr>
        <w:t>Industry &amp; ICT — The Investor Uzbekistan 2023. URL</w:t>
      </w:r>
      <w:hyperlink r:id="rId81" w:history="1">
        <w:r w:rsidRPr="00081992">
          <w:rPr>
            <w:rStyle w:val="a5"/>
            <w:rFonts w:ascii="Times New Roman" w:hAnsi="Times New Roman" w:cs="Times New Roman"/>
          </w:rPr>
          <w:t>: https://www.beyondinvestmentsgroup.com/uzbekistan2023-industryandict</w:t>
        </w:r>
      </w:hyperlink>
    </w:p>
  </w:footnote>
  <w:footnote w:id="8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2024: Accelerating Digital Transformation for Sustainable Development. New York: United Nations, 2024. URL: </w:t>
      </w:r>
      <w:hyperlink r:id="rId82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8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3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Oxford Insights. Government AI Readiness Index 2023, 2024, 2025. URL: </w:t>
      </w:r>
      <w:hyperlink r:id="rId84" w:tgtFrame="_new" w:history="1">
        <w:r w:rsidRPr="00081992">
          <w:rPr>
            <w:rStyle w:val="a5"/>
            <w:rFonts w:ascii="Times New Roman" w:hAnsi="Times New Roman" w:cs="Times New Roman"/>
          </w:rPr>
          <w:t>https://oxfordinsights.com/ai-readiness/ai-readiness-index/</w:t>
        </w:r>
      </w:hyperlink>
    </w:p>
  </w:footnote>
  <w:footnote w:id="8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5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Worlddata.info. Telecommunications in Uzbekistan. URL: </w:t>
      </w:r>
      <w:hyperlink r:id="rId86" w:tgtFrame="_new" w:history="1">
        <w:r w:rsidRPr="00081992">
          <w:rPr>
            <w:rStyle w:val="a5"/>
            <w:rFonts w:ascii="Times New Roman" w:hAnsi="Times New Roman" w:cs="Times New Roman"/>
          </w:rPr>
          <w:t>https://www.worlddata.info/asia/uzbekistan/telecommunication.php</w:t>
        </w:r>
      </w:hyperlink>
    </w:p>
  </w:footnote>
  <w:footnote w:id="9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Global Economy. Uzbekistan: Internet Users. URL: </w:t>
      </w:r>
      <w:hyperlink r:id="rId87" w:tgtFrame="_new" w:history="1">
        <w:r w:rsidRPr="00081992">
          <w:rPr>
            <w:rStyle w:val="a5"/>
            <w:rFonts w:ascii="Times New Roman" w:hAnsi="Times New Roman" w:cs="Times New Roman"/>
          </w:rPr>
          <w:t>https://www.theglobaleconomy.com/Uzbekistan/Internet_users/</w:t>
        </w:r>
      </w:hyperlink>
    </w:p>
  </w:footnote>
  <w:footnote w:id="9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Freedom House. Freedom on the Net 2024 - Uzbekistan. URL: </w:t>
      </w:r>
      <w:hyperlink r:id="rId88" w:tgtFrame="_new" w:history="1">
        <w:r w:rsidRPr="00081992">
          <w:rPr>
            <w:rStyle w:val="a5"/>
            <w:rFonts w:ascii="Times New Roman" w:hAnsi="Times New Roman" w:cs="Times New Roman"/>
          </w:rPr>
          <w:t>https://freedomhouse.org/country/uzbekistan/freedom-net/2024</w:t>
        </w:r>
      </w:hyperlink>
    </w:p>
  </w:footnote>
  <w:footnote w:id="9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Ookla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Speedtest</w:t>
      </w:r>
      <w:proofErr w:type="spellEnd"/>
      <w:r w:rsidRPr="00081992">
        <w:rPr>
          <w:rFonts w:ascii="Times New Roman" w:hAnsi="Times New Roman" w:cs="Times New Roman"/>
        </w:rPr>
        <w:t xml:space="preserve"> Global Index - Uzbekistan, January 2025. URL: https://www.speedtest.net/global-index/uzbekistan</w:t>
      </w:r>
    </w:p>
  </w:footnote>
  <w:footnote w:id="93">
    <w:p w:rsidR="00CA034D" w:rsidRPr="00081992" w:rsidRDefault="00CA034D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 xml:space="preserve">. Uzbekistan’s GDP amounted to US$114.96 billion in 2024. February 2025. URL: </w:t>
      </w:r>
      <w:hyperlink r:id="rId89" w:tgtFrame="_new" w:history="1">
        <w:r w:rsidRPr="00081992">
          <w:rPr>
            <w:rStyle w:val="a5"/>
            <w:rFonts w:ascii="Times New Roman" w:hAnsi="Times New Roman" w:cs="Times New Roman"/>
          </w:rPr>
          <w:t>https://www.uzdaily.uz/en/uzbekistans-gdp-amounted-to-us11496-billion-in-2024/</w:t>
        </w:r>
      </w:hyperlink>
    </w:p>
  </w:footnote>
  <w:footnote w:id="9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>. Uzbekistan’s GDP amounted to US$114.96 billion in 2024. February 2025.</w:t>
      </w:r>
    </w:p>
  </w:footnote>
  <w:footnote w:id="9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б. г. URL: </w:t>
      </w:r>
      <w:hyperlink r:id="rId90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  <w:r w:rsidRPr="00081992">
        <w:rPr>
          <w:rFonts w:ascii="Times New Roman" w:hAnsi="Times New Roman" w:cs="Times New Roman"/>
        </w:rPr>
        <w:t>; Beyond Investments Group. Industry &amp; ICT // The Investor Uzbekistan 2023.</w:t>
      </w:r>
    </w:p>
  </w:footnote>
  <w:footnote w:id="9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TAdviser</w:t>
      </w:r>
      <w:proofErr w:type="spellEnd"/>
      <w:r w:rsidRPr="00081992">
        <w:rPr>
          <w:rFonts w:ascii="Times New Roman" w:hAnsi="Times New Roman" w:cs="Times New Roman"/>
        </w:rPr>
        <w:t xml:space="preserve">. ICT Market of Uzbekistan. 2024. URL: </w:t>
      </w:r>
      <w:hyperlink r:id="rId91" w:tgtFrame="_new" w:history="1">
        <w:r w:rsidRPr="00081992">
          <w:rPr>
            <w:rStyle w:val="a5"/>
            <w:rFonts w:ascii="Times New Roman" w:hAnsi="Times New Roman" w:cs="Times New Roman"/>
          </w:rPr>
          <w:t>https://tadviser.com/index.php/Article:ICT_market_of_Uzbekistan</w:t>
        </w:r>
      </w:hyperlink>
      <w:r w:rsidRPr="00081992">
        <w:rPr>
          <w:rFonts w:ascii="Times New Roman" w:hAnsi="Times New Roman" w:cs="Times New Roman"/>
        </w:rPr>
        <w:t>; Ministry of Digital Technologies of the Republic of Uzbekistan. Annual Report on IT Services Exports.</w:t>
      </w:r>
    </w:p>
  </w:footnote>
  <w:footnote w:id="9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Samadkulov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Allanazarov</w:t>
      </w:r>
      <w:proofErr w:type="spellEnd"/>
      <w:r w:rsidRPr="00081992">
        <w:rPr>
          <w:rFonts w:ascii="Times New Roman" w:hAnsi="Times New Roman" w:cs="Times New Roman"/>
        </w:rPr>
        <w:t xml:space="preserve"> R. Economy of the Services Sector: The Share of Tourism and IT Services in GDP. 2024. URL: </w:t>
      </w:r>
      <w:hyperlink r:id="rId92" w:tgtFrame="_new" w:history="1">
        <w:r w:rsidRPr="00081992">
          <w:rPr>
            <w:rStyle w:val="a5"/>
            <w:rFonts w:ascii="Times New Roman" w:hAnsi="Times New Roman" w:cs="Times New Roman"/>
          </w:rPr>
          <w:t>https://interspp.com/index.php/sft/article/download/1696/1293/2524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9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</w:rPr>
        <w:t>FintechNews</w:t>
      </w:r>
      <w:proofErr w:type="spellEnd"/>
      <w:r w:rsidRPr="00081992">
        <w:rPr>
          <w:rFonts w:ascii="Times New Roman" w:hAnsi="Times New Roman" w:cs="Times New Roman"/>
        </w:rPr>
        <w:t xml:space="preserve"> Switzerland. Fintech on the Rise in Uzbekistan: A Short Overview. 2024. URL: </w:t>
      </w:r>
      <w:hyperlink r:id="rId93" w:tgtFrame="_new" w:history="1">
        <w:r w:rsidRPr="00081992">
          <w:rPr>
            <w:rStyle w:val="a5"/>
            <w:rFonts w:ascii="Times New Roman" w:hAnsi="Times New Roman" w:cs="Times New Roman"/>
          </w:rPr>
          <w:t>https://fintechnews.ch/fintech/fintech-on-the-rise-in-uzbekistan-a-short-overview/69023/</w:t>
        </w:r>
      </w:hyperlink>
    </w:p>
  </w:footnote>
  <w:footnote w:id="9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>. Fintech Market Uzbekistan. 2023</w:t>
      </w:r>
    </w:p>
  </w:footnote>
  <w:footnote w:id="10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Evolution of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 in Central Asian Countries and Implications for the Region’s Economy //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. 2025. Vol. 4, No. 4. URL: </w:t>
      </w:r>
      <w:hyperlink r:id="rId94" w:tgtFrame="_new" w:history="1">
        <w:r w:rsidRPr="00081992">
          <w:rPr>
            <w:rStyle w:val="a5"/>
            <w:rFonts w:ascii="Times New Roman" w:hAnsi="Times New Roman" w:cs="Times New Roman"/>
          </w:rPr>
          <w:t>https://www.mdpi.com/2674-1032/4/4/69</w:t>
        </w:r>
      </w:hyperlink>
    </w:p>
  </w:footnote>
  <w:footnote w:id="10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Abdukadirova</w:t>
      </w:r>
      <w:proofErr w:type="spellEnd"/>
      <w:r w:rsidRPr="00081992">
        <w:rPr>
          <w:rFonts w:ascii="Times New Roman" w:hAnsi="Times New Roman" w:cs="Times New Roman"/>
        </w:rPr>
        <w:t xml:space="preserve"> N.A. Statistical Analysis of the Dynamics of Non-Cash Payments in Uzbekistan Over the Past Five Years // Journal of Applied Science and Social Science. 2026. Vol. 16, No. 5. P. 320–323. URL: </w:t>
      </w:r>
      <w:hyperlink r:id="rId95" w:tgtFrame="_new" w:history="1">
        <w:r w:rsidRPr="00081992">
          <w:rPr>
            <w:rStyle w:val="a5"/>
            <w:rFonts w:ascii="Times New Roman" w:hAnsi="Times New Roman" w:cs="Times New Roman"/>
          </w:rPr>
          <w:t>https://www.internationaljournal.co.in/index.php/jasass/article/view/4320</w:t>
        </w:r>
      </w:hyperlink>
    </w:p>
  </w:footnote>
  <w:footnote w:id="10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 Country and Lending Groups: Country Classification. URL: </w:t>
      </w:r>
      <w:hyperlink r:id="rId96" w:tgtFrame="_new" w:history="1">
        <w:r w:rsidRPr="00081992">
          <w:rPr>
            <w:rStyle w:val="a5"/>
            <w:rFonts w:ascii="Times New Roman" w:hAnsi="Times New Roman" w:cs="Times New Roman"/>
          </w:rPr>
          <w:t>https://datahelpdesk.worldbank.org/knowledgebase/articles/906519-world-bank-country-and-lending-groups</w:t>
        </w:r>
      </w:hyperlink>
    </w:p>
  </w:footnote>
  <w:footnote w:id="10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World Investment Report 2023: Investing in Sustainable Energy for All. Geneva: United Nations, 2023. URL: </w:t>
      </w:r>
      <w:hyperlink r:id="rId97" w:tgtFrame="_new" w:history="1">
        <w:r w:rsidRPr="00081992">
          <w:rPr>
            <w:rStyle w:val="a5"/>
            <w:rFonts w:ascii="Times New Roman" w:hAnsi="Times New Roman" w:cs="Times New Roman"/>
          </w:rPr>
          <w:t>https://unctad.org/publication/world-investment-report-2023</w:t>
        </w:r>
      </w:hyperlink>
    </w:p>
  </w:footnote>
  <w:footnote w:id="10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98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05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X-Road. Open-Source Software. б. г. URL: </w:t>
      </w:r>
      <w:hyperlink r:id="rId99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https://x-road.global/xroad-open-source</w:t>
        </w:r>
      </w:hyperlink>
    </w:p>
  </w:footnote>
  <w:footnote w:id="106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Estonia. Population of Estonia, 1 January 2024. 2024. URL: </w:t>
      </w:r>
      <w:hyperlink r:id="rId100" w:tgtFrame="_new" w:history="1">
        <w:r w:rsidRPr="00081992">
          <w:rPr>
            <w:rStyle w:val="a5"/>
            <w:rFonts w:ascii="Times New Roman" w:hAnsi="Times New Roman" w:cs="Times New Roman"/>
          </w:rPr>
          <w:t>https://www.stat.ee/en/find-statistics/statistics-theme/population</w:t>
        </w:r>
      </w:hyperlink>
    </w:p>
  </w:footnote>
  <w:footnote w:id="107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Uzbekistan. Demographic situation in Uzbekistan, 2024. 2024. URL: </w:t>
      </w:r>
      <w:hyperlink r:id="rId101" w:tgtFrame="_new" w:history="1">
        <w:r w:rsidRPr="00081992">
          <w:rPr>
            <w:rStyle w:val="a5"/>
            <w:rFonts w:ascii="Times New Roman" w:hAnsi="Times New Roman" w:cs="Times New Roman"/>
          </w:rPr>
          <w:t>https://stat.uz/en/</w:t>
        </w:r>
      </w:hyperlink>
    </w:p>
  </w:footnote>
  <w:footnote w:id="10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Government of the Republic of Korea. Korean New Deal: National Strategy for a Great Transformation. Seoul, 2020. P. 14–18. URL: </w:t>
      </w:r>
      <w:hyperlink r:id="rId102" w:tgtFrame="_new" w:history="1">
        <w:r w:rsidRPr="00081992">
          <w:rPr>
            <w:rStyle w:val="a5"/>
            <w:rFonts w:ascii="Times New Roman" w:hAnsi="Times New Roman" w:cs="Times New Roman"/>
          </w:rPr>
          <w:t>https://english.moef.go.kr/</w:t>
        </w:r>
      </w:hyperlink>
    </w:p>
  </w:footnote>
  <w:footnote w:id="10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Operational </w:t>
      </w:r>
      <w:proofErr w:type="spellStart"/>
      <w:r w:rsidRPr="00081992">
        <w:rPr>
          <w:rFonts w:ascii="Times New Roman" w:hAnsi="Times New Roman" w:cs="Times New Roman"/>
        </w:rPr>
        <w:t>Programme</w:t>
      </w:r>
      <w:proofErr w:type="spellEnd"/>
      <w:r w:rsidRPr="00081992">
        <w:rPr>
          <w:rFonts w:ascii="Times New Roman" w:hAnsi="Times New Roman" w:cs="Times New Roman"/>
        </w:rPr>
        <w:t xml:space="preserve"> Digital Poland 2014–2020 (POPC). 2014–2020. URL: </w:t>
      </w:r>
      <w:hyperlink r:id="rId103" w:tgtFrame="_new" w:history="1">
        <w:r w:rsidRPr="00081992">
          <w:rPr>
            <w:rStyle w:val="a5"/>
            <w:rFonts w:ascii="Times New Roman" w:hAnsi="Times New Roman" w:cs="Times New Roman"/>
          </w:rPr>
          <w:t>https://ec.europa.eu/regional_policy/en/atlas/programmes/2014-2020/poland/2014pl16rfop002</w:t>
        </w:r>
      </w:hyperlink>
    </w:p>
  </w:footnote>
  <w:footnote w:id="11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Asian Development Bank. Uzbekistan: Country Partnership Strategy 2019–2023. Manila: ADB, 2019. URL: </w:t>
      </w:r>
      <w:hyperlink r:id="rId104" w:tgtFrame="_new" w:history="1">
        <w:r w:rsidRPr="00081992">
          <w:rPr>
            <w:rStyle w:val="a5"/>
            <w:rFonts w:ascii="Times New Roman" w:hAnsi="Times New Roman" w:cs="Times New Roman"/>
          </w:rPr>
          <w:t>https://www.adb.org/documents/uzbekistan-country-partnership-strategy-2019-2023</w:t>
        </w:r>
      </w:hyperlink>
    </w:p>
  </w:footnote>
  <w:footnote w:id="111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EBRD. Uzbekistan Country Strategy 2018–2023. London: EBRD, 2018. URL: </w:t>
      </w:r>
      <w:hyperlink r:id="rId105" w:tgtFrame="_new" w:history="1">
        <w:r w:rsidRPr="00081992">
          <w:rPr>
            <w:rStyle w:val="a5"/>
            <w:rFonts w:ascii="Times New Roman" w:hAnsi="Times New Roman" w:cs="Times New Roman"/>
          </w:rPr>
          <w:t>https://www.ebrd.com/uzbekistan.html</w:t>
        </w:r>
      </w:hyperlink>
    </w:p>
  </w:footnote>
  <w:footnote w:id="112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</w:t>
      </w:r>
      <w:proofErr w:type="spellStart"/>
      <w:r w:rsidRPr="00081992">
        <w:rPr>
          <w:rFonts w:ascii="Times New Roman" w:hAnsi="Times New Roman" w:cs="Times New Roman"/>
        </w:rPr>
        <w:t>SingPass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Identity. б. г. URL: </w:t>
      </w:r>
      <w:hyperlink r:id="rId106" w:tgtFrame="_new" w:history="1">
        <w:r w:rsidRPr="00081992">
          <w:rPr>
            <w:rStyle w:val="a5"/>
            <w:rFonts w:ascii="Times New Roman" w:hAnsi="Times New Roman" w:cs="Times New Roman"/>
          </w:rPr>
          <w:t>https://www.singpass.gov.sg/</w:t>
        </w:r>
      </w:hyperlink>
      <w:r w:rsidRPr="00081992">
        <w:rPr>
          <w:rFonts w:ascii="Times New Roman" w:hAnsi="Times New Roman" w:cs="Times New Roman"/>
        </w:rPr>
        <w:t xml:space="preserve"> (</w:t>
      </w:r>
      <w:proofErr w:type="spellStart"/>
      <w:r w:rsidRPr="00081992">
        <w:rPr>
          <w:rFonts w:ascii="Times New Roman" w:hAnsi="Times New Roman" w:cs="Times New Roman"/>
        </w:rPr>
        <w:t>дата</w:t>
      </w:r>
      <w:proofErr w:type="spellEnd"/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обращения</w:t>
      </w:r>
      <w:proofErr w:type="spellEnd"/>
      <w:r w:rsidRPr="00081992">
        <w:rPr>
          <w:rFonts w:ascii="Times New Roman" w:hAnsi="Times New Roman" w:cs="Times New Roman"/>
        </w:rPr>
        <w:t>: 10.05.2026).</w:t>
      </w:r>
    </w:p>
  </w:footnote>
  <w:footnote w:id="113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Digital Technologies of the Republic of Uzbekistan. </w:t>
      </w:r>
      <w:proofErr w:type="spellStart"/>
      <w:r w:rsidRPr="00081992">
        <w:rPr>
          <w:rFonts w:ascii="Times New Roman" w:hAnsi="Times New Roman" w:cs="Times New Roman"/>
        </w:rPr>
        <w:t>MyID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Identification System. б. г. URL: </w:t>
      </w:r>
      <w:hyperlink r:id="rId107" w:tgtFrame="_new" w:history="1">
        <w:r w:rsidRPr="00081992">
          <w:rPr>
            <w:rStyle w:val="a5"/>
            <w:rFonts w:ascii="Times New Roman" w:hAnsi="Times New Roman" w:cs="Times New Roman"/>
          </w:rPr>
          <w:t>https://myid.uz/</w:t>
        </w:r>
      </w:hyperlink>
    </w:p>
  </w:footnote>
  <w:footnote w:id="114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Strengthening Economic Resilience: Insights from the Post-1970 Record of Severe Recessions and Financial Crises // OECD Economic Policy Papers. 2017. No. 20. P. 8–12. DOI: </w:t>
      </w:r>
      <w:hyperlink r:id="rId10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115">
    <w:p w:rsidR="00CA034D" w:rsidRPr="00081992" w:rsidRDefault="00CA034D" w:rsidP="00C02A16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International Telecommunication Union (ITU). ICT Indicators Database: Individual internet usage, Uzbekistan. 2023. URL: </w:t>
      </w:r>
      <w:hyperlink r:id="rId109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https://datahub.itu.int/</w:t>
        </w:r>
      </w:hyperlink>
    </w:p>
  </w:footnote>
  <w:footnote w:id="116">
    <w:p w:rsidR="00CA034D" w:rsidRPr="00081992" w:rsidRDefault="00CA034D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IT Park Uzbekistan. Annual Report 2024. 2024. URL: </w:t>
      </w:r>
      <w:hyperlink r:id="rId110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https://it-park.uz/en</w:t>
        </w:r>
      </w:hyperlink>
    </w:p>
  </w:footnote>
  <w:footnote w:id="117">
    <w:p w:rsidR="00CA034D" w:rsidRPr="00081992" w:rsidRDefault="00CA034D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Mastercard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FintechNews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 Switzerland. Fintech on the Rise in Uzbekistan: A Short Overview. 2024. URL: </w:t>
      </w:r>
      <w:hyperlink r:id="rId111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https://fintechnews.ch/fintech/fintech-on-the-rise-in-uzbekistan-a-short-overview/69023/</w:t>
        </w:r>
      </w:hyperlink>
    </w:p>
  </w:footnote>
  <w:footnote w:id="118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112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19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“Цифровой Узбекистан - 2030” и мерах по её эффективной реализации».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120">
    <w:p w:rsidR="00CA034D" w:rsidRPr="00081992" w:rsidRDefault="00CA034D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Узбекистан.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4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73732"/>
    <w:multiLevelType w:val="hybridMultilevel"/>
    <w:tmpl w:val="7C80C13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C3612"/>
    <w:multiLevelType w:val="hybridMultilevel"/>
    <w:tmpl w:val="5914DA0C"/>
    <w:lvl w:ilvl="0" w:tplc="A99685D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692CAB"/>
    <w:multiLevelType w:val="hybridMultilevel"/>
    <w:tmpl w:val="8EB64CEC"/>
    <w:lvl w:ilvl="0" w:tplc="A7DAEF9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851A3"/>
    <w:multiLevelType w:val="multilevel"/>
    <w:tmpl w:val="EBD4BD4E"/>
    <w:lvl w:ilvl="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FF14816"/>
    <w:multiLevelType w:val="hybridMultilevel"/>
    <w:tmpl w:val="8F4E20E0"/>
    <w:lvl w:ilvl="0" w:tplc="5502A362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F00D5"/>
    <w:multiLevelType w:val="hybridMultilevel"/>
    <w:tmpl w:val="F468ED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677"/>
    <w:rsid w:val="00013C41"/>
    <w:rsid w:val="00034CC4"/>
    <w:rsid w:val="00050ED2"/>
    <w:rsid w:val="0006224E"/>
    <w:rsid w:val="00081992"/>
    <w:rsid w:val="000C729B"/>
    <w:rsid w:val="000C7A25"/>
    <w:rsid w:val="00114396"/>
    <w:rsid w:val="00114EA1"/>
    <w:rsid w:val="0013730E"/>
    <w:rsid w:val="00161822"/>
    <w:rsid w:val="001657DE"/>
    <w:rsid w:val="001D4A97"/>
    <w:rsid w:val="001E7D4B"/>
    <w:rsid w:val="0022556C"/>
    <w:rsid w:val="0027301E"/>
    <w:rsid w:val="00277A71"/>
    <w:rsid w:val="00286375"/>
    <w:rsid w:val="00302040"/>
    <w:rsid w:val="00386D9A"/>
    <w:rsid w:val="003879C6"/>
    <w:rsid w:val="00390488"/>
    <w:rsid w:val="003B484D"/>
    <w:rsid w:val="003E5E9F"/>
    <w:rsid w:val="004007C3"/>
    <w:rsid w:val="0042466A"/>
    <w:rsid w:val="004B1E76"/>
    <w:rsid w:val="004B3C97"/>
    <w:rsid w:val="004F305F"/>
    <w:rsid w:val="00592F74"/>
    <w:rsid w:val="00627AAF"/>
    <w:rsid w:val="006B77F0"/>
    <w:rsid w:val="006E5A5E"/>
    <w:rsid w:val="007200F4"/>
    <w:rsid w:val="007322BE"/>
    <w:rsid w:val="00737AF8"/>
    <w:rsid w:val="007638E3"/>
    <w:rsid w:val="007A5125"/>
    <w:rsid w:val="007F6B0F"/>
    <w:rsid w:val="00807BBC"/>
    <w:rsid w:val="008453F5"/>
    <w:rsid w:val="0084714E"/>
    <w:rsid w:val="00915457"/>
    <w:rsid w:val="0093678C"/>
    <w:rsid w:val="009450A1"/>
    <w:rsid w:val="00990EE6"/>
    <w:rsid w:val="009C4BB1"/>
    <w:rsid w:val="009F154E"/>
    <w:rsid w:val="00AD37AD"/>
    <w:rsid w:val="00AE2DFB"/>
    <w:rsid w:val="00B17E9D"/>
    <w:rsid w:val="00B67A04"/>
    <w:rsid w:val="00BA5274"/>
    <w:rsid w:val="00BA6504"/>
    <w:rsid w:val="00BB1BAF"/>
    <w:rsid w:val="00BC19B3"/>
    <w:rsid w:val="00BF44E5"/>
    <w:rsid w:val="00C02A16"/>
    <w:rsid w:val="00C255BA"/>
    <w:rsid w:val="00C70677"/>
    <w:rsid w:val="00C74BEF"/>
    <w:rsid w:val="00C91D9E"/>
    <w:rsid w:val="00CA034D"/>
    <w:rsid w:val="00D32DBB"/>
    <w:rsid w:val="00D33B33"/>
    <w:rsid w:val="00D41B10"/>
    <w:rsid w:val="00D43AEC"/>
    <w:rsid w:val="00D51090"/>
    <w:rsid w:val="00D6223A"/>
    <w:rsid w:val="00DC0760"/>
    <w:rsid w:val="00E23D01"/>
    <w:rsid w:val="00E872C1"/>
    <w:rsid w:val="00EB0285"/>
    <w:rsid w:val="00EF5F83"/>
    <w:rsid w:val="00F647F9"/>
    <w:rsid w:val="00F66A1D"/>
    <w:rsid w:val="00F74968"/>
    <w:rsid w:val="00F853EF"/>
    <w:rsid w:val="00FB6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85507"/>
  <w15:chartTrackingRefBased/>
  <w15:docId w15:val="{3F5E550F-EB95-4A64-A445-D070FACA1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2A16"/>
    <w:pPr>
      <w:spacing w:line="278" w:lineRule="auto"/>
    </w:pPr>
    <w:rPr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C91D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91D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02A1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02A16"/>
    <w:rPr>
      <w:rFonts w:eastAsiaTheme="majorEastAsia" w:cstheme="majorBidi"/>
      <w:color w:val="2E74B5" w:themeColor="accent1" w:themeShade="BF"/>
      <w:sz w:val="28"/>
      <w:szCs w:val="28"/>
      <w14:ligatures w14:val="standardContextual"/>
    </w:rPr>
  </w:style>
  <w:style w:type="paragraph" w:styleId="a3">
    <w:name w:val="List Paragraph"/>
    <w:basedOn w:val="a"/>
    <w:uiPriority w:val="34"/>
    <w:qFormat/>
    <w:rsid w:val="00C02A16"/>
    <w:pPr>
      <w:ind w:left="720"/>
      <w:contextualSpacing/>
    </w:pPr>
  </w:style>
  <w:style w:type="character" w:styleId="a4">
    <w:name w:val="footnote reference"/>
    <w:uiPriority w:val="99"/>
    <w:semiHidden/>
    <w:unhideWhenUsed/>
    <w:rsid w:val="00C02A16"/>
    <w:rPr>
      <w:vertAlign w:val="superscript"/>
    </w:rPr>
  </w:style>
  <w:style w:type="character" w:styleId="a5">
    <w:name w:val="Hyperlink"/>
    <w:basedOn w:val="a0"/>
    <w:uiPriority w:val="99"/>
    <w:unhideWhenUsed/>
    <w:rsid w:val="00C02A16"/>
    <w:rPr>
      <w:color w:val="0000FF"/>
      <w:u w:val="single"/>
    </w:rPr>
  </w:style>
  <w:style w:type="paragraph" w:styleId="a6">
    <w:name w:val="footnote text"/>
    <w:basedOn w:val="a"/>
    <w:link w:val="a7"/>
    <w:uiPriority w:val="99"/>
    <w:semiHidden/>
    <w:unhideWhenUsed/>
    <w:rsid w:val="00C02A16"/>
    <w:pPr>
      <w:spacing w:after="0" w:line="240" w:lineRule="auto"/>
    </w:pPr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C02A16"/>
    <w:rPr>
      <w:sz w:val="20"/>
      <w:szCs w:val="20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C02A1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2A16"/>
    <w:rPr>
      <w14:ligatures w14:val="standardContextual"/>
    </w:rPr>
  </w:style>
  <w:style w:type="character" w:styleId="aa">
    <w:name w:val="FollowedHyperlink"/>
    <w:basedOn w:val="a0"/>
    <w:uiPriority w:val="99"/>
    <w:semiHidden/>
    <w:unhideWhenUsed/>
    <w:rsid w:val="004B3C97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C91D9E"/>
    <w:rPr>
      <w:rFonts w:asciiTheme="majorHAnsi" w:eastAsiaTheme="majorEastAsia" w:hAnsiTheme="majorHAnsi" w:cstheme="majorBidi"/>
      <w:color w:val="2E74B5" w:themeColor="accent1" w:themeShade="BF"/>
      <w:sz w:val="32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C91D9E"/>
    <w:rPr>
      <w:rFonts w:asciiTheme="majorHAnsi" w:eastAsiaTheme="majorEastAsia" w:hAnsiTheme="majorHAnsi" w:cstheme="majorBidi"/>
      <w:color w:val="2E74B5" w:themeColor="accent1" w:themeShade="BF"/>
      <w:sz w:val="26"/>
      <w:szCs w:val="26"/>
      <w14:ligatures w14:val="standardContextual"/>
    </w:rPr>
  </w:style>
  <w:style w:type="paragraph" w:styleId="ab">
    <w:name w:val="TOC Heading"/>
    <w:basedOn w:val="1"/>
    <w:next w:val="a"/>
    <w:uiPriority w:val="39"/>
    <w:unhideWhenUsed/>
    <w:qFormat/>
    <w:rsid w:val="00EB0285"/>
    <w:pPr>
      <w:spacing w:line="259" w:lineRule="auto"/>
      <w:outlineLvl w:val="9"/>
    </w:pPr>
    <w:rPr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B028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B028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0285"/>
    <w:pPr>
      <w:spacing w:after="100"/>
      <w:ind w:left="440"/>
    </w:pPr>
  </w:style>
  <w:style w:type="paragraph" w:styleId="ac">
    <w:name w:val="header"/>
    <w:basedOn w:val="a"/>
    <w:link w:val="ad"/>
    <w:uiPriority w:val="99"/>
    <w:unhideWhenUsed/>
    <w:rsid w:val="00EB0285"/>
    <w:pPr>
      <w:tabs>
        <w:tab w:val="center" w:pos="4844"/>
        <w:tab w:val="right" w:pos="9689"/>
      </w:tabs>
      <w:spacing w:after="0" w:line="240" w:lineRule="auto"/>
    </w:pPr>
    <w:rPr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EB0285"/>
  </w:style>
  <w:style w:type="paragraph" w:customStyle="1" w:styleId="isselectedend">
    <w:name w:val="isselectedend"/>
    <w:basedOn w:val="a"/>
    <w:rsid w:val="00C25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datahub.itu.int/" TargetMode="External"/><Relationship Id="rId39" Type="http://schemas.openxmlformats.org/officeDocument/2006/relationships/hyperlink" Target="https://it-park.uz/en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networkreadinessindex.org/" TargetMode="External"/><Relationship Id="rId42" Type="http://schemas.openxmlformats.org/officeDocument/2006/relationships/hyperlink" Target="https://www.educationestonia.org/tiger-leap/" TargetMode="External"/><Relationship Id="rId47" Type="http://schemas.openxmlformats.org/officeDocument/2006/relationships/hyperlink" Target="https://www.singpass.gov.sg/" TargetMode="External"/><Relationship Id="rId50" Type="http://schemas.openxmlformats.org/officeDocument/2006/relationships/hyperlink" Target="https://en.ain.ua/2023/07/14/poland-digital-ids-equal-traditional-documents/" TargetMode="External"/><Relationship Id="rId55" Type="http://schemas.openxmlformats.org/officeDocument/2006/relationships/hyperlink" Target="https://www.worlddata.info/asia/uzbekistan/telecommunication.php" TargetMode="External"/><Relationship Id="rId63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www.worldbank.org/en/news/press-release/2021/03/31/polish-economy-returns-to-growth-amidst-pandemic-related-setback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24" Type="http://schemas.openxmlformats.org/officeDocument/2006/relationships/hyperlink" Target="https://datahelpdesk.worldbank.org/knowledgebase/articles/906519" TargetMode="External"/><Relationship Id="rId32" Type="http://schemas.openxmlformats.org/officeDocument/2006/relationships/hyperlink" Target="https://keia.org/the-peninsula/the-korean-new-deal" TargetMode="External"/><Relationship Id="rId37" Type="http://schemas.openxmlformats.org/officeDocument/2006/relationships/hyperlink" Target="https://stat.uz/en/" TargetMode="External"/><Relationship Id="rId40" Type="http://schemas.openxmlformats.org/officeDocument/2006/relationships/hyperlink" Target="https://e-estonia.com/solutions/interoperability-services/x-road/" TargetMode="External"/><Relationship Id="rId45" Type="http://schemas.openxmlformats.org/officeDocument/2006/relationships/hyperlink" Target="https://investinestonia.com/e-residency-brings-record-revenue-in-first-half-of-2025/" TargetMode="External"/><Relationship Id="rId53" Type="http://schemas.openxmlformats.org/officeDocument/2006/relationships/hyperlink" Target="https://myid.uz/" TargetMode="External"/><Relationship Id="rId58" Type="http://schemas.openxmlformats.org/officeDocument/2006/relationships/hyperlink" Target="https://www.speedtest.net/global-index/uzbekistan" TargetMode="Externa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atabank.worldbank.org/source/world-development-indicators" TargetMode="External"/><Relationship Id="rId28" Type="http://schemas.openxmlformats.org/officeDocument/2006/relationships/hyperlink" Target="https://ec.europa.eu/eurostat/databrowser/view/tec00115" TargetMode="External"/><Relationship Id="rId36" Type="http://schemas.openxmlformats.org/officeDocument/2006/relationships/hyperlink" Target="https://www.uzdaily.uz/en/uzbekistans-gdp-amounted-to-us11496-billion-in-2024/" TargetMode="External"/><Relationship Id="rId49" Type="http://schemas.openxmlformats.org/officeDocument/2006/relationships/hyperlink" Target="https://digital-strategy.ec.europa.eu/en/policies/digital-connectivity-poland" TargetMode="External"/><Relationship Id="rId57" Type="http://schemas.openxmlformats.org/officeDocument/2006/relationships/hyperlink" Target="https://freedomhouse.org/country/uzbekistan/freedom-net/2024" TargetMode="External"/><Relationship Id="rId61" Type="http://schemas.openxmlformats.org/officeDocument/2006/relationships/image" Target="media/image14.png"/><Relationship Id="rId10" Type="http://schemas.openxmlformats.org/officeDocument/2006/relationships/chart" Target="charts/chart2.xml"/><Relationship Id="rId19" Type="http://schemas.openxmlformats.org/officeDocument/2006/relationships/image" Target="media/image9.png"/><Relationship Id="rId31" Type="http://schemas.openxmlformats.org/officeDocument/2006/relationships/hyperlink" Target="https://www.spglobal.com/marketintelligence/en/mi/research-analysis/singapore-economy-continues-on-road-to-recovery-july22.html" TargetMode="External"/><Relationship Id="rId44" Type="http://schemas.openxmlformats.org/officeDocument/2006/relationships/hyperlink" Target="https://www.baltictimes.com/new_milestone_for_e-residency_with_record_number_of_companies_founded_in_2024/" TargetMode="External"/><Relationship Id="rId52" Type="http://schemas.openxmlformats.org/officeDocument/2006/relationships/hyperlink" Target="https://dig.watch/countries/uzbekistan" TargetMode="External"/><Relationship Id="rId60" Type="http://schemas.openxmlformats.org/officeDocument/2006/relationships/image" Target="media/image1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ec.europa.eu/eurostat/statistics-explained/index.php?title=Main_Page" TargetMode="External"/><Relationship Id="rId30" Type="http://schemas.openxmlformats.org/officeDocument/2006/relationships/hyperlink" Target="https://www.trade.gov/country-commercial-guides/poland-digital-economy" TargetMode="External"/><Relationship Id="rId35" Type="http://schemas.openxmlformats.org/officeDocument/2006/relationships/hyperlink" Target="https://oxfordinsights.com/ai-readiness/ai-readiness-index/" TargetMode="External"/><Relationship Id="rId43" Type="http://schemas.openxmlformats.org/officeDocument/2006/relationships/hyperlink" Target="https://estonianworld.com/technology/estonias-tiger-leap-the-schools-project-that-wired-a-nation-for-the-digital-age/" TargetMode="External"/><Relationship Id="rId48" Type="http://schemas.openxmlformats.org/officeDocument/2006/relationships/hyperlink" Target="https://opengovasia.com/singapore-milestones-and-momentum-of-a-smart-nation/" TargetMode="External"/><Relationship Id="rId56" Type="http://schemas.openxmlformats.org/officeDocument/2006/relationships/hyperlink" Target="https://www.theglobaleconomy.com/Uzbekistan/Internet_users/" TargetMode="External"/><Relationship Id="rId64" Type="http://schemas.openxmlformats.org/officeDocument/2006/relationships/image" Target="media/image17.png"/><Relationship Id="rId8" Type="http://schemas.openxmlformats.org/officeDocument/2006/relationships/chart" Target="charts/chart1.xml"/><Relationship Id="rId51" Type="http://schemas.openxmlformats.org/officeDocument/2006/relationships/hyperlink" Target="https://www.biometricupdate.com/202508/poland-campaigns-to-boost-the-use-of-its-digital-id-platform-mobywatel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imf.org/en/Publications/WEO/weo-database/2024/April" TargetMode="External"/><Relationship Id="rId33" Type="http://schemas.openxmlformats.org/officeDocument/2006/relationships/hyperlink" Target="https://www.imd.org/centers/wcc/world-competitiveness-center/rankings/world-digital-competitiveness-ranking/" TargetMode="External"/><Relationship Id="rId38" Type="http://schemas.openxmlformats.org/officeDocument/2006/relationships/hyperlink" Target="https://fintechnews.ch/fintech/fintech-on-the-rise-in-uzbekistan-a-short-overview/69023/" TargetMode="External"/><Relationship Id="rId46" Type="http://schemas.openxmlformats.org/officeDocument/2006/relationships/hyperlink" Target="https://www.tech.gov.sg/technews/our-enhanced-smart-nation-vision-paving-the-way-for-a-new-digital-era/" TargetMode="External"/><Relationship Id="rId59" Type="http://schemas.openxmlformats.org/officeDocument/2006/relationships/hyperlink" Target="https://eastasiaforum.org/2022/02/04/south-koreas-strong-economic-performance-faces-post-pandemic-challenges/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x-road.global/xroad-open-source" TargetMode="External"/><Relationship Id="rId54" Type="http://schemas.openxmlformats.org/officeDocument/2006/relationships/hyperlink" Target="https://tadviser.com/index.php/Article:ICT_market_of_Uzbekistan" TargetMode="External"/><Relationship Id="rId62" Type="http://schemas.openxmlformats.org/officeDocument/2006/relationships/image" Target="media/image15.png"/></Relationships>
</file>

<file path=word/_rels/footnotes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labeco.2023.102330" TargetMode="External"/><Relationship Id="rId21" Type="http://schemas.openxmlformats.org/officeDocument/2006/relationships/hyperlink" Target="https://doi.org/10.1787/6b748a4b-en" TargetMode="External"/><Relationship Id="rId42" Type="http://schemas.openxmlformats.org/officeDocument/2006/relationships/hyperlink" Target="https://keia.org/the-peninsula/the-korean-new-deal/" TargetMode="External"/><Relationship Id="rId47" Type="http://schemas.openxmlformats.org/officeDocument/2006/relationships/hyperlink" Target="https://southeastasiainfra.com/digital-leap-singapores-blueprint-for-smart-nation-2-0/" TargetMode="External"/><Relationship Id="rId63" Type="http://schemas.openxmlformats.org/officeDocument/2006/relationships/hyperlink" Target="http://eng.koreanre.co.kr/webzine/Bulletin_180/bull1.html" TargetMode="External"/><Relationship Id="rId68" Type="http://schemas.openxmlformats.org/officeDocument/2006/relationships/hyperlink" Target="https://www.eria.org/uploads/04_Chapter-3-The-Case-of-Singapore.pdf" TargetMode="External"/><Relationship Id="rId84" Type="http://schemas.openxmlformats.org/officeDocument/2006/relationships/hyperlink" Target="https://oxfordinsights.com/ai-readiness/ai-readiness-index/" TargetMode="External"/><Relationship Id="rId89" Type="http://schemas.openxmlformats.org/officeDocument/2006/relationships/hyperlink" Target="https://www.uzdaily.uz/en/uzbekistans-gdp-amounted-to-us11496-billion-in-2024/" TargetMode="External"/><Relationship Id="rId112" Type="http://schemas.openxmlformats.org/officeDocument/2006/relationships/hyperlink" Target="https://e-estonia.com/solutions/interoperability-services/x-road/?utm_source=chatgpt.com" TargetMode="External"/><Relationship Id="rId2" Type="http://schemas.openxmlformats.org/officeDocument/2006/relationships/hyperlink" Target="https://doi.org/10.1016/j.labeco.2023.102330" TargetMode="External"/><Relationship Id="rId16" Type="http://schemas.openxmlformats.org/officeDocument/2006/relationships/hyperlink" Target="https://doi.org/10.1016/j.labeco.2023.102330" TargetMode="External"/><Relationship Id="rId29" Type="http://schemas.openxmlformats.org/officeDocument/2006/relationships/hyperlink" Target="https://doi.org/10.1787/a1689dc5-en" TargetMode="External"/><Relationship Id="rId107" Type="http://schemas.openxmlformats.org/officeDocument/2006/relationships/hyperlink" Target="https://myid.uz/" TargetMode="External"/><Relationship Id="rId11" Type="http://schemas.openxmlformats.org/officeDocument/2006/relationships/hyperlink" Target="https://ec.europa.eu/eurostat/statistics-explained/index.php?title=Main_Page" TargetMode="External"/><Relationship Id="rId24" Type="http://schemas.openxmlformats.org/officeDocument/2006/relationships/hyperlink" Target="https://doi.org/10.1787/f6d42aa5-en" TargetMode="External"/><Relationship Id="rId32" Type="http://schemas.openxmlformats.org/officeDocument/2006/relationships/hyperlink" Target="https://doi.org/10.1787/5jln0421ld25-en" TargetMode="External"/><Relationship Id="rId37" Type="http://schemas.openxmlformats.org/officeDocument/2006/relationships/hyperlink" Target="https://investinestonia.com/e-residency-brings-record-revenue-in-first-half-of-2025/" TargetMode="External"/><Relationship Id="rId40" Type="http://schemas.openxmlformats.org/officeDocument/2006/relationships/hyperlink" Target="https://www.iea.org/policies/11514-korean-new-deal-digital-new-deal-green-new-deal-and-stronger-safety-net" TargetMode="External"/><Relationship Id="rId45" Type="http://schemas.openxmlformats.org/officeDocument/2006/relationships/hyperlink" Target="https://publicadministration.un.org/egovkb/en-us/Data/Country-Information/id/138-Republic-of-Korea?utm_source=chatgpt.com" TargetMode="External"/><Relationship Id="rId53" Type="http://schemas.openxmlformats.org/officeDocument/2006/relationships/hyperlink" Target="https://en.ain.ua/2023/07/14/poland-digital-ids-equal-traditional-documents/" TargetMode="External"/><Relationship Id="rId58" Type="http://schemas.openxmlformats.org/officeDocument/2006/relationships/hyperlink" Target="https://ec.europa.eu/eurostat/databrowser/view/tec00115/" TargetMode="External"/><Relationship Id="rId66" Type="http://schemas.openxmlformats.org/officeDocument/2006/relationships/hyperlink" Target="https://www.spglobal.com/marketintelligence/en/mi/research-analysis/singapore-economy-continues-on-road-to-recovery-july22.html" TargetMode="External"/><Relationship Id="rId74" Type="http://schemas.openxmlformats.org/officeDocument/2006/relationships/hyperlink" Target="https://ec.europa.eu/eurostat/databrowser/view/tec00115/" TargetMode="External"/><Relationship Id="rId79" Type="http://schemas.openxmlformats.org/officeDocument/2006/relationships/hyperlink" Target="https://lex.uz/ru/docs/5031048" TargetMode="External"/><Relationship Id="rId87" Type="http://schemas.openxmlformats.org/officeDocument/2006/relationships/hyperlink" Target="https://www.theglobaleconomy.com/Uzbekistan/Internet_users/" TargetMode="External"/><Relationship Id="rId102" Type="http://schemas.openxmlformats.org/officeDocument/2006/relationships/hyperlink" Target="https://english.moef.go.kr/" TargetMode="External"/><Relationship Id="rId110" Type="http://schemas.openxmlformats.org/officeDocument/2006/relationships/hyperlink" Target="https://it-park.uz/en" TargetMode="External"/><Relationship Id="rId5" Type="http://schemas.openxmlformats.org/officeDocument/2006/relationships/hyperlink" Target="https://publicadministration.un.org/egovkb/en-us/reports/un-e-government-survey-2024" TargetMode="External"/><Relationship Id="rId61" Type="http://schemas.openxmlformats.org/officeDocument/2006/relationships/hyperlink" Target="https://www.europarl.europa.eu/thinktank/en/document/EPRS_BRI(2022)698886" TargetMode="External"/><Relationship Id="rId82" Type="http://schemas.openxmlformats.org/officeDocument/2006/relationships/hyperlink" Target="https://publicadministration.un.org/egovkb/en-us/Reports/UN-E-Government-Survey-2024" TargetMode="External"/><Relationship Id="rId90" Type="http://schemas.openxmlformats.org/officeDocument/2006/relationships/hyperlink" Target="https://dig.watch/countries/uzbekistan" TargetMode="External"/><Relationship Id="rId95" Type="http://schemas.openxmlformats.org/officeDocument/2006/relationships/hyperlink" Target="https://www.internationaljournal.co.in/index.php/jasass/article/view/4320" TargetMode="External"/><Relationship Id="rId19" Type="http://schemas.openxmlformats.org/officeDocument/2006/relationships/hyperlink" Target="https://doi.org/10.1787/5jrxhgf61q5j-en" TargetMode="External"/><Relationship Id="rId14" Type="http://schemas.openxmlformats.org/officeDocument/2006/relationships/hyperlink" Target="https://doi.org/10.1787/a1689dc5-en" TargetMode="External"/><Relationship Id="rId22" Type="http://schemas.openxmlformats.org/officeDocument/2006/relationships/hyperlink" Target="https://doi.org/10.1787/5jrxhgfqx3mv-en" TargetMode="External"/><Relationship Id="rId27" Type="http://schemas.openxmlformats.org/officeDocument/2006/relationships/hyperlink" Target="https://doi.org/10.1787/a1689dc5-en" TargetMode="External"/><Relationship Id="rId30" Type="http://schemas.openxmlformats.org/officeDocument/2006/relationships/hyperlink" Target="https://unctad.org/webflyer/digital-economy-report-2021" TargetMode="External"/><Relationship Id="rId35" Type="http://schemas.openxmlformats.org/officeDocument/2006/relationships/hyperlink" Target="https://x-road.global/xroad-history" TargetMode="External"/><Relationship Id="rId43" Type="http://schemas.openxmlformats.org/officeDocument/2006/relationships/hyperlink" Target="https://www.prnewswire.com/news-releases/digital-new-deal-secures-future-growth-engine-301346790.html" TargetMode="External"/><Relationship Id="rId48" Type="http://schemas.openxmlformats.org/officeDocument/2006/relationships/hyperlink" Target="https://www.tech.gov.sg/technews/our-enhanced-smart-nation-vision-paving-the-way-for-a-new-digital-era/" TargetMode="External"/><Relationship Id="rId56" Type="http://schemas.openxmlformats.org/officeDocument/2006/relationships/hyperlink" Target="https://doi.org/10.1787/a1689dc5-en" TargetMode="External"/><Relationship Id="rId64" Type="http://schemas.openxmlformats.org/officeDocument/2006/relationships/hyperlink" Target="https://www.bok.or.kr/eng/main/main.do" TargetMode="External"/><Relationship Id="rId69" Type="http://schemas.openxmlformats.org/officeDocument/2006/relationships/hyperlink" Target="https://www.mof.gov.sg/news-resources/newsroom/ministerial-statement-on-overview-of-government-s-strategy-to-emerge-stronger-from-the-covid-19-pandemic/" TargetMode="External"/><Relationship Id="rId77" Type="http://schemas.openxmlformats.org/officeDocument/2006/relationships/hyperlink" Target="https://unctad.org/publication/world-investment-report-2023" TargetMode="External"/><Relationship Id="rId100" Type="http://schemas.openxmlformats.org/officeDocument/2006/relationships/hyperlink" Target="https://www.stat.ee/en/find-statistics/statistics-theme/population" TargetMode="External"/><Relationship Id="rId105" Type="http://schemas.openxmlformats.org/officeDocument/2006/relationships/hyperlink" Target="https://www.ebrd.com/uzbekistan.html" TargetMode="External"/><Relationship Id="rId113" Type="http://schemas.openxmlformats.org/officeDocument/2006/relationships/hyperlink" Target="https://lex.uz/ru/docs/5031048" TargetMode="External"/><Relationship Id="rId8" Type="http://schemas.openxmlformats.org/officeDocument/2006/relationships/hyperlink" Target="https://doi.org/10.1787/data-00037-en" TargetMode="External"/><Relationship Id="rId51" Type="http://schemas.openxmlformats.org/officeDocument/2006/relationships/hyperlink" Target="https://warsawinstitute.org/digital-state-how-poland-became-a-european-leader-in-digitalisation/" TargetMode="External"/><Relationship Id="rId72" Type="http://schemas.openxmlformats.org/officeDocument/2006/relationships/hyperlink" Target="https://www.iea.org/reports/poland-2022/executive-summary" TargetMode="External"/><Relationship Id="rId80" Type="http://schemas.openxmlformats.org/officeDocument/2006/relationships/hyperlink" Target="https://www.uzbekistan.org.ua/en/news/7390-digital-transformation-of-uzbekistan-promotes-regional-integration-in-central-asia.html" TargetMode="External"/><Relationship Id="rId85" Type="http://schemas.openxmlformats.org/officeDocument/2006/relationships/hyperlink" Target="https://dig.watch/countries/uzbekistan" TargetMode="External"/><Relationship Id="rId93" Type="http://schemas.openxmlformats.org/officeDocument/2006/relationships/hyperlink" Target="https://fintechnews.ch/fintech/fintech-on-the-rise-in-uzbekistan-a-short-overview/69023/" TargetMode="External"/><Relationship Id="rId98" Type="http://schemas.openxmlformats.org/officeDocument/2006/relationships/hyperlink" Target="https://e-estonia.com/solutions/interoperability-services/x-road/" TargetMode="External"/><Relationship Id="rId3" Type="http://schemas.openxmlformats.org/officeDocument/2006/relationships/hyperlink" Target="https://lex.uz/ru/docs/5031048" TargetMode="External"/><Relationship Id="rId12" Type="http://schemas.openxmlformats.org/officeDocument/2006/relationships/hyperlink" Target="https://doi.org/10.1787/a1689dc5-en" TargetMode="External"/><Relationship Id="rId17" Type="http://schemas.openxmlformats.org/officeDocument/2006/relationships/hyperlink" Target="https://doi.org/10.1787/5jrxhgf61q5j-en" TargetMode="External"/><Relationship Id="rId25" Type="http://schemas.openxmlformats.org/officeDocument/2006/relationships/hyperlink" Target="https://doi.org/10.1787/f6d42aa5-en" TargetMode="External"/><Relationship Id="rId33" Type="http://schemas.openxmlformats.org/officeDocument/2006/relationships/hyperlink" Target="https://www.educationestonia.org/tiger-leap/" TargetMode="External"/><Relationship Id="rId38" Type="http://schemas.openxmlformats.org/officeDocument/2006/relationships/hyperlink" Target="https://www.baltictimes.com/new_milestone_for_e-residency_with_record_number_of_companies_founded_in_2024/" TargetMode="External"/><Relationship Id="rId46" Type="http://schemas.openxmlformats.org/officeDocument/2006/relationships/hyperlink" Target="https://govinsider.asia/intl-en/article/leaving-no-one-behind-will-determine-success-of-smart-nation-20" TargetMode="External"/><Relationship Id="rId59" Type="http://schemas.openxmlformats.org/officeDocument/2006/relationships/hyperlink" Target="https://thecsruniverse.com/articles/estonia-a-fine-model-of-e-governance-for-the-world" TargetMode="External"/><Relationship Id="rId67" Type="http://schemas.openxmlformats.org/officeDocument/2006/relationships/hyperlink" Target="https://www.eria.org/uploads/04_Chapter-3-The-Case-of-Singapore.pdf" TargetMode="External"/><Relationship Id="rId103" Type="http://schemas.openxmlformats.org/officeDocument/2006/relationships/hyperlink" Target="https://ec.europa.eu/regional_policy/en/atlas/programmes/2014-2020/poland/2014pl16rfop002" TargetMode="External"/><Relationship Id="rId108" Type="http://schemas.openxmlformats.org/officeDocument/2006/relationships/hyperlink" Target="https://doi.org/10.1787/6b748a4b-en" TargetMode="External"/><Relationship Id="rId20" Type="http://schemas.openxmlformats.org/officeDocument/2006/relationships/hyperlink" Target="https://doi.org/10.1787/6b748a4b-en" TargetMode="External"/><Relationship Id="rId41" Type="http://schemas.openxmlformats.org/officeDocument/2006/relationships/hyperlink" Target="https://doi.org/10.3390/su13158493" TargetMode="External"/><Relationship Id="rId54" Type="http://schemas.openxmlformats.org/officeDocument/2006/relationships/hyperlink" Target="https://www.biometricupdate.com/202508/poland-campaigns-to-boost-the-use-of-its-digital-id-platform-mobywatel" TargetMode="External"/><Relationship Id="rId62" Type="http://schemas.openxmlformats.org/officeDocument/2006/relationships/hyperlink" Target="https://eastasiaforum.org/2022/02/04/south-koreas-strong-economic-performance-faces-post-pandemic-challenges/" TargetMode="External"/><Relationship Id="rId70" Type="http://schemas.openxmlformats.org/officeDocument/2006/relationships/hyperlink" Target="https://www.worldbank.org/en/news/press-release/2021/03/31/polish-economy-returns-to-growth-amidst-pandemic-related-setbacks" TargetMode="External"/><Relationship Id="rId75" Type="http://schemas.openxmlformats.org/officeDocument/2006/relationships/hyperlink" Target="https://databank.worldbank.org/source/world-development-indicators" TargetMode="External"/><Relationship Id="rId83" Type="http://schemas.openxmlformats.org/officeDocument/2006/relationships/hyperlink" Target="https://dig.watch/countries/uzbekistan" TargetMode="External"/><Relationship Id="rId88" Type="http://schemas.openxmlformats.org/officeDocument/2006/relationships/hyperlink" Target="https://freedomhouse.org/country/uzbekistan/freedom-net/2024" TargetMode="External"/><Relationship Id="rId91" Type="http://schemas.openxmlformats.org/officeDocument/2006/relationships/hyperlink" Target="https://tadviser.com/index.php/Article:ICT_market_of_Uzbekistan" TargetMode="External"/><Relationship Id="rId96" Type="http://schemas.openxmlformats.org/officeDocument/2006/relationships/hyperlink" Target="https://datahelpdesk.worldbank.org/knowledgebase/articles/906519-world-bank-country-and-lending-groups" TargetMode="External"/><Relationship Id="rId111" Type="http://schemas.openxmlformats.org/officeDocument/2006/relationships/hyperlink" Target="https://fintechnews.ch/fintech/fintech-on-the-rise-in-uzbekistan-a-short-overview/69023/" TargetMode="External"/><Relationship Id="rId1" Type="http://schemas.openxmlformats.org/officeDocument/2006/relationships/hyperlink" Target="https://doi.org/10.1787/6b748a4b-en" TargetMode="External"/><Relationship Id="rId6" Type="http://schemas.openxmlformats.org/officeDocument/2006/relationships/hyperlink" Target="https://databank.worldbank.org/source/world-development-indicators" TargetMode="External"/><Relationship Id="rId15" Type="http://schemas.openxmlformats.org/officeDocument/2006/relationships/hyperlink" Target="https://doi.org/10.1596/978-1-4648-0671-1" TargetMode="External"/><Relationship Id="rId23" Type="http://schemas.openxmlformats.org/officeDocument/2006/relationships/hyperlink" Target="https://doi.org/10.1787/f6d42aa5-en" TargetMode="External"/><Relationship Id="rId28" Type="http://schemas.openxmlformats.org/officeDocument/2006/relationships/hyperlink" Target="https://ec.europa.eu/eurostat/statistics-explained/index.php/E-commerce_statistics_for_individuals" TargetMode="External"/><Relationship Id="rId36" Type="http://schemas.openxmlformats.org/officeDocument/2006/relationships/hyperlink" Target="https://cyber.ee/resources/case-studies/estonian-interoperability-framework-x-road/" TargetMode="External"/><Relationship Id="rId49" Type="http://schemas.openxmlformats.org/officeDocument/2006/relationships/hyperlink" Target="https://opengovasia.com/singapore-milestones-and-momentum-of-a-smart-nation/" TargetMode="External"/><Relationship Id="rId57" Type="http://schemas.openxmlformats.org/officeDocument/2006/relationships/hyperlink" Target="https://www.imda.gov.sg/-/media/imda/files/infocomm-media-landscape/research-and-statistics/sgde-report/singapore-digital-economy-report-2024.pdf" TargetMode="External"/><Relationship Id="rId106" Type="http://schemas.openxmlformats.org/officeDocument/2006/relationships/hyperlink" Target="https://www.singpass.gov.sg/" TargetMode="External"/><Relationship Id="rId114" Type="http://schemas.openxmlformats.org/officeDocument/2006/relationships/hyperlink" Target="https://lex.uz/ru/docs/5031048" TargetMode="External"/><Relationship Id="rId10" Type="http://schemas.openxmlformats.org/officeDocument/2006/relationships/hyperlink" Target="https://doi.org/10.1787/a1689dc5-en" TargetMode="External"/><Relationship Id="rId31" Type="http://schemas.openxmlformats.org/officeDocument/2006/relationships/hyperlink" Target="https://doi.org/10.1787/5jrxhgfqx3mv-en" TargetMode="External"/><Relationship Id="rId44" Type="http://schemas.openxmlformats.org/officeDocument/2006/relationships/hyperlink" Target="https://thediplomat.com/2020/06/south-koreas-digital-new-deal/" TargetMode="External"/><Relationship Id="rId52" Type="http://schemas.openxmlformats.org/officeDocument/2006/relationships/hyperlink" Target="https://digital-strategy.ec.europa.eu/en/policies/digital-connectivity-poland" TargetMode="External"/><Relationship Id="rId60" Type="http://schemas.openxmlformats.org/officeDocument/2006/relationships/hyperlink" Target="https://www.imf.org/en/Publications/WEO/weo-database/2024/April" TargetMode="External"/><Relationship Id="rId65" Type="http://schemas.openxmlformats.org/officeDocument/2006/relationships/hyperlink" Target="https://doi.org/10.3390/su13158493" TargetMode="External"/><Relationship Id="rId73" Type="http://schemas.openxmlformats.org/officeDocument/2006/relationships/hyperlink" Target="https://www.fes.de/en/progressive-fiscal-policy/inflation/what-to-do-about-inflation/what-to-do-about-inflation-poland" TargetMode="External"/><Relationship Id="rId78" Type="http://schemas.openxmlformats.org/officeDocument/2006/relationships/hyperlink" Target="https://doi.org/10.1111/j.1468-0297.2011.02420.x" TargetMode="External"/><Relationship Id="rId81" Type="http://schemas.openxmlformats.org/officeDocument/2006/relationships/hyperlink" Target=":%20https:/www.beyondinvestmentsgroup.com/uzbekistan2023-industryandict" TargetMode="External"/><Relationship Id="rId86" Type="http://schemas.openxmlformats.org/officeDocument/2006/relationships/hyperlink" Target="https://www.worlddata.info/asia/uzbekistan/telecommunication.php" TargetMode="External"/><Relationship Id="rId94" Type="http://schemas.openxmlformats.org/officeDocument/2006/relationships/hyperlink" Target="https://www.mdpi.com/2674-1032/4/4/69" TargetMode="External"/><Relationship Id="rId99" Type="http://schemas.openxmlformats.org/officeDocument/2006/relationships/hyperlink" Target="https://x-road.global/xroad-open-source" TargetMode="External"/><Relationship Id="rId101" Type="http://schemas.openxmlformats.org/officeDocument/2006/relationships/hyperlink" Target="https://stat.uz/en/" TargetMode="External"/><Relationship Id="rId4" Type="http://schemas.openxmlformats.org/officeDocument/2006/relationships/hyperlink" Target="https://doi.org/10.1080/13600810903089893" TargetMode="External"/><Relationship Id="rId9" Type="http://schemas.openxmlformats.org/officeDocument/2006/relationships/hyperlink" Target="https://doi.org/10.1787/a1689dc5-en" TargetMode="External"/><Relationship Id="rId13" Type="http://schemas.openxmlformats.org/officeDocument/2006/relationships/hyperlink" Target="https://doi.org/10.1787/f6d42aa5-en" TargetMode="External"/><Relationship Id="rId18" Type="http://schemas.openxmlformats.org/officeDocument/2006/relationships/hyperlink" Target="https://doi.org/10.1787/5jrxhgf61q5j-en" TargetMode="External"/><Relationship Id="rId39" Type="http://schemas.openxmlformats.org/officeDocument/2006/relationships/hyperlink" Target="https://publicadministration.un.org/egovkb/" TargetMode="External"/><Relationship Id="rId109" Type="http://schemas.openxmlformats.org/officeDocument/2006/relationships/hyperlink" Target="https://datahub.itu.int/" TargetMode="External"/><Relationship Id="rId34" Type="http://schemas.openxmlformats.org/officeDocument/2006/relationships/hyperlink" Target="https://estonianworld.com/technology/estonias-tiger-leap-the-schools-project-that-wired-a-nation-for-the-digital-age/" TargetMode="External"/><Relationship Id="rId50" Type="http://schemas.openxmlformats.org/officeDocument/2006/relationships/hyperlink" Target="https://publicadministration.un.org/egovkb/en-us/Data/Country-Information/id/156-Singapore" TargetMode="External"/><Relationship Id="rId55" Type="http://schemas.openxmlformats.org/officeDocument/2006/relationships/hyperlink" Target="https://www.trade.gov/country-commercial-guides/poland-digital-economy" TargetMode="External"/><Relationship Id="rId76" Type="http://schemas.openxmlformats.org/officeDocument/2006/relationships/hyperlink" Target="https://datahelpdesk.worldbank.org/knowledgebase/articles/906519" TargetMode="External"/><Relationship Id="rId97" Type="http://schemas.openxmlformats.org/officeDocument/2006/relationships/hyperlink" Target="https://unctad.org/publication/world-investment-report-2023" TargetMode="External"/><Relationship Id="rId104" Type="http://schemas.openxmlformats.org/officeDocument/2006/relationships/hyperlink" Target="https://www.adb.org/documents/uzbekistan-country-partnership-strategy-2019-2023" TargetMode="External"/><Relationship Id="rId7" Type="http://schemas.openxmlformats.org/officeDocument/2006/relationships/hyperlink" Target="https://doi.org/10.1787/a1689dc5-en" TargetMode="External"/><Relationship Id="rId71" Type="http://schemas.openxmlformats.org/officeDocument/2006/relationships/hyperlink" Target="https://www.state.gov/reports/2023-investment-climate-statements/poland" TargetMode="External"/><Relationship Id="rId92" Type="http://schemas.openxmlformats.org/officeDocument/2006/relationships/hyperlink" Target="https://interspp.com/index.php/sft/article/download/1696/1293/2524?utm_source=chatgpt.com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3.xml.rels><?xml version="1.0" encoding="UTF-8" standalone="yes"?>
<Relationships xmlns="http://schemas.openxmlformats.org/package/2006/relationships"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az-Cyrl-AZ"/>
              <a:t>Доля ИКТ-сектора в ВВП ОЭСР (%)</a:t>
            </a:r>
          </a:p>
        </c:rich>
      </c:tx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1"/>
        <c:ser>
          <c:idx val="0"/>
          <c:order val="0"/>
          <c:tx>
            <c:strRef>
              <c:f>[Графики_диплом_полный.xlsx]Рис1_ИКТ_доля_ВВП!$B$3</c:f>
              <c:strCache>
                <c:ptCount val="1"/>
                <c:pt idx="0">
                  <c:v>ИКТ-сектор, % ВВП</c:v>
                </c:pt>
              </c:strCache>
            </c:strRef>
          </c:tx>
          <c:marker>
            <c:symbol val="none"/>
          </c:marker>
          <c:dPt>
            <c:idx val="0"/>
            <c:marker>
              <c:symbol val="none"/>
            </c:marker>
            <c:bubble3D val="0"/>
            <c:spPr>
              <a:ln w="31750" cap="rnd">
                <a:solidFill>
                  <a:schemeClr val="accent1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0D2-4555-8FA9-8FC00A1F7BE3}"/>
              </c:ext>
            </c:extLst>
          </c:dPt>
          <c:dPt>
            <c:idx val="1"/>
            <c:marker>
              <c:symbol val="none"/>
            </c:marker>
            <c:bubble3D val="0"/>
            <c:spPr>
              <a:ln w="31750" cap="rnd">
                <a:solidFill>
                  <a:schemeClr val="accent2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0D2-4555-8FA9-8FC00A1F7BE3}"/>
              </c:ext>
            </c:extLst>
          </c:dPt>
          <c:dPt>
            <c:idx val="2"/>
            <c:marker>
              <c:symbol val="none"/>
            </c:marker>
            <c:bubble3D val="0"/>
            <c:spPr>
              <a:ln w="31750" cap="rnd">
                <a:solidFill>
                  <a:schemeClr val="accent3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0D2-4555-8FA9-8FC00A1F7BE3}"/>
              </c:ext>
            </c:extLst>
          </c:dPt>
          <c:dPt>
            <c:idx val="3"/>
            <c:marker>
              <c:symbol val="none"/>
            </c:marker>
            <c:bubble3D val="0"/>
            <c:spPr>
              <a:ln w="31750" cap="rnd">
                <a:solidFill>
                  <a:schemeClr val="accent4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0D2-4555-8FA9-8FC00A1F7BE3}"/>
              </c:ext>
            </c:extLst>
          </c:dPt>
          <c:dPt>
            <c:idx val="4"/>
            <c:marker>
              <c:symbol val="none"/>
            </c:marker>
            <c:bubble3D val="0"/>
            <c:spPr>
              <a:ln w="31750" cap="rnd">
                <a:solidFill>
                  <a:schemeClr val="accent5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0D2-4555-8FA9-8FC00A1F7BE3}"/>
              </c:ext>
            </c:extLst>
          </c:dPt>
          <c:dPt>
            <c:idx val="5"/>
            <c:marker>
              <c:symbol val="none"/>
            </c:marker>
            <c:bubble3D val="0"/>
            <c:spPr>
              <a:ln w="31750" cap="rnd">
                <a:solidFill>
                  <a:schemeClr val="accent6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0D2-4555-8FA9-8FC00A1F7BE3}"/>
              </c:ext>
            </c:extLst>
          </c:dPt>
          <c:dPt>
            <c:idx val="6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0D2-4555-8FA9-8FC00A1F7BE3}"/>
              </c:ext>
            </c:extLst>
          </c:dPt>
          <c:dPt>
            <c:idx val="7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0D2-4555-8FA9-8FC00A1F7BE3}"/>
              </c:ext>
            </c:extLst>
          </c:dPt>
          <c:dPt>
            <c:idx val="8"/>
            <c:marker>
              <c:symbol val="none"/>
            </c:marker>
            <c:bubble3D val="0"/>
            <c:spPr>
              <a:ln w="31750" cap="rnd">
                <a:solidFill>
                  <a:schemeClr val="accent3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0D2-4555-8FA9-8FC00A1F7BE3}"/>
              </c:ext>
            </c:extLst>
          </c:dPt>
          <c:dPt>
            <c:idx val="9"/>
            <c:marker>
              <c:symbol val="none"/>
            </c:marker>
            <c:bubble3D val="0"/>
            <c:spPr>
              <a:ln w="31750" cap="rnd">
                <a:solidFill>
                  <a:schemeClr val="accent4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0D2-4555-8FA9-8FC00A1F7BE3}"/>
              </c:ext>
            </c:extLst>
          </c:dPt>
          <c:dPt>
            <c:idx val="10"/>
            <c:marker>
              <c:symbol val="none"/>
            </c:marker>
            <c:bubble3D val="0"/>
            <c:spPr>
              <a:ln w="31750" cap="rnd">
                <a:solidFill>
                  <a:schemeClr val="accent5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0D2-4555-8FA9-8FC00A1F7BE3}"/>
              </c:ext>
            </c:extLst>
          </c:dPt>
          <c:dPt>
            <c:idx val="11"/>
            <c:marker>
              <c:symbol val="none"/>
            </c:marker>
            <c:bubble3D val="0"/>
            <c:spPr>
              <a:ln w="31750" cap="rnd">
                <a:solidFill>
                  <a:schemeClr val="accent6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0D2-4555-8FA9-8FC00A1F7BE3}"/>
              </c:ext>
            </c:extLst>
          </c:dPt>
          <c:dPt>
            <c:idx val="12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0D2-4555-8FA9-8FC00A1F7BE3}"/>
              </c:ext>
            </c:extLst>
          </c:dPt>
          <c:dPt>
            <c:idx val="13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0D2-4555-8FA9-8FC00A1F7BE3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[Графики_диплом_полный.xlsx]Рис1_ИКТ_доля_ВВП!$A$4:$A$17</c:f>
              <c:numCache>
                <c:formatCode>General</c:formatCode>
                <c:ptCount val="14"/>
                <c:pt idx="0">
                  <c:v>2010</c:v>
                </c:pt>
                <c:pt idx="1">
                  <c:v>2011</c:v>
                </c:pt>
                <c:pt idx="2">
                  <c:v>2012</c:v>
                </c:pt>
                <c:pt idx="3">
                  <c:v>2013</c:v>
                </c:pt>
                <c:pt idx="4">
                  <c:v>2014</c:v>
                </c:pt>
                <c:pt idx="5">
                  <c:v>2015</c:v>
                </c:pt>
                <c:pt idx="6">
                  <c:v>2016</c:v>
                </c:pt>
                <c:pt idx="7">
                  <c:v>2017</c:v>
                </c:pt>
                <c:pt idx="8">
                  <c:v>2018</c:v>
                </c:pt>
                <c:pt idx="9">
                  <c:v>2019</c:v>
                </c:pt>
                <c:pt idx="10">
                  <c:v>2020</c:v>
                </c:pt>
                <c:pt idx="11">
                  <c:v>2021</c:v>
                </c:pt>
                <c:pt idx="12">
                  <c:v>2022</c:v>
                </c:pt>
                <c:pt idx="13">
                  <c:v>2023</c:v>
                </c:pt>
              </c:numCache>
            </c:numRef>
          </c:cat>
          <c:val>
            <c:numRef>
              <c:f>[Графики_диплом_полный.xlsx]Рис1_ИКТ_доля_ВВП!$B$4:$B$17</c:f>
              <c:numCache>
                <c:formatCode>General</c:formatCode>
                <c:ptCount val="14"/>
                <c:pt idx="0">
                  <c:v>3.9</c:v>
                </c:pt>
                <c:pt idx="1">
                  <c:v>4</c:v>
                </c:pt>
                <c:pt idx="2">
                  <c:v>4.0999999999999996</c:v>
                </c:pt>
                <c:pt idx="3">
                  <c:v>4.2</c:v>
                </c:pt>
                <c:pt idx="4">
                  <c:v>4.3</c:v>
                </c:pt>
                <c:pt idx="5">
                  <c:v>4.5999999999999996</c:v>
                </c:pt>
                <c:pt idx="6">
                  <c:v>4.7</c:v>
                </c:pt>
                <c:pt idx="7">
                  <c:v>4.9000000000000004</c:v>
                </c:pt>
                <c:pt idx="8">
                  <c:v>5.0999999999999996</c:v>
                </c:pt>
                <c:pt idx="9">
                  <c:v>5.4</c:v>
                </c:pt>
                <c:pt idx="10">
                  <c:v>5.6</c:v>
                </c:pt>
                <c:pt idx="11">
                  <c:v>5.8</c:v>
                </c:pt>
                <c:pt idx="12">
                  <c:v>6</c:v>
                </c:pt>
                <c:pt idx="13">
                  <c:v>6.2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1C-50D2-4555-8FA9-8FC00A1F7BE3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z-Cyrl-AZ"/>
                  <a:t>Год</a:t>
                </a:r>
              </a:p>
            </c:rich>
          </c:tx>
          <c:layout>
            <c:manualLayout>
              <c:xMode val="edge"/>
              <c:yMode val="edge"/>
              <c:x val="0.49426056425660131"/>
              <c:y val="0.76715650369285238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%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3858497447118892"/>
          <c:y val="0.8437488555209669"/>
          <c:w val="0.71889132020423052"/>
          <c:h val="0.15625114447903315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az-Cyrl-AZ" b="1"/>
              <a:t>Темп роста ВВП, %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1"/>
        <c:ser>
          <c:idx val="0"/>
          <c:order val="0"/>
          <c:tx>
            <c:strRef>
              <c:f>[Графики_диплом_полный.xlsx]Рис4_ВВП_динамика!$B$3</c:f>
              <c:strCache>
                <c:ptCount val="1"/>
                <c:pt idx="0">
                  <c:v>Эстония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[Графики_диплом_полный.xlsx]Рис4_ВВП_динамика!$A$4:$A$7</c:f>
              <c:numCache>
                <c:formatCode>General</c:formatCode>
                <c:ptCount val="4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</c:numCache>
            </c:numRef>
          </c:cat>
          <c:val>
            <c:numRef>
              <c:f>[Графики_диплом_полный.xlsx]Рис4_ВВП_динамика!$B$4:$B$7</c:f>
              <c:numCache>
                <c:formatCode>General</c:formatCode>
                <c:ptCount val="4"/>
                <c:pt idx="0">
                  <c:v>4</c:v>
                </c:pt>
                <c:pt idx="1">
                  <c:v>-3</c:v>
                </c:pt>
                <c:pt idx="2">
                  <c:v>8.6</c:v>
                </c:pt>
                <c:pt idx="3">
                  <c:v>-1.3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0-5AB4-49FA-A0F0-E50E2E38CD32}"/>
            </c:ext>
          </c:extLst>
        </c:ser>
        <c:ser>
          <c:idx val="1"/>
          <c:order val="1"/>
          <c:tx>
            <c:strRef>
              <c:f>[Графики_диплом_полный.xlsx]Рис4_ВВП_динамика!$C$3</c:f>
              <c:strCache>
                <c:ptCount val="1"/>
                <c:pt idx="0">
                  <c:v>Респ. Корея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[Графики_диплом_полный.xlsx]Рис4_ВВП_динамика!$A$4:$A$7</c:f>
              <c:numCache>
                <c:formatCode>General</c:formatCode>
                <c:ptCount val="4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</c:numCache>
            </c:numRef>
          </c:cat>
          <c:val>
            <c:numRef>
              <c:f>[Графики_диплом_полный.xlsx]Рис4_ВВП_динамика!$C$4:$C$7</c:f>
              <c:numCache>
                <c:formatCode>General</c:formatCode>
                <c:ptCount val="4"/>
                <c:pt idx="0">
                  <c:v>2.2000000000000002</c:v>
                </c:pt>
                <c:pt idx="1">
                  <c:v>-0.7</c:v>
                </c:pt>
                <c:pt idx="2">
                  <c:v>4.5999999999999996</c:v>
                </c:pt>
                <c:pt idx="3">
                  <c:v>2.7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1-5AB4-49FA-A0F0-E50E2E38CD32}"/>
            </c:ext>
          </c:extLst>
        </c:ser>
        <c:ser>
          <c:idx val="2"/>
          <c:order val="2"/>
          <c:tx>
            <c:strRef>
              <c:f>[Графики_диплом_полный.xlsx]Рис4_ВВП_динамика!$D$3</c:f>
              <c:strCache>
                <c:ptCount val="1"/>
                <c:pt idx="0">
                  <c:v>Сингапур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[Графики_диплом_полный.xlsx]Рис4_ВВП_динамика!$A$4:$A$7</c:f>
              <c:numCache>
                <c:formatCode>General</c:formatCode>
                <c:ptCount val="4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</c:numCache>
            </c:numRef>
          </c:cat>
          <c:val>
            <c:numRef>
              <c:f>[Графики_диплом_полный.xlsx]Рис4_ВВП_динамика!$D$4:$D$7</c:f>
              <c:numCache>
                <c:formatCode>General</c:formatCode>
                <c:ptCount val="4"/>
                <c:pt idx="0">
                  <c:v>1.3</c:v>
                </c:pt>
                <c:pt idx="1">
                  <c:v>-3.9</c:v>
                </c:pt>
                <c:pt idx="2">
                  <c:v>7.6</c:v>
                </c:pt>
                <c:pt idx="3">
                  <c:v>3.6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2-5AB4-49FA-A0F0-E50E2E38CD32}"/>
            </c:ext>
          </c:extLst>
        </c:ser>
        <c:ser>
          <c:idx val="3"/>
          <c:order val="3"/>
          <c:tx>
            <c:strRef>
              <c:f>[Графики_диплом_полный.xlsx]Рис4_ВВП_динамика!$E$3</c:f>
              <c:strCache>
                <c:ptCount val="1"/>
                <c:pt idx="0">
                  <c:v>Польша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[Графики_диплом_полный.xlsx]Рис4_ВВП_динамика!$A$4:$A$7</c:f>
              <c:numCache>
                <c:formatCode>General</c:formatCode>
                <c:ptCount val="4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</c:numCache>
            </c:numRef>
          </c:cat>
          <c:val>
            <c:numRef>
              <c:f>[Графики_диплом_полный.xlsx]Рис4_ВВП_динамика!$E$4:$E$7</c:f>
              <c:numCache>
                <c:formatCode>General</c:formatCode>
                <c:ptCount val="4"/>
                <c:pt idx="0">
                  <c:v>4.5</c:v>
                </c:pt>
                <c:pt idx="1">
                  <c:v>-2</c:v>
                </c:pt>
                <c:pt idx="2">
                  <c:v>5.9</c:v>
                </c:pt>
                <c:pt idx="3">
                  <c:v>4.9000000000000004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3-5AB4-49FA-A0F0-E50E2E38CD32}"/>
            </c:ext>
          </c:extLst>
        </c:ser>
        <c:ser>
          <c:idx val="4"/>
          <c:order val="4"/>
          <c:tx>
            <c:strRef>
              <c:f>[Графики_диплом_полный.xlsx]Рис4_ВВП_динамика!$F$3</c:f>
              <c:strCache>
                <c:ptCount val="1"/>
                <c:pt idx="0">
                  <c:v>Среднее ЕС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[Графики_диплом_полный.xlsx]Рис4_ВВП_динамика!$A$4:$A$7</c:f>
              <c:numCache>
                <c:formatCode>General</c:formatCode>
                <c:ptCount val="4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</c:numCache>
            </c:numRef>
          </c:cat>
          <c:val>
            <c:numRef>
              <c:f>[Графики_диплом_полный.xlsx]Рис4_ВВП_динамика!$F$4:$F$7</c:f>
              <c:numCache>
                <c:formatCode>General</c:formatCode>
                <c:ptCount val="4"/>
                <c:pt idx="0">
                  <c:v>1.8</c:v>
                </c:pt>
                <c:pt idx="1">
                  <c:v>-6.1</c:v>
                </c:pt>
                <c:pt idx="2">
                  <c:v>5.4</c:v>
                </c:pt>
                <c:pt idx="3">
                  <c:v>3.4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4-5AB4-49FA-A0F0-E50E2E38CD32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z-Cyrl-AZ"/>
                  <a:t>Год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t" anchorCtr="0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%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az-Cyrl-AZ" b="1"/>
              <a:t>Пиковая инфляция, %</a:t>
            </a:r>
          </a:p>
        </c:rich>
      </c:tx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1"/>
        <c:ser>
          <c:idx val="0"/>
          <c:order val="0"/>
          <c:tx>
            <c:strRef>
              <c:f>[Графики_диплом_полный.xlsx]Рис6_Инфляция_2022!$B$3</c:f>
              <c:strCache>
                <c:ptCount val="1"/>
                <c:pt idx="0">
                  <c:v>Пик инфляции, %</c:v>
                </c:pt>
              </c:strCache>
            </c:strRef>
          </c:tx>
          <c:invertIfNegative val="1"/>
          <c:dPt>
            <c:idx val="0"/>
            <c:invertIfNegative val="1"/>
            <c:bubble3D val="0"/>
            <c:spPr>
              <a:solidFill>
                <a:schemeClr val="accent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7403-493D-9AEE-8A7DED492906}"/>
              </c:ext>
            </c:extLst>
          </c:dPt>
          <c:dPt>
            <c:idx val="1"/>
            <c:invertIfNegative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7403-493D-9AEE-8A7DED492906}"/>
              </c:ext>
            </c:extLst>
          </c:dPt>
          <c:dPt>
            <c:idx val="2"/>
            <c:invertIfNegative val="1"/>
            <c:bubble3D val="0"/>
            <c:spPr>
              <a:solidFill>
                <a:schemeClr val="accent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7403-493D-9AEE-8A7DED492906}"/>
              </c:ext>
            </c:extLst>
          </c:dPt>
          <c:dPt>
            <c:idx val="3"/>
            <c:invertIfNegative val="1"/>
            <c:bubble3D val="0"/>
            <c:spPr>
              <a:solidFill>
                <a:schemeClr val="accent4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7403-493D-9AEE-8A7DED492906}"/>
              </c:ext>
            </c:extLst>
          </c:dPt>
          <c:cat>
            <c:strRef>
              <c:f>[Графики_диплом_полный.xlsx]Рис6_Инфляция_2022!$A$4:$A$7</c:f>
              <c:strCache>
                <c:ptCount val="4"/>
                <c:pt idx="0">
                  <c:v>Эстония</c:v>
                </c:pt>
                <c:pt idx="1">
                  <c:v>Польша</c:v>
                </c:pt>
                <c:pt idx="2">
                  <c:v>Респ. Корея</c:v>
                </c:pt>
                <c:pt idx="3">
                  <c:v>Сингапур</c:v>
                </c:pt>
              </c:strCache>
            </c:strRef>
          </c:cat>
          <c:val>
            <c:numRef>
              <c:f>[Графики_диплом_полный.xlsx]Рис6_Инфляция_2022!$B$4:$B$7</c:f>
              <c:numCache>
                <c:formatCode>General</c:formatCode>
                <c:ptCount val="4"/>
                <c:pt idx="0">
                  <c:v>19.399999999999999</c:v>
                </c:pt>
                <c:pt idx="1">
                  <c:v>18.399999999999999</c:v>
                </c:pt>
                <c:pt idx="2">
                  <c:v>6.3</c:v>
                </c:pt>
                <c:pt idx="3">
                  <c:v>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7403-493D-9AEE-8A7DED4929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%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1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7892E8-7655-41DF-A403-E206FA0FF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1</Pages>
  <Words>18245</Words>
  <Characters>104001</Characters>
  <Application>Microsoft Office Word</Application>
  <DocSecurity>0</DocSecurity>
  <Lines>866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Muhammadjon</dc:creator>
  <cp:keywords/>
  <dc:description/>
  <cp:lastModifiedBy>Muhammadjon</cp:lastModifiedBy>
  <cp:revision>41</cp:revision>
  <cp:lastPrinted>2026-06-08T11:01:00Z</cp:lastPrinted>
  <dcterms:created xsi:type="dcterms:W3CDTF">2026-06-07T09:28:00Z</dcterms:created>
  <dcterms:modified xsi:type="dcterms:W3CDTF">2026-06-09T10:33:00Z</dcterms:modified>
</cp:coreProperties>
</file>