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2A16" w:rsidRPr="000E5726" w:rsidRDefault="00C02A16" w:rsidP="00C02A16">
      <w:pPr>
        <w:pageBreakBefore/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b/>
          <w:sz w:val="28"/>
          <w:szCs w:val="28"/>
          <w:lang w:val="ru-RU"/>
        </w:rPr>
        <w:t>ВВЕДЕНИЕ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b/>
          <w:bCs/>
          <w:sz w:val="28"/>
          <w:szCs w:val="28"/>
          <w:lang w:val="ru-RU"/>
        </w:rPr>
        <w:t>Актуальность темы исследования.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Три волны глобальных кризисов - 2008-2009, 2020-2021 и 2022 годов - обнажили одну закономерность, которую сложно игнорировать: одинаковый по силе внешний удар даёт разные траектории восстановления даже у стран со схожим уровнем развития. Одни экономики возвращались к росту достаточно быстро, другие ещё долго несли последствия ш</w:t>
      </w:r>
      <w:r w:rsidR="0093678C">
        <w:rPr>
          <w:rFonts w:ascii="Times New Roman" w:hAnsi="Times New Roman" w:cs="Times New Roman"/>
          <w:sz w:val="28"/>
          <w:szCs w:val="28"/>
          <w:lang w:val="ru-RU"/>
        </w:rPr>
        <w:t>ока. Классические инструменты</w:t>
      </w:r>
      <w:r w:rsidR="0093678C">
        <w:rPr>
          <w:rFonts w:ascii="Times New Roman" w:hAnsi="Times New Roman" w:cs="Times New Roman"/>
          <w:sz w:val="28"/>
          <w:szCs w:val="28"/>
        </w:rPr>
        <w:t> </w:t>
      </w:r>
      <w:r w:rsidR="0093678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93678C">
        <w:rPr>
          <w:rFonts w:ascii="Times New Roman" w:hAnsi="Times New Roman" w:cs="Times New Roman"/>
          <w:sz w:val="28"/>
          <w:szCs w:val="28"/>
        </w:rPr>
        <w:t>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ф</w:t>
      </w:r>
      <w:r w:rsidR="0093678C">
        <w:rPr>
          <w:rFonts w:ascii="Times New Roman" w:hAnsi="Times New Roman" w:cs="Times New Roman"/>
          <w:sz w:val="28"/>
          <w:szCs w:val="28"/>
          <w:lang w:val="ru-RU"/>
        </w:rPr>
        <w:t>искальная и монетарная политика</w:t>
      </w:r>
      <w:r w:rsidR="0093678C">
        <w:rPr>
          <w:rFonts w:ascii="Times New Roman" w:hAnsi="Times New Roman" w:cs="Times New Roman"/>
          <w:sz w:val="28"/>
          <w:szCs w:val="28"/>
        </w:rPr>
        <w:t> </w:t>
      </w:r>
      <w:r w:rsidR="0093678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объясняют многое, но явно не всё. Так, по оценкам Организации экономического сотрудничества и развития, страны ОЭСР, столкнувшиеся с банковским кризисом в 2008-2009 годах, восстанавливались в среднем около 12 кварталов, тогда как страны без банковского кризиса - около 4 кварталов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"/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Разрыв в три раза при сопоставимой макроэкономической политике</w:t>
      </w:r>
      <w:r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это достаточно весомый аргумент в пользу того, что устойчивость экономики определяется не только реакцией на шок, но и тем, что было выстроено до него.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В условиях четвёртой промышленной рев</w:t>
      </w:r>
      <w:r w:rsidR="0093678C">
        <w:rPr>
          <w:rFonts w:ascii="Times New Roman" w:hAnsi="Times New Roman" w:cs="Times New Roman"/>
          <w:sz w:val="28"/>
          <w:szCs w:val="28"/>
          <w:lang w:val="ru-RU"/>
        </w:rPr>
        <w:t xml:space="preserve">олюции </w:t>
      </w:r>
      <w:proofErr w:type="spellStart"/>
      <w:r w:rsidR="0093678C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="0093678C">
        <w:rPr>
          <w:rFonts w:ascii="Times New Roman" w:hAnsi="Times New Roman" w:cs="Times New Roman"/>
          <w:sz w:val="28"/>
          <w:szCs w:val="28"/>
          <w:lang w:val="ru-RU"/>
        </w:rPr>
        <w:t xml:space="preserve"> всё чаще </w:t>
      </w:r>
      <w:proofErr w:type="spellStart"/>
      <w:r w:rsidR="0093678C">
        <w:rPr>
          <w:rFonts w:ascii="Times New Roman" w:hAnsi="Times New Roman" w:cs="Times New Roman"/>
          <w:sz w:val="28"/>
          <w:szCs w:val="28"/>
          <w:lang w:val="ru-RU"/>
        </w:rPr>
        <w:t>ра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сматривается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как один из таких структурных факторов. Опыт пандемии </w:t>
      </w:r>
      <w:r w:rsidRPr="000E5726">
        <w:rPr>
          <w:rFonts w:ascii="Times New Roman" w:hAnsi="Times New Roman" w:cs="Times New Roman"/>
          <w:sz w:val="28"/>
          <w:szCs w:val="28"/>
        </w:rPr>
        <w:t>COVID</w:t>
      </w:r>
      <w:r w:rsidRPr="00933D6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19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2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показал, что развитая цифровая инфраструктура, цифровое государство и онлайн-сервисы позволяют поддерживать непрерывность государственных функций, ускорять фискальную трансмиссию и смягчать падение деловой активности. Но называть эту связь полностью изученной пока рано. В научной литературе до сих пор нет достаточно системного объяснения того, через какие конкретно механизмы цифровые технологии влияют на отдельные элементы макроэкономической устойчивости.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Особую значимость данная проблематика приобретает для Республики Узбекистан, реализующей программу цифровой трансформации в рамках Стратегии «Цифровой Узбекистан - 2030»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3"/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Для национальной экономики здесь важно не просто перенять отдельные решения стран-лидеров, а разобраться - какие именно направления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реально работают на повышение устойчивости к внешним шокам. В отечественной литературе этот вопрос раскрыт слабо, особенно в части связи между количественными показателями цифрового развития и траекториями восстановления в кризисный период 2020-2022 годов. Отсюда и научная, и практическая значимость темы.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Степень изученности проблемы.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Концептуальные основы экономической устойчивости заложены в работах Л.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Бригульо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Г.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Кордины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Н.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Фарругия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С.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Веллы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- там проводится принципиальное разграничение между структ</w:t>
      </w:r>
      <w:r w:rsidR="0093678C">
        <w:rPr>
          <w:rFonts w:ascii="Times New Roman" w:hAnsi="Times New Roman" w:cs="Times New Roman"/>
          <w:sz w:val="28"/>
          <w:szCs w:val="28"/>
          <w:lang w:val="ru-RU"/>
        </w:rPr>
        <w:t>урной уязвимостью экономики и ее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способностью противостоять шокам. Эмпирические аспекты влияния макроэкономической политики на устойчивость представлены в исследованиях А. Кальдера-Санчес, О.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Рёна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М.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Хермансена</w:t>
      </w:r>
      <w:proofErr w:type="spellEnd"/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4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других авторов в рамках аналитической программы ОЭСР. Вопросы цифровой трансформации национальных экономик раскрываются в докладах ОЭСР, Всемирного банка и Европейской комиссии, а влияние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поведение фирм в кризисных условиях - в работах М.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Ойкономоу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Н.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Пьерри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Й.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Тиммера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. Пробле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 xml:space="preserve">ма в том, что оба направления - устойчивость и </w:t>
      </w:r>
      <w:proofErr w:type="spellStart"/>
      <w:r w:rsidR="00390488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="00390488">
        <w:rPr>
          <w:rFonts w:ascii="Times New Roman" w:hAnsi="Times New Roman" w:cs="Times New Roman"/>
          <w:sz w:val="28"/>
          <w:szCs w:val="28"/>
          <w:lang w:val="ru-RU"/>
        </w:rPr>
        <w:t xml:space="preserve"> 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 большинстве работ </w:t>
      </w:r>
      <w:proofErr w:type="spellStart"/>
      <w:r w:rsidR="0093678C">
        <w:rPr>
          <w:rFonts w:ascii="Times New Roman" w:hAnsi="Times New Roman" w:cs="Times New Roman"/>
          <w:sz w:val="28"/>
          <w:szCs w:val="28"/>
          <w:lang w:val="ru-RU"/>
        </w:rPr>
        <w:t>существ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ют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как бы параллельно, не пересекаясь.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Комплексного анализа каналов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через которые цифровые технологии воздействуют на макроэкономическую устойчивость в условиях глобальных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кризисов, пока недостаточно. Этот пробел и стал отправной точкой данной работы.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 исследования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- процесс цифровой трансформации национальных экономик и формирование их устойчивости к глобальным экзогенным шокам.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Предмет исследования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 механизмы и каналы воздействия цифровых технологий на макроэкономическую устойчивость национальных экономик в условиях глобальных кризисов 2020-2022 годов.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Цель исследования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- выявить и эмпирически обосновать каналы влияния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устойчивость национальных экономик к глобальным кризисам, а также разработать рекомендации по адаптации международного опыта цифровой трансформации к условиям Республики Узбекистан.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Задачи исследования.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Для достижения поставленной цели необходимо решить следующие задачи:</w:t>
      </w:r>
    </w:p>
    <w:p w:rsidR="00C02A16" w:rsidRPr="00433F08" w:rsidRDefault="00C02A16" w:rsidP="00C02A16">
      <w:pPr>
        <w:pStyle w:val="a3"/>
        <w:numPr>
          <w:ilvl w:val="0"/>
          <w:numId w:val="1"/>
        </w:numPr>
        <w:spacing w:after="0" w:line="36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sz w:val="28"/>
          <w:szCs w:val="28"/>
          <w:lang w:val="ru-RU"/>
        </w:rPr>
        <w:t xml:space="preserve">Раскрыть теоретико-методологические основы </w:t>
      </w:r>
      <w:proofErr w:type="spellStart"/>
      <w:r w:rsidRPr="00433F08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433F08">
        <w:rPr>
          <w:rFonts w:ascii="Times New Roman" w:hAnsi="Times New Roman" w:cs="Times New Roman"/>
          <w:sz w:val="28"/>
          <w:szCs w:val="28"/>
          <w:lang w:val="ru-RU"/>
        </w:rPr>
        <w:t xml:space="preserve"> экономики, выделить её основные направления и систематизировать каналы воздействия на макроэкономическую устойчивость.</w:t>
      </w:r>
    </w:p>
    <w:p w:rsidR="00C02A16" w:rsidRPr="00433F08" w:rsidRDefault="00C02A16" w:rsidP="00C02A16">
      <w:pPr>
        <w:pStyle w:val="a3"/>
        <w:numPr>
          <w:ilvl w:val="0"/>
          <w:numId w:val="1"/>
        </w:numPr>
        <w:spacing w:after="0" w:line="36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sz w:val="28"/>
          <w:szCs w:val="28"/>
          <w:lang w:val="ru-RU"/>
        </w:rPr>
        <w:t>Проанализировать теоретические подходы к категории устойчивости национальных экономик к экзогенным шокам и определить её ключевые компоненты.</w:t>
      </w:r>
    </w:p>
    <w:p w:rsidR="00C02A16" w:rsidRPr="00433F08" w:rsidRDefault="00C02A16" w:rsidP="00C02A16">
      <w:pPr>
        <w:pStyle w:val="a3"/>
        <w:numPr>
          <w:ilvl w:val="0"/>
          <w:numId w:val="1"/>
        </w:numPr>
        <w:spacing w:after="0" w:line="36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sz w:val="28"/>
          <w:szCs w:val="28"/>
          <w:lang w:val="ru-RU"/>
        </w:rPr>
        <w:t>Провести сравнительный анализ моделей цифровой трансформации Эстонии, Республ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>ики Корея, Сингапура и Польши - </w:t>
      </w:r>
      <w:r w:rsidRPr="00433F08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proofErr w:type="gramStart"/>
      <w:r w:rsidRPr="00433F08">
        <w:rPr>
          <w:rFonts w:ascii="Times New Roman" w:hAnsi="Times New Roman" w:cs="Times New Roman"/>
          <w:sz w:val="28"/>
          <w:szCs w:val="28"/>
          <w:lang w:val="ru-RU"/>
        </w:rPr>
        <w:t>оценить</w:t>
      </w:r>
      <w:proofErr w:type="gramEnd"/>
      <w:r w:rsidRPr="00433F08">
        <w:rPr>
          <w:rFonts w:ascii="Times New Roman" w:hAnsi="Times New Roman" w:cs="Times New Roman"/>
          <w:sz w:val="28"/>
          <w:szCs w:val="28"/>
          <w:lang w:val="ru-RU"/>
        </w:rPr>
        <w:t xml:space="preserve"> как каждая из этих экономик реагировала на глобальные кризисы 2020-2022 годов с учётом уровня цифровой зрелости.</w:t>
      </w:r>
    </w:p>
    <w:p w:rsidR="00C02A16" w:rsidRPr="00433F08" w:rsidRDefault="00C02A16" w:rsidP="00C02A16">
      <w:pPr>
        <w:pStyle w:val="a3"/>
        <w:numPr>
          <w:ilvl w:val="0"/>
          <w:numId w:val="1"/>
        </w:numPr>
        <w:spacing w:after="0" w:line="36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sz w:val="28"/>
          <w:szCs w:val="28"/>
          <w:lang w:val="ru-RU"/>
        </w:rPr>
        <w:t xml:space="preserve">Построить эконометрическую модель на основе панельных данных, которая позволит оценить связь между показателями </w:t>
      </w:r>
      <w:proofErr w:type="spellStart"/>
      <w:r w:rsidRPr="00433F08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433F08">
        <w:rPr>
          <w:rFonts w:ascii="Times New Roman" w:hAnsi="Times New Roman" w:cs="Times New Roman"/>
          <w:sz w:val="28"/>
          <w:szCs w:val="28"/>
          <w:lang w:val="ru-RU"/>
        </w:rPr>
        <w:t xml:space="preserve"> и индикаторами устойчивости национальных экономик, и интерпретировать полученные результаты.</w:t>
      </w:r>
    </w:p>
    <w:p w:rsidR="00C02A16" w:rsidRPr="00433F08" w:rsidRDefault="00C02A16" w:rsidP="00C02A16">
      <w:pPr>
        <w:pStyle w:val="a3"/>
        <w:numPr>
          <w:ilvl w:val="0"/>
          <w:numId w:val="1"/>
        </w:numPr>
        <w:spacing w:after="0" w:line="36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sz w:val="28"/>
          <w:szCs w:val="28"/>
          <w:lang w:val="ru-RU"/>
        </w:rPr>
        <w:lastRenderedPageBreak/>
        <w:t>Оценить текущее состояние цифровой трансформации экономики Узбекистана в рамках С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>тратегии «Цифровой Узбекистан - </w:t>
      </w:r>
      <w:r w:rsidRPr="00433F08">
        <w:rPr>
          <w:rFonts w:ascii="Times New Roman" w:hAnsi="Times New Roman" w:cs="Times New Roman"/>
          <w:sz w:val="28"/>
          <w:szCs w:val="28"/>
          <w:lang w:val="ru-RU"/>
        </w:rPr>
        <w:t>2030» и определить, какие элементы международного опыта здесь реально применимы.</w:t>
      </w:r>
    </w:p>
    <w:p w:rsidR="00C02A16" w:rsidRPr="00433F08" w:rsidRDefault="00C02A16" w:rsidP="00C02A16">
      <w:pPr>
        <w:pStyle w:val="a3"/>
        <w:numPr>
          <w:ilvl w:val="0"/>
          <w:numId w:val="1"/>
        </w:numPr>
        <w:spacing w:after="0" w:line="360" w:lineRule="auto"/>
        <w:ind w:left="851" w:hanging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sz w:val="28"/>
          <w:szCs w:val="28"/>
          <w:lang w:val="ru-RU"/>
        </w:rPr>
        <w:t>Разработат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>ь практические рекомендаций</w:t>
      </w:r>
      <w:r w:rsidRPr="00433F08">
        <w:rPr>
          <w:rFonts w:ascii="Times New Roman" w:hAnsi="Times New Roman" w:cs="Times New Roman"/>
          <w:sz w:val="28"/>
          <w:szCs w:val="28"/>
          <w:lang w:val="ru-RU"/>
        </w:rPr>
        <w:t xml:space="preserve"> по укреплению цифровой инфраструктуры как фактора антикризисной устойчивости национальной экономики Республики Узбекистан.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результаты исследования.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работе систематизированы каналы, через которые цифровые технологии могут 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>влиять на устойчивость националь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ных экономик в период глобальных кризисов. В качестве ключевых выделены пять направлений: непрерывность государственн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 xml:space="preserve">ых функций, фискальная </w:t>
      </w:r>
      <w:proofErr w:type="spellStart"/>
      <w:r w:rsidR="00390488">
        <w:rPr>
          <w:rFonts w:ascii="Times New Roman" w:hAnsi="Times New Roman" w:cs="Times New Roman"/>
          <w:sz w:val="28"/>
          <w:szCs w:val="28"/>
          <w:lang w:val="ru-RU"/>
        </w:rPr>
        <w:t>трансмис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, адаптация частного сектора, сдвиг структуры спроса в пользу цифровых услуг, а также устойчивость информационно-коммуникационного сектора. Отдельно проведён сравнительный анализ моделей цифровой трансформации Эстонии, Республики К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>орея, Сингапура и Польши - с уче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том институциональных особенностей каждой страны и того, как они проходили кризисы 2020-2022 годов. На основе панельных данных в среде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RStudio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построена эконометрическая модель, которая позвол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 xml:space="preserve">яет оценить связь между </w:t>
      </w:r>
      <w:proofErr w:type="spellStart"/>
      <w:r w:rsidR="00390488">
        <w:rPr>
          <w:rFonts w:ascii="Times New Roman" w:hAnsi="Times New Roman" w:cs="Times New Roman"/>
          <w:sz w:val="28"/>
          <w:szCs w:val="28"/>
          <w:lang w:val="ru-RU"/>
        </w:rPr>
        <w:t>показати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лями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цифровой зрелости и отдельными индикаторами макроэкономической устойчивости.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значимость исследования.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Полученные результаты могут использоваться при уточнении стратегических документов цифровой трансформации Республики Узбекистан, включая С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>тратегию «Цифровой Узбекистан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2030», а также при подготовке мер по повышению устойчивости национальной экономики в кризисных условиях. Обобщённый международный опыт и сформулированные рекомендации адресованы прежде всего государственным органам в сфере цифрового развития, а также научным и 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lastRenderedPageBreak/>
        <w:t>образова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тельным органи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 xml:space="preserve">зациям работающим </w:t>
      </w:r>
      <w:proofErr w:type="gramStart"/>
      <w:r w:rsidR="00390488">
        <w:rPr>
          <w:rFonts w:ascii="Times New Roman" w:hAnsi="Times New Roman" w:cs="Times New Roman"/>
          <w:sz w:val="28"/>
          <w:szCs w:val="28"/>
          <w:lang w:val="ru-RU"/>
        </w:rPr>
        <w:t>на пересечений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вопросов международной экономики, цифровой трансформации и устойчивого развития.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Методология исследования.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Методологической основой рабо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>ты выступает системный подход - </w:t>
      </w:r>
      <w:proofErr w:type="spellStart"/>
      <w:r w:rsidR="00390488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="00390488">
        <w:rPr>
          <w:rFonts w:ascii="Times New Roman" w:hAnsi="Times New Roman" w:cs="Times New Roman"/>
          <w:sz w:val="28"/>
          <w:szCs w:val="28"/>
          <w:lang w:val="ru-RU"/>
        </w:rPr>
        <w:t xml:space="preserve"> и устойчивость </w:t>
      </w:r>
      <w:proofErr w:type="spellStart"/>
      <w:r w:rsidR="00390488">
        <w:rPr>
          <w:rFonts w:ascii="Times New Roman" w:hAnsi="Times New Roman" w:cs="Times New Roman"/>
          <w:sz w:val="28"/>
          <w:szCs w:val="28"/>
          <w:lang w:val="ru-RU"/>
        </w:rPr>
        <w:t>ра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сматриваются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здесь 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 xml:space="preserve">как взаимосвязанные </w:t>
      </w:r>
      <w:proofErr w:type="spellStart"/>
      <w:r w:rsidR="00390488">
        <w:rPr>
          <w:rFonts w:ascii="Times New Roman" w:hAnsi="Times New Roman" w:cs="Times New Roman"/>
          <w:sz w:val="28"/>
          <w:szCs w:val="28"/>
          <w:lang w:val="ru-RU"/>
        </w:rPr>
        <w:t>характерист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ки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национальной экономики, а не как отдельные явления. В работе используются методы сравнительного анализа, корреляционно-регрессионного моделирования на панельных данных и графической визуализации. Эконометрический анализ выполнен в среде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RStudio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 применением пакета 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plm</w:t>
      </w:r>
      <w:proofErr w:type="spellEnd"/>
      <w:r w:rsidR="00390488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. Эмпирическую базу составляют данные ОЭСР, Международного валютного фонда, Всемирного банка, Европейской комиссии и ООН. В сравнительном анализе используются международные индексы цифровой зрелости, включая </w:t>
      </w:r>
      <w:r w:rsidRPr="000E5726">
        <w:rPr>
          <w:rFonts w:ascii="Times New Roman" w:hAnsi="Times New Roman" w:cs="Times New Roman"/>
          <w:sz w:val="28"/>
          <w:szCs w:val="28"/>
        </w:rPr>
        <w:t>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</w:rPr>
        <w:t>Government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5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Development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Index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E5726">
        <w:rPr>
          <w:rFonts w:ascii="Times New Roman" w:hAnsi="Times New Roman" w:cs="Times New Roman"/>
          <w:sz w:val="28"/>
          <w:szCs w:val="28"/>
        </w:rPr>
        <w:t>Network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Readiness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Index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0E5726">
        <w:rPr>
          <w:rFonts w:ascii="Times New Roman" w:hAnsi="Times New Roman" w:cs="Times New Roman"/>
          <w:sz w:val="28"/>
          <w:szCs w:val="28"/>
        </w:rPr>
        <w:t>Digital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Economy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and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Society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Index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. В эконометрической модели основным индикатором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выступает доля интернет-пользователей в численности населения по базе </w:t>
      </w:r>
      <w:r w:rsidRPr="000E5726">
        <w:rPr>
          <w:rFonts w:ascii="Times New Roman" w:hAnsi="Times New Roman" w:cs="Times New Roman"/>
          <w:sz w:val="28"/>
          <w:szCs w:val="28"/>
        </w:rPr>
        <w:t>World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Development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Indicators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, что обеспечивает сопоставимость данных по выборке из 49 стран за 2010-2024 годы. Также в работе используются нормативно-правовые акты и стратегические документы Республики Узбекистан.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Структура работы.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Выпускная квалификационная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 xml:space="preserve"> работа состоит из введения, тре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х глав, разделённых на девять параграфов, заключения, списка использованных источников и приложений.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>В первой главе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«Теоретико-методологические основы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экономики и устойчивости стран к глобальным кризисам» раскрываются сущность и основные направления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современной экономики,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рассматриваются теоретические подходы к категории устойчивости национальных экономик к экзогенным шокам, а также систематизируются каналы воздействия цифровых технологий на макроэкономическую стабильность.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 второй главе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«Международный опыт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экономики и эконометрический анализ её влияния на устойчивость стран к глобальным кризисам» проводится сравнительный анализ моделей цифровой трансформации Эстонии, Республики Корея, Сингапура и Польши, оценивается реакция этих экономик на глобальные кризисы 2020-2022 годов, а также выполняется эконометрический анализ влияния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устойчивость национальных экономик на основе панельных данных.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>В третьей главе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«Использование международного опыта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условиях Республики Узбекистан» рассматривается текущее состояние цифровой трансформации экономики Узбекистана в рамках С</w:t>
      </w:r>
      <w:r w:rsidR="00807BBC">
        <w:rPr>
          <w:rFonts w:ascii="Times New Roman" w:hAnsi="Times New Roman" w:cs="Times New Roman"/>
          <w:sz w:val="28"/>
          <w:szCs w:val="28"/>
          <w:lang w:val="ru-RU"/>
        </w:rPr>
        <w:t>тратегии «Цифровой Узбекистан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2030», оцениваются возможности адаптации международног</w:t>
      </w:r>
      <w:r w:rsidR="00807BBC">
        <w:rPr>
          <w:rFonts w:ascii="Times New Roman" w:hAnsi="Times New Roman" w:cs="Times New Roman"/>
          <w:sz w:val="28"/>
          <w:szCs w:val="28"/>
          <w:lang w:val="ru-RU"/>
        </w:rPr>
        <w:t xml:space="preserve">о опыта и формулируются </w:t>
      </w:r>
      <w:proofErr w:type="spellStart"/>
      <w:r w:rsidR="00807BBC">
        <w:rPr>
          <w:rFonts w:ascii="Times New Roman" w:hAnsi="Times New Roman" w:cs="Times New Roman"/>
          <w:sz w:val="28"/>
          <w:szCs w:val="28"/>
          <w:lang w:val="ru-RU"/>
        </w:rPr>
        <w:t>практич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ские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рекомендации по укреплению цифровой устойчивости национальной экономики.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>В заключении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обобщаются основные результаты исследования, формулируются выводы и практические рекомендации.</w:t>
      </w:r>
    </w:p>
    <w:p w:rsidR="00C02A16" w:rsidRPr="000E5726" w:rsidRDefault="00C02A16" w:rsidP="00C02A16">
      <w:pPr>
        <w:pageBreakBefore/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ГЛАВА I. ТЕОРЕТИКО-МЕТОДОЛОГИЧЕСКИЕ ОСНОВЫ ЦИФРОВИЗАЦИИ ЭКОНОМИКИ И УСТОЙЧИВОСТИ СТРАН К ГЛОБАЛЬНЫМ КРИЗИСАМ</w:t>
      </w:r>
    </w:p>
    <w:p w:rsidR="00C02A16" w:rsidRPr="000E5726" w:rsidRDefault="00C02A16" w:rsidP="00C02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b/>
          <w:sz w:val="28"/>
          <w:szCs w:val="28"/>
          <w:lang w:val="ru-RU"/>
        </w:rPr>
        <w:t xml:space="preserve">1.1. Сущность, содержание и основные направления </w:t>
      </w:r>
      <w:proofErr w:type="spellStart"/>
      <w:r w:rsidRPr="000E5726">
        <w:rPr>
          <w:rFonts w:ascii="Times New Roman" w:hAnsi="Times New Roman" w:cs="Times New Roman"/>
          <w:b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современной экономики</w:t>
      </w:r>
    </w:p>
    <w:p w:rsidR="00C02A16" w:rsidRPr="000E5726" w:rsidRDefault="00C02A16" w:rsidP="00C02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933D6F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Понятие «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экономики» в научной литературе трактуется неоднозначно -</w:t>
      </w:r>
      <w:r>
        <w:rPr>
          <w:rFonts w:ascii="Times New Roman" w:hAnsi="Times New Roman" w:cs="Times New Roman"/>
          <w:sz w:val="28"/>
          <w:szCs w:val="28"/>
          <w:lang w:val="en-CA"/>
        </w:rPr>
        <w:t>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этот процесс охватывает не только внедрение технологий, но и более глубокие изменения: в экономических связях, управлении и организации хозяйственной деятельности. В аналитических документах Организации экономического сотрудничества и развития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рассматривается одновременно как процесс распространения цифровых технологий и как структурный сдвиг, влияющий на производство, потребление и регулирование экономической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активност</w:t>
      </w:r>
      <w:proofErr w:type="spellEnd"/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"/>
      </w:r>
      <w:r w:rsidRPr="00933D6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этой работе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экономики понимается как встраивание цифровых технологий и данных в производственные, обменные и распределительные процессы национальной экономики</w:t>
      </w:r>
      <w:r>
        <w:rPr>
          <w:rFonts w:ascii="Times New Roman" w:hAnsi="Times New Roman" w:cs="Times New Roman"/>
          <w:sz w:val="28"/>
          <w:szCs w:val="28"/>
          <w:lang w:val="en-CA"/>
        </w:rPr>
        <w:t>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CA"/>
        </w:rPr>
        <w:t>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в результате меняется её отраслевая структура, модели государственного управления и формы взаимодействия экономических агентов.</w:t>
      </w:r>
    </w:p>
    <w:p w:rsidR="00C02A16" w:rsidRPr="00933D6F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Важно разграничивать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цифровизацию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экономики как широкий процесс и информационно-коммуникационный сектор как её технологическую основу. Согласно классификации ОЭСР, основанной на международном стандарте ISIC Rev.4, ИКТ-сектор включает производство компьютеров, электронных и оптических изделий, телекоммуникации, а также деятельность в области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информационных технологий и информацио</w:t>
      </w:r>
      <w:r w:rsidR="00807BBC">
        <w:rPr>
          <w:rFonts w:ascii="Times New Roman" w:hAnsi="Times New Roman" w:cs="Times New Roman"/>
          <w:sz w:val="28"/>
          <w:szCs w:val="28"/>
          <w:lang w:val="ru-RU"/>
        </w:rPr>
        <w:t>нных услуг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"/>
      </w:r>
      <w:r w:rsidR="00807BB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При этом цифровая экономика не огран</w:t>
      </w:r>
      <w:r w:rsidR="00807BBC">
        <w:rPr>
          <w:rFonts w:ascii="Times New Roman" w:hAnsi="Times New Roman" w:cs="Times New Roman"/>
          <w:sz w:val="28"/>
          <w:szCs w:val="28"/>
          <w:lang w:val="ru-RU"/>
        </w:rPr>
        <w:t>ичивается только ИКТ-сектором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она охв</w:t>
      </w:r>
      <w:r w:rsidR="00081992">
        <w:rPr>
          <w:rFonts w:ascii="Times New Roman" w:hAnsi="Times New Roman" w:cs="Times New Roman"/>
          <w:sz w:val="28"/>
          <w:szCs w:val="28"/>
          <w:lang w:val="ru-RU"/>
        </w:rPr>
        <w:t xml:space="preserve">атывает и распространение </w:t>
      </w:r>
      <w:proofErr w:type="spellStart"/>
      <w:r w:rsidR="00081992">
        <w:rPr>
          <w:rFonts w:ascii="Times New Roman" w:hAnsi="Times New Roman" w:cs="Times New Roman"/>
          <w:sz w:val="28"/>
          <w:szCs w:val="28"/>
          <w:lang w:val="ru-RU"/>
        </w:rPr>
        <w:t>цифро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ых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технологий в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тради</w:t>
      </w:r>
      <w:r w:rsidR="00081992">
        <w:rPr>
          <w:rFonts w:ascii="Times New Roman" w:hAnsi="Times New Roman" w:cs="Times New Roman"/>
          <w:sz w:val="28"/>
          <w:szCs w:val="28"/>
          <w:lang w:val="ru-RU"/>
        </w:rPr>
        <w:t>ционые</w:t>
      </w:r>
      <w:proofErr w:type="spellEnd"/>
      <w:r w:rsidR="00081992">
        <w:rPr>
          <w:rFonts w:ascii="Times New Roman" w:hAnsi="Times New Roman" w:cs="Times New Roman"/>
          <w:sz w:val="28"/>
          <w:szCs w:val="28"/>
          <w:lang w:val="ru-RU"/>
        </w:rPr>
        <w:t xml:space="preserve"> отрасли: промышленность торговлю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финансы и государственное управление. Именно через такое распространение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начинает влиять на более широкие пока</w:t>
      </w:r>
      <w:r w:rsidR="00081992">
        <w:rPr>
          <w:rFonts w:ascii="Times New Roman" w:hAnsi="Times New Roman" w:cs="Times New Roman"/>
          <w:sz w:val="28"/>
          <w:szCs w:val="28"/>
          <w:lang w:val="ru-RU"/>
        </w:rPr>
        <w:t>затели национальной экономики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ВВП на душу населения и производительность труда.</w:t>
      </w:r>
    </w:p>
    <w:p w:rsidR="00C02A16" w:rsidRPr="00933D6F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Эмпирические данные показы</w:t>
      </w:r>
      <w:r w:rsidR="00081992">
        <w:rPr>
          <w:rFonts w:ascii="Times New Roman" w:hAnsi="Times New Roman" w:cs="Times New Roman"/>
          <w:sz w:val="28"/>
          <w:szCs w:val="28"/>
          <w:lang w:val="ru-RU"/>
        </w:rPr>
        <w:t>вают: ИКТ-сектор стабильно расте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т быстрее экономики в целом. По оценкам ОЭСР, основанным на </w:t>
      </w:r>
      <w:r w:rsidR="0008199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nowcasting</w:t>
      </w:r>
      <w:proofErr w:type="spellEnd"/>
      <w:r w:rsidR="0008199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-модели, в течение 2013-2023 годов ИКТ-сектор стран ОЭСР рос примерно в три раза быстрее совокупной экономики. В 2023 году средний темп роста ИКТ-сектора достиг </w:t>
      </w:r>
      <w:r w:rsidR="00081992">
        <w:rPr>
          <w:rFonts w:ascii="Times New Roman" w:hAnsi="Times New Roman" w:cs="Times New Roman"/>
          <w:sz w:val="28"/>
          <w:szCs w:val="28"/>
          <w:lang w:val="ru-RU"/>
        </w:rPr>
        <w:t>7,6%, причем в десяти странах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включая Великобрит</w:t>
      </w:r>
      <w:r w:rsidR="00081992">
        <w:rPr>
          <w:rFonts w:ascii="Times New Roman" w:hAnsi="Times New Roman" w:cs="Times New Roman"/>
          <w:sz w:val="28"/>
          <w:szCs w:val="28"/>
          <w:lang w:val="ru-RU"/>
        </w:rPr>
        <w:t>анию, Бельгию, Германию и США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этот показатель превысил 9%. Доля валовой добавленной стоимости, генерируемой ИКТ-сектором в странах ОЭСР, увеличилась с 3,9% в 2010 году до 5,4% в 2019 году, а </w:t>
      </w:r>
      <w:r w:rsidR="00081992">
        <w:rPr>
          <w:rFonts w:ascii="Times New Roman" w:hAnsi="Times New Roman" w:cs="Times New Roman"/>
          <w:sz w:val="28"/>
          <w:szCs w:val="28"/>
          <w:lang w:val="ru-RU"/>
        </w:rPr>
        <w:t>к 2023 году достигла около 6,2%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"/>
      </w:r>
      <w:r w:rsidR="0008199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Динамика доли ИКТ-сектора в валовой добавленной стоимости стран ОЭСР представлена на рисунке 1.1.</w:t>
      </w:r>
    </w:p>
    <w:p w:rsidR="00C02A16" w:rsidRPr="00A4607E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A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BD637C" wp14:editId="259E63B7">
            <wp:extent cx="5223510" cy="2621280"/>
            <wp:effectExtent l="0" t="0" r="15240" b="762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C02A16" w:rsidRPr="00933D6F" w:rsidRDefault="00C02A16" w:rsidP="00C02A1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4607E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Рисунок 1.1. Динамика доли ИКТ-сектора в валовой добавленной стоимости стран ОЭСР, 2010-2023 гг., %</w:t>
      </w:r>
    </w:p>
    <w:p w:rsidR="00C02A16" w:rsidRPr="00A4607E" w:rsidRDefault="00C02A16" w:rsidP="00C02A16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>Источник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en-CA"/>
        </w:rPr>
        <w:t xml:space="preserve">: 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>составлено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en-CA"/>
        </w:rPr>
        <w:t xml:space="preserve"> 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>автором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en-CA"/>
        </w:rPr>
        <w:t xml:space="preserve"> 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>по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en-CA"/>
        </w:rPr>
        <w:t xml:space="preserve"> 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>данным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en-CA"/>
        </w:rPr>
        <w:t xml:space="preserve"> OECD Digital Economy Outlook 2024 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>и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en-CA"/>
        </w:rPr>
        <w:t xml:space="preserve"> OECD STAN Industrial Analysis Database.</w:t>
      </w:r>
    </w:p>
    <w:p w:rsidR="00C02A16" w:rsidRPr="00A4607E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02A16" w:rsidRPr="00933D6F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Измерить цифровую экономику в едином показателе достаточно сложно - она включает и самостоятельный ИКТ-сектор, и цифровые технологии в других отраслях. До формирования единого монетарного показателя цифровой экономики международные сравнения чаще опираются на промежуточные индикаторы: долю ИКТ-сектора в ВВП, уровень проникновения цифровых технологий среди населения и предприятий, а также композит</w:t>
      </w:r>
      <w:r w:rsidR="00081992">
        <w:rPr>
          <w:rFonts w:ascii="Times New Roman" w:hAnsi="Times New Roman" w:cs="Times New Roman"/>
          <w:sz w:val="28"/>
          <w:szCs w:val="28"/>
          <w:lang w:val="ru-RU"/>
        </w:rPr>
        <w:t>ные индексы цифровой зрелости - 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Economy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and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Society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, E-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Government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Development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Network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Readiness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Inde</w:t>
      </w:r>
      <w:r w:rsidR="00FB6BEB">
        <w:rPr>
          <w:rFonts w:ascii="Times New Roman" w:hAnsi="Times New Roman" w:cs="Times New Roman"/>
          <w:sz w:val="28"/>
          <w:szCs w:val="28"/>
          <w:lang w:val="ru-RU"/>
        </w:rPr>
        <w:t>x</w:t>
      </w:r>
      <w:proofErr w:type="spellEnd"/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"/>
      </w:r>
      <w:r w:rsidR="00FB6BE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Поэтому в сравнительном и эконометрическом анализе лучше использовать несколько взаимодополняющих индикаторов, а не один универсальный. Это позволяет точнее отразить разные стороны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B6BEB">
        <w:rPr>
          <w:rFonts w:ascii="Times New Roman" w:hAnsi="Times New Roman" w:cs="Times New Roman"/>
          <w:sz w:val="28"/>
          <w:szCs w:val="28"/>
          <w:lang w:val="ru-RU"/>
        </w:rPr>
        <w:t xml:space="preserve">и не упрощать исследуемый </w:t>
      </w:r>
      <w:proofErr w:type="spellStart"/>
      <w:r w:rsidR="00FB6BEB">
        <w:rPr>
          <w:rFonts w:ascii="Times New Roman" w:hAnsi="Times New Roman" w:cs="Times New Roman"/>
          <w:sz w:val="28"/>
          <w:szCs w:val="28"/>
          <w:lang w:val="ru-RU"/>
        </w:rPr>
        <w:t>проце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с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сверх меры.</w:t>
      </w:r>
    </w:p>
    <w:p w:rsidR="00C02A16" w:rsidRPr="00933D6F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Содержание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можно раскрыть через несколько основных направлений, каждое из которых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 своему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влияет на развитие национальной экономики. На основе аналитических докуме</w:t>
      </w:r>
      <w:r w:rsidR="00FB6BEB">
        <w:rPr>
          <w:rFonts w:ascii="Times New Roman" w:hAnsi="Times New Roman" w:cs="Times New Roman"/>
          <w:sz w:val="28"/>
          <w:szCs w:val="28"/>
          <w:lang w:val="ru-RU"/>
        </w:rPr>
        <w:t>нтов ОЭСР и Европейской комиссий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этой работе выделяются пять таких направлений, представленных на рисунке 1.2.</w:t>
      </w:r>
    </w:p>
    <w:p w:rsidR="00C02A16" w:rsidRPr="00A4607E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A0C">
        <w:rPr>
          <w:rStyle w:val="30"/>
          <w:rFonts w:ascii="Times New Roman" w:hAnsi="Times New Roman" w:cs="Times New Roman"/>
          <w:noProof/>
          <w:color w:val="FF0000"/>
        </w:rPr>
        <w:lastRenderedPageBreak/>
        <w:drawing>
          <wp:inline distT="0" distB="0" distL="0" distR="0" wp14:anchorId="48642AE3" wp14:editId="45CE2446">
            <wp:extent cx="6151880" cy="4282633"/>
            <wp:effectExtent l="152400" t="171450" r="172720" b="1562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28263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C02A16" w:rsidRPr="00933D6F" w:rsidRDefault="00C02A16" w:rsidP="00C02A1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4607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Рисунок 1.2 - Основные направления </w:t>
      </w:r>
      <w:proofErr w:type="spellStart"/>
      <w:r w:rsidRPr="00A4607E">
        <w:rPr>
          <w:rFonts w:ascii="Times New Roman" w:hAnsi="Times New Roman" w:cs="Times New Roman"/>
          <w:b/>
          <w:bCs/>
          <w:sz w:val="24"/>
          <w:szCs w:val="24"/>
          <w:lang w:val="ru-RU"/>
        </w:rPr>
        <w:t>цифровизации</w:t>
      </w:r>
      <w:proofErr w:type="spellEnd"/>
      <w:r w:rsidRPr="00A4607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экономики</w:t>
      </w:r>
    </w:p>
    <w:p w:rsidR="00C02A16" w:rsidRPr="00933D6F" w:rsidRDefault="00C02A16" w:rsidP="00C02A16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Источник: составлено автором на основе OECD </w:t>
      </w:r>
      <w:proofErr w:type="spellStart"/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>Digital</w:t>
      </w:r>
      <w:proofErr w:type="spellEnd"/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proofErr w:type="spellStart"/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>Economy</w:t>
      </w:r>
      <w:proofErr w:type="spellEnd"/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proofErr w:type="spellStart"/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>Outlook</w:t>
      </w:r>
      <w:proofErr w:type="spellEnd"/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2024 и аналитических материалов Европейской комиссии.</w:t>
      </w:r>
    </w:p>
    <w:p w:rsidR="00C02A16" w:rsidRPr="00933D6F" w:rsidRDefault="00C02A16" w:rsidP="00C02A16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:rsidR="00C02A16" w:rsidRPr="000E5726" w:rsidRDefault="00FB6BEB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Первое направление - 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развитие цифровой инфраструкт</w:t>
      </w:r>
      <w:r>
        <w:rPr>
          <w:rFonts w:ascii="Times New Roman" w:hAnsi="Times New Roman" w:cs="Times New Roman"/>
          <w:sz w:val="28"/>
          <w:szCs w:val="28"/>
          <w:lang w:val="ru-RU"/>
        </w:rPr>
        <w:t>уры. Речь иде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т о совокупности сетей фиксированной и мобильной связи, центров обработки данных, спутниковых систем, а также инфраструктуры цифровой идентиф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икации и обмена данными.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Расшири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ние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сетей 5G, развитие беспроводных технологий нового поколения и интеграция наземной и спутниковой связи формируют физическую основу цифровой экономики, без которой невозможна реализация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других направлений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"/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Такая инфраструктура создаёт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мультпликативный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эффект - 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она стимулирует электронную коммерцию, удалённую занятость и цифровые государственные сервисы.</w:t>
      </w:r>
    </w:p>
    <w:p w:rsidR="00C02A16" w:rsidRPr="00933D6F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Второе направление - распространение цифровых технологий среди предприятий. Речь идёт об использовании в бизнес-секторе облачных вычислений, интернета вещей, аналитики больши</w:t>
      </w:r>
      <w:r w:rsidR="00FB6BEB">
        <w:rPr>
          <w:rFonts w:ascii="Times New Roman" w:hAnsi="Times New Roman" w:cs="Times New Roman"/>
          <w:sz w:val="28"/>
          <w:szCs w:val="28"/>
          <w:lang w:val="ru-RU"/>
        </w:rPr>
        <w:t xml:space="preserve">х данных и искусственного </w:t>
      </w:r>
      <w:proofErr w:type="spellStart"/>
      <w:r w:rsidR="00FB6BEB">
        <w:rPr>
          <w:rFonts w:ascii="Times New Roman" w:hAnsi="Times New Roman" w:cs="Times New Roman"/>
          <w:sz w:val="28"/>
          <w:szCs w:val="28"/>
          <w:lang w:val="ru-RU"/>
        </w:rPr>
        <w:t>интел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екта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. По данным ОЭСР за 2023 год, в среднем по странам ОЭСР облачными вычислениями пользов</w:t>
      </w:r>
      <w:r w:rsidR="00FB6BEB">
        <w:rPr>
          <w:rFonts w:ascii="Times New Roman" w:hAnsi="Times New Roman" w:cs="Times New Roman"/>
          <w:sz w:val="28"/>
          <w:szCs w:val="28"/>
          <w:lang w:val="ru-RU"/>
        </w:rPr>
        <w:t xml:space="preserve">ались 49% предприятий, </w:t>
      </w:r>
      <w:proofErr w:type="spellStart"/>
      <w:r w:rsidR="00FB6BEB">
        <w:rPr>
          <w:rFonts w:ascii="Times New Roman" w:hAnsi="Times New Roman" w:cs="Times New Roman"/>
          <w:sz w:val="28"/>
          <w:szCs w:val="28"/>
          <w:lang w:val="ru-RU"/>
        </w:rPr>
        <w:t>технолог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ями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интернета вещей - 2</w:t>
      </w:r>
      <w:r w:rsidR="00FB6BEB">
        <w:rPr>
          <w:rFonts w:ascii="Times New Roman" w:hAnsi="Times New Roman" w:cs="Times New Roman"/>
          <w:sz w:val="28"/>
          <w:szCs w:val="28"/>
          <w:lang w:val="ru-RU"/>
        </w:rPr>
        <w:t>7%, аналитикой больших данных 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14% по данным за 2022 год</w:t>
      </w:r>
      <w:r w:rsidR="00FB6BEB">
        <w:rPr>
          <w:rFonts w:ascii="Times New Roman" w:hAnsi="Times New Roman" w:cs="Times New Roman"/>
          <w:sz w:val="28"/>
          <w:szCs w:val="28"/>
          <w:lang w:val="ru-RU"/>
        </w:rPr>
        <w:t>, а искусственным интеллектом - 8%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2"/>
      </w:r>
      <w:r w:rsidR="00FB6BE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Цифры показывают очевидное: более доступные и уже освоенные технологии внедряются быстрее, тогда как сложные решения требуют серьёзной организационной, кадровой и технологической подготовки. Исследования ОЭСР также показывают, что облачные вы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 xml:space="preserve">числения распространяются </w:t>
      </w:r>
      <w:proofErr w:type="spellStart"/>
      <w:r w:rsidR="00D43AEC">
        <w:rPr>
          <w:rFonts w:ascii="Times New Roman" w:hAnsi="Times New Roman" w:cs="Times New Roman"/>
          <w:sz w:val="28"/>
          <w:szCs w:val="28"/>
          <w:lang w:val="ru-RU"/>
        </w:rPr>
        <w:t>приме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три раза быстрее аналитики больших данных: переход доли предприятий-пользователей с 5% до 50% занимает около 12 лет для облачных технологий и около 36 л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ет для аналитики больших данных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3"/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2A16" w:rsidRPr="000E5726" w:rsidRDefault="00D43AEC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Третье направление - 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цифровая трансформация государственного управления. Она включает развитие систем электронной идентификации, межведомственного обмена данными и цифровых услуг для граждан и бизнеса. Цифровое государство важ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но не только как часть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технологческого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развития - 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 кризисных условиях оно помогает сохранять выполнение ключевых государственных функций, что напрямую влияет на устойчивость экономики. По оценкам ОЭСР, готовность к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стала одним из ключевых факторов адаптации государства и бизнеса в период пандемии COVID-19. Это подтверждается примерами Вьетнама, Казахстана и Швейцарии, где цифровые 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платформы использовались для онлайн-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госуслуг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, экстренной поддержки населения и быстрого предоста</w:t>
      </w:r>
      <w:r>
        <w:rPr>
          <w:rFonts w:ascii="Times New Roman" w:hAnsi="Times New Roman" w:cs="Times New Roman"/>
          <w:sz w:val="28"/>
          <w:szCs w:val="28"/>
          <w:lang w:val="ru-RU"/>
        </w:rPr>
        <w:t>вления государственных кредитов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4"/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2A16" w:rsidRPr="000E5726" w:rsidRDefault="00C02A16" w:rsidP="00D43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Четвёртое направление -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финансовой системы. Сюда входят электронные платежи, цифровой банкинг, финансовые технологии и цифровая идентификация. Для макроэкономической устойчивости цифровые финансы важны по двум причи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 xml:space="preserve">нам: они расширяют доступ к </w:t>
      </w:r>
      <w:proofErr w:type="spellStart"/>
      <w:r w:rsidR="00D43AEC">
        <w:rPr>
          <w:rFonts w:ascii="Times New Roman" w:hAnsi="Times New Roman" w:cs="Times New Roman"/>
          <w:sz w:val="28"/>
          <w:szCs w:val="28"/>
          <w:lang w:val="ru-RU"/>
        </w:rPr>
        <w:t>лик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идности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сн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ижают транзакционные издержки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особенно когда физические каналы финансового обс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 xml:space="preserve">луживания ограничены. </w:t>
      </w:r>
      <w:proofErr w:type="gramStart"/>
      <w:r w:rsidR="00D43AEC">
        <w:rPr>
          <w:rFonts w:ascii="Times New Roman" w:hAnsi="Times New Roman" w:cs="Times New Roman"/>
          <w:sz w:val="28"/>
          <w:szCs w:val="28"/>
          <w:lang w:val="ru-RU"/>
        </w:rPr>
        <w:t>Кроме того</w:t>
      </w:r>
      <w:proofErr w:type="gramEnd"/>
      <w:r w:rsidR="00D43A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цифровые платёжные системы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силивают фискальную трансмиссию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государственная поддержка доходит до конечных получателей быстрее и с меньши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ми административными затратами.</w:t>
      </w:r>
    </w:p>
    <w:p w:rsidR="00C02A16" w:rsidRPr="000E5726" w:rsidRDefault="00D43AEC" w:rsidP="00D43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Пятое направление - 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цифровая трансформация работы с данными. По мере тог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 как данные становятся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самостое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тельным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экономическим ресурсом, государства выстраивают правила их сбора, хранения, обмена и использования, а также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разрабатывают национальные стратегии управления данными. ОЭСР подчёркивает, что доступ к данным определяет возможности применения искусственного интеллекта и продвинутой аналитики, поэтому становится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5"/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2A16" w:rsidRPr="000E5726" w:rsidRDefault="00C02A16" w:rsidP="00D43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Перечисленные направления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тесно связаны между собой и дают общий эффект только при совместном развитии. Цифровая инфраструктура создаёт основу для внедрения технологий в бизнесе, цифровое государство снижает административные и транзакционные издержки, а цифровые финансы и работа с данными помогают экономике быстрее реагировать на внешние шоки. Именно такая взаимосвязь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рассматривать цифровую экономику не как набор отдельных технологий, а как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систему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которая влияет 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 xml:space="preserve">на развитие и устойчивость </w:t>
      </w:r>
      <w:proofErr w:type="spellStart"/>
      <w:r w:rsidR="00D43AEC">
        <w:rPr>
          <w:rFonts w:ascii="Times New Roman" w:hAnsi="Times New Roman" w:cs="Times New Roman"/>
          <w:sz w:val="28"/>
          <w:szCs w:val="28"/>
          <w:lang w:val="ru-RU"/>
        </w:rPr>
        <w:t>нациа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нальной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экономики в целом.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Влияние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экономический рост проявляется на разных уровнях. На макроуровне оно связано с ростом производительности труда, сокращением транзакционных издержек и расширением международной торговли услугами - всё это в итоге может отражаться на динамике ВВП на душу населения. Всемирный банк фиксирует положительную связь между уровнем проникновения цифровых технологий и темпами экономического роста, особенно в 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странах с переходной экономикой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6"/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микроуровне исследования предприятий показывают, что более высокий уровень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фирм связан с их способностью сохранять выпуск и занятость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 xml:space="preserve"> в условиях экономических шоков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7"/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Это позволяет связать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цию</w:t>
      </w:r>
      <w:proofErr w:type="spellEnd"/>
      <w:r w:rsidR="00D43AEC">
        <w:rPr>
          <w:rFonts w:ascii="Times New Roman" w:hAnsi="Times New Roman" w:cs="Times New Roman"/>
          <w:sz w:val="28"/>
          <w:szCs w:val="28"/>
          <w:lang w:val="ru-RU"/>
        </w:rPr>
        <w:t xml:space="preserve"> не только с экономическим </w:t>
      </w:r>
      <w:proofErr w:type="spellStart"/>
      <w:r w:rsidR="00D43AEC">
        <w:rPr>
          <w:rFonts w:ascii="Times New Roman" w:hAnsi="Times New Roman" w:cs="Times New Roman"/>
          <w:sz w:val="28"/>
          <w:szCs w:val="28"/>
          <w:lang w:val="ru-RU"/>
        </w:rPr>
        <w:t>ра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стом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, н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о и с устойчивостью экономики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что подробнее рассматривается в следующем параграфе.</w:t>
      </w:r>
    </w:p>
    <w:p w:rsidR="00C02A16" w:rsidRDefault="00C02A16" w:rsidP="00D43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Несмотря на перечисленные тенденции,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сама по себе 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 xml:space="preserve">не гарантирует экономических </w:t>
      </w:r>
      <w:proofErr w:type="spellStart"/>
      <w:r w:rsidR="00D43AEC">
        <w:rPr>
          <w:rFonts w:ascii="Times New Roman" w:hAnsi="Times New Roman" w:cs="Times New Roman"/>
          <w:sz w:val="28"/>
          <w:szCs w:val="28"/>
          <w:lang w:val="ru-RU"/>
        </w:rPr>
        <w:t>примуществ</w:t>
      </w:r>
      <w:proofErr w:type="spellEnd"/>
      <w:r w:rsidR="00D43AEC">
        <w:rPr>
          <w:rFonts w:ascii="Times New Roman" w:hAnsi="Times New Roman" w:cs="Times New Roman"/>
          <w:sz w:val="28"/>
          <w:szCs w:val="28"/>
          <w:lang w:val="ru-RU"/>
        </w:rPr>
        <w:t>. Ее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зависит от качества институтов, эффективности государственного управления, уровня человеческого капитала и объёма сопутствующих инвестиций. Поэтому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цифровизацию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стоит рассматривать не только как технологический процесс, но и как фактор который при определённых условиях может усиливать макроэкономическую устойчивость. Этот аспект подробнее раск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рывается в следующем параграфе.</w:t>
      </w:r>
    </w:p>
    <w:p w:rsidR="00D43AEC" w:rsidRPr="000E5726" w:rsidRDefault="00D43AEC" w:rsidP="00D43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b/>
          <w:sz w:val="28"/>
          <w:szCs w:val="28"/>
          <w:lang w:val="ru-RU"/>
        </w:rPr>
        <w:t>1.2. Теоретические подходы к категории устойчивости национальных экономик к экзогенным шокам и глобальным кризисам</w:t>
      </w:r>
    </w:p>
    <w:p w:rsidR="00D43AEC" w:rsidRPr="000E5726" w:rsidRDefault="00D43AEC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0E5726" w:rsidRDefault="00C02A16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Категория «устойчивость» (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resilience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) применительно к национальной экономике стала активно использоватьс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я в последние два десятилетия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когда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стало очевидно, что одних показателей макроэкономической стабильности недо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статочно для оценки спосо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бности экономики выдерживать внешние шоки и восстанавливаться после них. В подходе ОЭСР экономическая устойчивость рассматривается как способность экономики снижать уязвимость, противо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стоять шокам и быстро возвращать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ся к траектории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 xml:space="preserve"> восстановления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8"/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2A16" w:rsidRPr="000E5726" w:rsidRDefault="00C02A16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 работах Л.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Бригульо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Г.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Кордины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Н.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Фарругия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С.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Веллы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устойчивость рассматривается через различие между двумя категориями: уязвимостью и устойчивостью. Уязвимость отражает структурную подверженность экономики внешним шокам, тогда как устойчивость связана со способностью экономической политики смягчать последствия таких шоков или ускорять восстановлен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ие. В этом подходе уязвимость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более постоянная характеристика экономики, а устойчивость зависит от решений государства, качества институтов и поведения частных экономических агентов. На основе такого разграничения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Бригульо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предложил типологическую матрицу, в которой страны классифицируются по сочетанию уровня структурной уязвимости и способности экономики противостоять внешним шокам. Эта типология показывает, что даже страны с высокой уязвимостью могут достигать устойчивых результатов - при наличии эффективной экономической политики и развитых институтов. Эмпирическая проверка модели на выборке из 86 стран подтвердила положительную связь между ВВП на душу населения и уровнем устойчивости, а также отрицательную - между ВВП и уровнем уязвимости. Композитный индекс экономической устойчивости, предложенный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Бригульо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соавторами, включает четыре ключевые компоненты: макроэкономическую стабильность, микроэкономическую рыночную эффективность, качество государственного у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правления и социальное развитие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9"/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Такой подход позволяет рассматривать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устойчивость не только как теоретическую категорию, но и как измеримый показатель пригодный для сравнительного 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и эконометрического анализа.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Параллельно с подходом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Бригульо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исследованиях ОЭСР устойчивость рассматривается через три взаимосвязанные функции экономической политики: предотвращение накопления уязвимостей, ограничение глубины шока и ускорение восстановл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ения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20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работе А. Кальдера-Санчес, М.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Расмуссена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О.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Рёна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показано, что на устойчивость влияют разные направления макроэкономической и структурной политики - фискальная, денежно-кредитная, финансовая и трудовая. Ключевая идея здесь в том, что одни и те же меры могут одновременно снижать уязвимость экономики, смягчать последствия кризиса и ускорять восстановление. Но между этими задачами нередко возникают компромиссы - и это требует более сбалансированного подхода к политике.</w:t>
      </w:r>
    </w:p>
    <w:p w:rsidR="00C02A16" w:rsidRPr="000E5726" w:rsidRDefault="00C02A16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Согласно оценкам ОЭСР, меры экономической политики могут иметь неоднозначный эффект: например, фискальные резервы расширяют возможности стимулирования в период спада, тогда как жёсткое регулирование рынка труда может смягчать первоначальный удар по занятости, но замедлять последующее в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осстановление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21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Устойчивость экономики зависит поэтому не только от набора антикризисных инструментов, но и от того насколько политика учитывает возможные компромиссы между смягчением кризисного удара и скорост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ью последующего восстановления.</w:t>
      </w:r>
    </w:p>
    <w:p w:rsidR="00C02A16" w:rsidRPr="000E5726" w:rsidRDefault="00C02A16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Эмпирическое направление теории устойчивости получило развитие в исследовании Кальдера-Санчес, де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Серра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Гори,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Хермансена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Рёна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- там были рассмотрены серьёзные рецессии и финансовые кризисы в 100 странах за период 1970-2014 годов. В этой работе серьёзная рецессия определяется как существенное снижение ВВП на душу населения, превышающее медианный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уровень по выборке. Глобальный финансовый кризис 2008-2009 годов был определён как один из наиболее распространённых и дорогостоящих кризисных эпизодов, поскольку в ряде развитых экономик п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отери выпуска превысили 10% ВВП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22"/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F6B0F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Важным </w:t>
      </w:r>
      <w:r w:rsidR="00BA52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результатом указанного исследования является вывод о том, что продолжительность рецессий зависит от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вовлечённости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банковского сектора: в странах ОЭСР, столкнувшихся с банковским кризисом, средний интервал «пик - дно» составил около 12 кварталов, тогда как в ст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ранах без банковского кризиса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около 4 кварталов, а в отдельных стран</w:t>
      </w:r>
      <w:r w:rsidR="00BA5274">
        <w:rPr>
          <w:rFonts w:ascii="Times New Roman" w:hAnsi="Times New Roman" w:cs="Times New Roman"/>
          <w:sz w:val="28"/>
          <w:szCs w:val="28"/>
          <w:lang w:val="ru-RU"/>
        </w:rPr>
        <w:t>ах вне ОЭСР - 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около 3 кварталов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23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Ины</w:t>
      </w:r>
      <w:r w:rsidR="00BA5274">
        <w:rPr>
          <w:rFonts w:ascii="Times New Roman" w:hAnsi="Times New Roman" w:cs="Times New Roman"/>
          <w:sz w:val="28"/>
          <w:szCs w:val="28"/>
          <w:lang w:val="ru-RU"/>
        </w:rPr>
        <w:t xml:space="preserve">ми словами, финансовая </w:t>
      </w:r>
      <w:proofErr w:type="spellStart"/>
      <w:r w:rsidR="00BA5274">
        <w:rPr>
          <w:rFonts w:ascii="Times New Roman" w:hAnsi="Times New Roman" w:cs="Times New Roman"/>
          <w:sz w:val="28"/>
          <w:szCs w:val="28"/>
          <w:lang w:val="ru-RU"/>
        </w:rPr>
        <w:t>составля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щая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кризиса способна заметно у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>длинять период восстановления</w:t>
      </w:r>
      <w:r w:rsidR="00BA5274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и это нужно учитывать при раз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работке антикризисной политики.</w:t>
      </w:r>
    </w:p>
    <w:p w:rsidR="00C02A16" w:rsidRPr="000E5726" w:rsidRDefault="00C02A16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 теории устойчивости важное место занимают индикаторы раннего предупреждения. Согласно методологии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Хермансена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Рёна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, к наиболее информативным относятся рост частного кредитования, отклонения цен на жильё от долгосрочного тренда, дисбалансы текущего счёта и глобаль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ные показатели кредитного цикла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24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Для этого исследования такой подход важен тем, что показывает: устойчивость экономики можно оценивать через систему количественных показателей - которые затем используются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сравнитель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ном</w:t>
      </w:r>
      <w:proofErr w:type="gramEnd"/>
      <w:r w:rsidR="007F6B0F">
        <w:rPr>
          <w:rFonts w:ascii="Times New Roman" w:hAnsi="Times New Roman" w:cs="Times New Roman"/>
          <w:sz w:val="28"/>
          <w:szCs w:val="28"/>
          <w:lang w:val="ru-RU"/>
        </w:rPr>
        <w:t xml:space="preserve"> и эконометрическом анализе.</w:t>
      </w:r>
    </w:p>
    <w:p w:rsidR="00C02A16" w:rsidRPr="000E5726" w:rsidRDefault="00C02A16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Современное понимание экономической устойчивости постепенно расширяется за счёт включения цифровых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и техно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логических факторов. Если в </w:t>
      </w:r>
      <w:proofErr w:type="spellStart"/>
      <w:r w:rsidR="001E7D4B">
        <w:rPr>
          <w:rFonts w:ascii="Times New Roman" w:hAnsi="Times New Roman" w:cs="Times New Roman"/>
          <w:sz w:val="28"/>
          <w:szCs w:val="28"/>
          <w:lang w:val="ru-RU"/>
        </w:rPr>
        <w:t>кла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сическом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подходе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Бригульо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устойчивость объяснялась через макр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оэкономические, </w:t>
      </w:r>
      <w:proofErr w:type="spellStart"/>
      <w:r w:rsidR="001E7D4B">
        <w:rPr>
          <w:rFonts w:ascii="Times New Roman" w:hAnsi="Times New Roman" w:cs="Times New Roman"/>
          <w:sz w:val="28"/>
          <w:szCs w:val="28"/>
          <w:lang w:val="ru-RU"/>
        </w:rPr>
        <w:t>институциа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нальные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социальные переменные, то после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пандемии COVID-19 всё большее значение стали получать показатели цифровой готовности. В докладе ОЭСР о сотрудничестве в области развития 2020 года цифровая готовность включается в число ключевых направлений устойчивости национальных экономик к глобальным шокам наряду с международными экономическими связями, системой здравоохранения, социальной защитой, финансовой систем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ой и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 xml:space="preserve"> государственными финансами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25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Это показывает, что природа современны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>х кризисов изменилась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пандемия 2020 года выявила значимость цифровой инфраструктуры как одного и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з инструментов смягчения шока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наряду с фиска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льными и финансовыми резервами.</w:t>
      </w:r>
    </w:p>
    <w:p w:rsidR="00C02A1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 учётом рассмотренных подходов устойчивость национальной экономики можно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понимать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как многомерную категорию, объединяющую макроэкономическую стабильность, рыночную эффективность, качество государственного управления, социальное развитие и цифровую готовность. Она может быть выражена через систему композитных индексов и проверена с пом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>ощью эконометрических моделей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что позволяет использовать эту категорию не только в теоретическом, но и в сравнительно-аналитическом смысле. При этом важно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учитывать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устойчивость зависит не только от структурных характеристик экономики, но и от качества проводимой политики. Поэтому в следующем параграфе рассматриваются конкретные каналы влияния цифровых технологий на устойчивость национальных экономик.</w:t>
      </w:r>
    </w:p>
    <w:p w:rsidR="007F6B0F" w:rsidRPr="000E5726" w:rsidRDefault="007F6B0F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b/>
          <w:sz w:val="28"/>
          <w:szCs w:val="28"/>
          <w:lang w:val="ru-RU"/>
        </w:rPr>
        <w:t>1.3. Системные механизмы и каналы влияния цифровых технологий на макроэкономическую стабильность государств</w:t>
      </w:r>
    </w:p>
    <w:p w:rsidR="00C02A16" w:rsidRPr="000E5726" w:rsidRDefault="00C02A16" w:rsidP="00C02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0E5726" w:rsidRDefault="00C02A16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Связь между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цифровизацией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устойчивостью национальных экономик, рассмотренная в предыдущих параграфах, требует более конкретного раскрытия через отдельные каналы воздействия. Для этого исследован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ия такая систематизация важна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она помогает объяснить каким образом цифровые технологии могут влиять на макроэкономическую устойчивость, а также обосновывает дальнейший выбор переменных для эконометрического анализа. В работе выделяются пять основных каналов влияния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устойчивость национальной экономики: непрерывность государственных функций, фискальная трансмиссия, адаптация частного сектора, диверсификация конечного спроса и устойчивость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информаци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>оно-коммуникацион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ого</w:t>
      </w:r>
      <w:proofErr w:type="spellEnd"/>
      <w:r w:rsidR="007F6B0F">
        <w:rPr>
          <w:rFonts w:ascii="Times New Roman" w:hAnsi="Times New Roman" w:cs="Times New Roman"/>
          <w:sz w:val="28"/>
          <w:szCs w:val="28"/>
          <w:lang w:val="ru-RU"/>
        </w:rPr>
        <w:t xml:space="preserve"> сектора.</w:t>
      </w:r>
    </w:p>
    <w:p w:rsidR="00C02A16" w:rsidRPr="000E5726" w:rsidRDefault="001E7D4B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Первый канал 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обеспечение непрерывности государственных функций в условиях внешних шоков. Цифровое государство, включающее электронную идентификацию, межведомственный обмен данными и онлайн-сервисы для граждан и бизнеса, помогает сохранять работу государственных институтов даже при ограничении физического взаимодействия. По оценкам ОЭСР, готовность к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стала одним из ключевых факторов 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даптации бизнеса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государственого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сектора в период пандемий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COVID-19. Этот канал подтверждается примерами Вьетнама, Швейцарии и Марокко, где цифровые платформы использовались для онлайн-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госуслуг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, быстрого предоставления кредитов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 xml:space="preserve"> и адресной поддержки населения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26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Второй канал связан с повышением эффективности фискальной трансмиссии. Цифровые платёжные системы, инфраструктура цифровой идентификации и объединённые базы данных помогают быстрее и точнее направлять государственную поддержку конечным получателям. В докладе ОЭСР 2020 года подчёркивается, что эффективная поддержка домохозяйств и фирм в условиях глобальных шоков требует продвинутого управления данными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и объединения информации из налоговых, социальны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х и иных государственных систем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27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 макроэкономической точки зрения этот канал уменьшает временные лаги и административные изде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ржки при распределении </w:t>
      </w:r>
      <w:proofErr w:type="gramStart"/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средств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благодаря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чему государственные расходы быстрее дают стабилизирующий эффект.</w:t>
      </w:r>
    </w:p>
    <w:p w:rsidR="00C02A16" w:rsidRPr="000E5726" w:rsidRDefault="001E7D4B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Третий канал 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адаптация частного сектора к шокам за счёт цифровых технологий. Эмпирические исследования на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микроданных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предприятий показывают, что фирмы с более высоким уровнем внедрения информационных технологий в период пандемии демонстрировали меньшее падение занятости и выручки по сравнению с м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 xml:space="preserve">енее </w:t>
      </w:r>
      <w:proofErr w:type="spellStart"/>
      <w:r w:rsidR="00E872C1">
        <w:rPr>
          <w:rFonts w:ascii="Times New Roman" w:hAnsi="Times New Roman" w:cs="Times New Roman"/>
          <w:sz w:val="28"/>
          <w:szCs w:val="28"/>
          <w:lang w:val="ru-RU"/>
        </w:rPr>
        <w:t>цифровизированными</w:t>
      </w:r>
      <w:proofErr w:type="spellEnd"/>
      <w:r w:rsidR="00E872C1">
        <w:rPr>
          <w:rFonts w:ascii="Times New Roman" w:hAnsi="Times New Roman" w:cs="Times New Roman"/>
          <w:sz w:val="28"/>
          <w:szCs w:val="28"/>
          <w:lang w:val="ru-RU"/>
        </w:rPr>
        <w:t xml:space="preserve"> фирмами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28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Это объясняется тем, что цифровые решения облегчают переход на уда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лённую работу, развитие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электр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ной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коммерции и более гибкую организацию производственных и логистических процессов. По оценкам ОЭСР, в 2023 году облачными вычислениями пользовались в среднем 49% предприятий стран ОЭСР, что создавало технологическую основу для быстрой адаптации б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изнеса к кризисным ограничениям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29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Четвёртый канал связан с изменением структуры конечного спроса в пользу цифровых услуг и электронной коммерции. Во время пандемии COVID-19 ограничения физической мобильности ускорили переход потребителей к онлай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н-каналам торговли, связи и </w:t>
      </w:r>
      <w:proofErr w:type="spellStart"/>
      <w:r w:rsidR="001E7D4B">
        <w:rPr>
          <w:rFonts w:ascii="Times New Roman" w:hAnsi="Times New Roman" w:cs="Times New Roman"/>
          <w:sz w:val="28"/>
          <w:szCs w:val="28"/>
          <w:lang w:val="ru-RU"/>
        </w:rPr>
        <w:t>поло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чения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услуг. Так, в 2020 году розничные онлайн-продажи в Европейском союзе и США заметно выросли, а спрос на широкополосную связь у отдельн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ых операторов увеличился до 60%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30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 оценкам исследователей, пандемия продвинула долгосрочный тренд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потребительских рынков примерно на 2,5 года вперёд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относи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 xml:space="preserve">тельно </w:t>
      </w:r>
      <w:proofErr w:type="spellStart"/>
      <w:r w:rsidR="00E872C1">
        <w:rPr>
          <w:rFonts w:ascii="Times New Roman" w:hAnsi="Times New Roman" w:cs="Times New Roman"/>
          <w:sz w:val="28"/>
          <w:szCs w:val="28"/>
          <w:lang w:val="ru-RU"/>
        </w:rPr>
        <w:t>допандемийной</w:t>
      </w:r>
      <w:proofErr w:type="spellEnd"/>
      <w:r w:rsidR="00E872C1">
        <w:rPr>
          <w:rFonts w:ascii="Times New Roman" w:hAnsi="Times New Roman" w:cs="Times New Roman"/>
          <w:sz w:val="28"/>
          <w:szCs w:val="28"/>
          <w:lang w:val="ru-RU"/>
        </w:rPr>
        <w:t xml:space="preserve"> траектории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31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 точки зрения экономической устойчивости это означает, что цифровые каналы частично сохраняют потребление даже тогда, когда физические форматы торговли и услуг ограничены. Поэтому развитие электронной коммерции и онлайн-сервисов может смягчать последствия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шоков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связанных с ограничением мобильности.</w:t>
      </w:r>
    </w:p>
    <w:p w:rsidR="00C02A16" w:rsidRPr="000E5726" w:rsidRDefault="001E7D4B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Пятый канал - 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устойчивость информационно-коммуникационного сектора как отдельного элемента национальной экономики. Согласно данным ОЭСР, в 2020 году средний темп роста ИКТ-сектора в странах ОЭСР составил 6,6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%, а к 2021 году эффект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пандемии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ного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шока в большинстве стран данного сектора у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же практически не прослеживался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32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Это показывает, что ИКТ-сектор в кризисных условиях оказыва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ется устойчивее многих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традицио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ных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отраслей. Его значение проявляется в двух аспектах: во-первых, более высокая доля ИКТ-сектора в экономике создаёт дополнительную опору для совокупного выпуска; во-вторых, этот сектор обеспечивает </w:t>
      </w:r>
      <w:proofErr w:type="gram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другие отрасли</w:t>
      </w:r>
      <w:proofErr w:type="gram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цифровыми решениями которые повышают их способнос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ть к адаптации.</w:t>
      </w:r>
    </w:p>
    <w:p w:rsidR="00C02A16" w:rsidRPr="000E5726" w:rsidRDefault="00C02A16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Исследования ОЭСР показывают, что среди ранних индикаторов серьёзных рецессий особое значение имеют показатели кредитного цикла, отклонения цен на жильё от долгосрочного тренда и ди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сбалансы счёта текущих операций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33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Для этого исследования такой вывод важен: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фискальной системы может повышать не только скорость антикризисного реагирования, но и качество раннего выявления макроэкономических дисбалансов - за счёт объединения и анализа данных в режиме близком к реальному времени.</w:t>
      </w:r>
    </w:p>
    <w:p w:rsidR="00C02A16" w:rsidRPr="000E5726" w:rsidRDefault="00C02A16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Вопрос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финансового сектора следует рассматривать двойственно: с одной стороны, она ускоряет фискальную и фи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нансовую трансмиссию, с другой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при слабом регулировании может усиливать ра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спространение финансовых рисков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34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Поэтому развитие цифровых финансов должно сочета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ться с надёжным </w:t>
      </w:r>
      <w:proofErr w:type="spellStart"/>
      <w:r w:rsidR="001E7D4B">
        <w:rPr>
          <w:rFonts w:ascii="Times New Roman" w:hAnsi="Times New Roman" w:cs="Times New Roman"/>
          <w:sz w:val="28"/>
          <w:szCs w:val="28"/>
          <w:lang w:val="ru-RU"/>
        </w:rPr>
        <w:t>макра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пруденциальным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регулированием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постоянным контролем устойчивости финансовой системы.</w:t>
      </w:r>
      <w:r w:rsidR="007F6B0F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Системная связь между перечисленными каналами проявляется в том, что они усиливают друг друга. Развитая цифровая инфраструктура создаёт условия для непрерывности государственных функций и более эффективной фискальной трансмиссии;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государственного управления и финансовых механизмов повышает адаптивность частного сектора; а расширение цифровых услуг поддерживает развитие самого ИКТ-сектора.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Устойчивость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связанная с цифровыми технологиями формируется не как простая сумма отдельных эффектов, а как результат взаимодействия нескольких каналов. Именно поэтому страны с более высоким уровнем цифровой трансформации могут показывать более устойчивые траектории в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 условиях глобальных кризисов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что рассматривается во второй главе.</w:t>
      </w:r>
      <w:r w:rsidR="007F6B0F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 точки зрения эконометрического моделирования выделенные каналы позволяют обосновать выбор количественных индикаторов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устойчивости национальных экономик. Теоретически уровень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может отражаться через показатели цифровой инфраструктуры, электронного правительства, развития ИКТ-сектора и распространения цифровых технологий среди предприятий. Однако в этой работе, с учётом доступности сопоставимых данных по широкой выборке стран, основным индикатором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выбрана доля интернет-пользователей в численности населения. В качестве зависимой переменной используется натуральный логарифм ВВП на душу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населения. В модель также включаются валовое накопление основного капитала, инфляция, безработица, эксп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орт высокотехнологичной </w:t>
      </w:r>
      <w:proofErr w:type="spellStart"/>
      <w:r w:rsidR="001E7D4B">
        <w:rPr>
          <w:rFonts w:ascii="Times New Roman" w:hAnsi="Times New Roman" w:cs="Times New Roman"/>
          <w:sz w:val="28"/>
          <w:szCs w:val="28"/>
          <w:lang w:val="ru-RU"/>
        </w:rPr>
        <w:t>продукц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кризисные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дамми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-переменные 2020 и 2022 годов, а также взаимодействия показателя интернет-проникновения с кризисными периода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 xml:space="preserve">ми. Такой подход связывает </w:t>
      </w:r>
      <w:proofErr w:type="spellStart"/>
      <w:r w:rsidR="004B3C97">
        <w:rPr>
          <w:rFonts w:ascii="Times New Roman" w:hAnsi="Times New Roman" w:cs="Times New Roman"/>
          <w:sz w:val="28"/>
          <w:szCs w:val="28"/>
          <w:lang w:val="ru-RU"/>
        </w:rPr>
        <w:t>теор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тические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положения первой главы с эконометрическим анализом второй.</w:t>
      </w:r>
    </w:p>
    <w:p w:rsidR="00C02A16" w:rsidRPr="000E5726" w:rsidRDefault="00C02A16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Цифровые технологии влияют на макроэкономическую устойчивость не через один универсальный механизм, а через систему взаимосвязанных каналов. Они охватывают государственное управление, фискальную трансмиссию, адаптацию частного сектора, структуру конечного спроса и устойчивость ИКТ-сектора. Совместное дейс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 xml:space="preserve">твие этих каналов дополняет </w:t>
      </w:r>
      <w:proofErr w:type="spellStart"/>
      <w:r w:rsidR="004B3C97">
        <w:rPr>
          <w:rFonts w:ascii="Times New Roman" w:hAnsi="Times New Roman" w:cs="Times New Roman"/>
          <w:sz w:val="28"/>
          <w:szCs w:val="28"/>
          <w:lang w:val="ru-RU"/>
        </w:rPr>
        <w:t>кла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си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>ческое</w:t>
      </w:r>
      <w:proofErr w:type="spellEnd"/>
      <w:r w:rsidR="004B3C97">
        <w:rPr>
          <w:rFonts w:ascii="Times New Roman" w:hAnsi="Times New Roman" w:cs="Times New Roman"/>
          <w:sz w:val="28"/>
          <w:szCs w:val="28"/>
          <w:lang w:val="ru-RU"/>
        </w:rPr>
        <w:t xml:space="preserve"> понимание устойчивости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то, что представ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 xml:space="preserve">лено в работах </w:t>
      </w:r>
      <w:proofErr w:type="spellStart"/>
      <w:r w:rsidR="004B3C97">
        <w:rPr>
          <w:rFonts w:ascii="Times New Roman" w:hAnsi="Times New Roman" w:cs="Times New Roman"/>
          <w:sz w:val="28"/>
          <w:szCs w:val="28"/>
          <w:lang w:val="ru-RU"/>
        </w:rPr>
        <w:t>Бригульо</w:t>
      </w:r>
      <w:proofErr w:type="spellEnd"/>
      <w:r w:rsidR="004B3C9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gramStart"/>
      <w:r w:rsidR="004B3C97">
        <w:rPr>
          <w:rFonts w:ascii="Times New Roman" w:hAnsi="Times New Roman" w:cs="Times New Roman"/>
          <w:sz w:val="28"/>
          <w:szCs w:val="28"/>
          <w:lang w:val="ru-RU"/>
        </w:rPr>
        <w:t>ОЭСР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рассматривать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цифровизацию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как самостоятельный фактор повышения адаптивности национальных экономик. Эмпирическая проверка этой связи и сравнительный анализ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страновых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траекторий в условиях глобальных кризисов представлены во второй главе.</w:t>
      </w:r>
      <w:r w:rsidR="007F6B0F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Выводы по первой главе. Первая глава дала несколько результатов которые определяют логику даль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 xml:space="preserve">нейшего анализа. </w:t>
      </w:r>
      <w:proofErr w:type="spellStart"/>
      <w:r w:rsidR="004B3C97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="004B3C97">
        <w:rPr>
          <w:rFonts w:ascii="Times New Roman" w:hAnsi="Times New Roman" w:cs="Times New Roman"/>
          <w:sz w:val="28"/>
          <w:szCs w:val="28"/>
          <w:lang w:val="ru-RU"/>
        </w:rPr>
        <w:t>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это не просто технологический сдвиг: она меняет саму архитектуру экономической адаптации, влияя на то как государство функционирует в кризис, как бизнес перестраивается и как передаётся фискальная поддержка. Подходы ОЭСР, Всемирного банка, Европейской комиссии и исследователей экономической 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>устойчивости сходятся в одном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устойчивость не возникает в момент шока, она либо уже есть в экономике, либо её нет. Пять каналов, систематизированных в этой главе - непрерывность государственных функций, эффективность фискальной трансмиссии, ад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 xml:space="preserve">аптация частного сектора, </w:t>
      </w:r>
      <w:proofErr w:type="spellStart"/>
      <w:r w:rsidR="004B3C97">
        <w:rPr>
          <w:rFonts w:ascii="Times New Roman" w:hAnsi="Times New Roman" w:cs="Times New Roman"/>
          <w:sz w:val="28"/>
          <w:szCs w:val="28"/>
          <w:lang w:val="ru-RU"/>
        </w:rPr>
        <w:t>диверсс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ификация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конечного спро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 xml:space="preserve">са и устойчивость </w:t>
      </w:r>
      <w:proofErr w:type="gramStart"/>
      <w:r w:rsidR="004B3C97">
        <w:rPr>
          <w:rFonts w:ascii="Times New Roman" w:hAnsi="Times New Roman" w:cs="Times New Roman"/>
          <w:sz w:val="28"/>
          <w:szCs w:val="28"/>
          <w:lang w:val="ru-RU"/>
        </w:rPr>
        <w:t>ИКТ-сектора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это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не просто классификация. Каждый из них представляет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конкретный механизм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через который уровень цифровой зрелости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страны либо смягчает удар кризиса, либо нет. Именно поэтому следующий шаг - не дальнейшая теория, а сравнение реальных стран и эконометрика.</w:t>
      </w:r>
    </w:p>
    <w:p w:rsidR="00C02A16" w:rsidRPr="000E5726" w:rsidRDefault="00C02A16" w:rsidP="004B3C97">
      <w:pPr>
        <w:pageBreakBefore/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ГЛАВА II. МЕЖДУНАРОДНЫЙ ОПЫТ ЦИФРОВИЗАЦИИ ЭКОНОМИКИ И ЭКОНОМЕТРИЧЕСКИЙ АНАЛИЗ ЕЁ ВЛИЯНИЯ НА УСТОЙЧИВОСТЬ СТРАН К ГЛОБАЛЬНЫМ КРИЗИСАМ</w:t>
      </w:r>
    </w:p>
    <w:p w:rsidR="00C02A16" w:rsidRPr="000E5726" w:rsidRDefault="00C02A16" w:rsidP="00C02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b/>
          <w:sz w:val="28"/>
          <w:szCs w:val="28"/>
          <w:lang w:val="ru-RU"/>
        </w:rPr>
        <w:t>2.1. Сравнительный анализ моделей цифровой трансформации стран-лидеров (на примере Эстонии, Республики Корея, Сингапура и Польши)</w:t>
      </w:r>
    </w:p>
    <w:p w:rsidR="00C02A16" w:rsidRPr="000E5726" w:rsidRDefault="00C02A16" w:rsidP="00C02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Теоретическая база, заложенная в первой главе, позволяет перейти к анализу международного опыта цифровой трансформации. В этом параграфе сравниваются четыре национальные модели с разными институциональными условиями и подходами 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>к цифровому развитию: Эстония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модель малого постсоветского государства, сделавшего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цифровизацию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частью национально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>го развития; Республика Корея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модель развитой экономики с государственно-направляемой циф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>ровой модернизацией; Сингапур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модель города-государства с высоким уровнем цифрово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>й конкурентоспособности; Польша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модель догоняющей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переходной экономики интегрированной в Европейский союз. Выбор этих стран обусловлен их высокими позициями в международных индексах цифровой зрелости, наличием стратегических программ цифровой трансформации и доступностью сопоставимых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коли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>честве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ных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показателей для дальнейшего анализа. Сравнительные позиции четырёх стран в ключевых международных индексах цифровой зрелости представлены в таблице 2.1.</w:t>
      </w:r>
    </w:p>
    <w:p w:rsidR="00C02A16" w:rsidRPr="000E5726" w:rsidRDefault="00C02A16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Таблица 2.1. Позиции четырёх стран в международных индексах цифровой зрелости (2024) Источники: UN DESA (EGDI 2024);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Portulans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Insti</w:t>
      </w:r>
      <w:r w:rsidR="004B1E76">
        <w:rPr>
          <w:rFonts w:ascii="Times New Roman" w:hAnsi="Times New Roman" w:cs="Times New Roman"/>
          <w:sz w:val="28"/>
          <w:szCs w:val="28"/>
          <w:lang w:val="ru-RU"/>
        </w:rPr>
        <w:t>tute</w:t>
      </w:r>
      <w:proofErr w:type="spellEnd"/>
      <w:r w:rsidR="004B1E76">
        <w:rPr>
          <w:rFonts w:ascii="Times New Roman" w:hAnsi="Times New Roman" w:cs="Times New Roman"/>
          <w:sz w:val="28"/>
          <w:szCs w:val="28"/>
          <w:lang w:val="ru-RU"/>
        </w:rPr>
        <w:t xml:space="preserve"> (NRI 2024); IMD WDCR 2024.</w:t>
      </w:r>
    </w:p>
    <w:p w:rsidR="00C02A16" w:rsidRPr="000E5726" w:rsidRDefault="00C02A16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Данные таблицы 2.1 показывают: все четыре страны занимают заметные позиции в международных рейтингах цифровой зрелости, но достигают этих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результатов разными путями. Эстония опирается на модель компактного цифрового 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>государства, Республика Корея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на государственно-направляемую ц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 xml:space="preserve">ифровую модернизацию, </w:t>
      </w:r>
      <w:proofErr w:type="gramStart"/>
      <w:r w:rsidR="004B3C97">
        <w:rPr>
          <w:rFonts w:ascii="Times New Roman" w:hAnsi="Times New Roman" w:cs="Times New Roman"/>
          <w:sz w:val="28"/>
          <w:szCs w:val="28"/>
          <w:lang w:val="ru-RU"/>
        </w:rPr>
        <w:t>Сингапур 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на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высокий уровень институциональной координации и цифровой ко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 xml:space="preserve">нкурентоспособности, а Польша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на постепенную догоняющую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цифровизацию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="004B1E76">
        <w:rPr>
          <w:rFonts w:ascii="Times New Roman" w:hAnsi="Times New Roman" w:cs="Times New Roman"/>
          <w:sz w:val="28"/>
          <w:szCs w:val="28"/>
          <w:lang w:val="ru-RU"/>
        </w:rPr>
        <w:t xml:space="preserve"> рамках европейской интеграции.</w:t>
      </w:r>
    </w:p>
    <w:p w:rsidR="00C02A16" w:rsidRPr="000E5726" w:rsidRDefault="004B3C97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Эстония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модель «</w:t>
      </w:r>
      <w:r>
        <w:rPr>
          <w:rFonts w:ascii="Times New Roman" w:hAnsi="Times New Roman" w:cs="Times New Roman"/>
          <w:sz w:val="28"/>
          <w:szCs w:val="28"/>
          <w:lang w:val="ru-RU"/>
        </w:rPr>
        <w:t>цифрового государства» малой пост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советской экономики. Цифровая трансформация Эстонии началась с программы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Tiger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Leap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Tiigrihüpe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), запущенной в 1996 году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направленной на компьютеризаций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школ, подключение их к интернету</w:t>
      </w:r>
      <w:r>
        <w:rPr>
          <w:rFonts w:ascii="Times New Roman" w:hAnsi="Times New Roman" w:cs="Times New Roman"/>
          <w:sz w:val="28"/>
          <w:szCs w:val="28"/>
          <w:lang w:val="ru-RU"/>
        </w:rPr>
        <w:t>, подготовку учителей и создания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учебн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ого контента на эстонском языке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35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 2000 году все школы Эстонии были оснащены компьютерами, а к 2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001 году подключены к интернету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36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Благода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ря этому страна сформировала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ра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нюю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базу цифровой грамотности и подготовила общество к дальнейшему развитию электронного государства.</w:t>
      </w:r>
      <w:r w:rsidR="004B1E7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Следующим ключевым шагом стало создание технологической основы эстонского цифрового государства. Центральное место за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>няла платформа X-</w:t>
      </w:r>
      <w:proofErr w:type="spellStart"/>
      <w:r w:rsidR="004B3C97">
        <w:rPr>
          <w:rFonts w:ascii="Times New Roman" w:hAnsi="Times New Roman" w:cs="Times New Roman"/>
          <w:sz w:val="28"/>
          <w:szCs w:val="28"/>
          <w:lang w:val="ru-RU"/>
        </w:rPr>
        <w:t>Road</w:t>
      </w:r>
      <w:proofErr w:type="spellEnd"/>
      <w:r w:rsidR="004B3C97">
        <w:rPr>
          <w:rFonts w:ascii="Times New Roman" w:hAnsi="Times New Roman" w:cs="Times New Roman"/>
          <w:sz w:val="28"/>
          <w:szCs w:val="28"/>
          <w:lang w:val="ru-RU"/>
        </w:rPr>
        <w:t xml:space="preserve"> (X-</w:t>
      </w:r>
      <w:proofErr w:type="spellStart"/>
      <w:r w:rsidR="004B3C97">
        <w:rPr>
          <w:rFonts w:ascii="Times New Roman" w:hAnsi="Times New Roman" w:cs="Times New Roman"/>
          <w:sz w:val="28"/>
          <w:szCs w:val="28"/>
          <w:lang w:val="ru-RU"/>
        </w:rPr>
        <w:t>tee</w:t>
      </w:r>
      <w:proofErr w:type="spellEnd"/>
      <w:r w:rsidR="004B3C97">
        <w:rPr>
          <w:rFonts w:ascii="Times New Roman" w:hAnsi="Times New Roman" w:cs="Times New Roman"/>
          <w:sz w:val="28"/>
          <w:szCs w:val="28"/>
          <w:lang w:val="ru-RU"/>
        </w:rPr>
        <w:t>)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распределённая система обмена данными между государственными и частными информационными системами. Проект развернули в 2001 году на принципе децентрализации: данные хранятся в исходных реестрах и передаются по запросу через защищённые каналы с использованием цифрово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й подписи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37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 настоящему времени X-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Road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объединяет более 450 организаций, включая свыше 150 учреждений государственного сектора, обеспечивает работу около 1300 информационных систем и обрабатывает при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мерно 2,2 млрд транзакций в год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38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>Открытие исходного кода централь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ных компонентов X-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Road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под лицензией MIT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усилило между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 xml:space="preserve">народное значение этой </w:t>
      </w:r>
      <w:proofErr w:type="gramStart"/>
      <w:r w:rsidR="004B3C97">
        <w:rPr>
          <w:rFonts w:ascii="Times New Roman" w:hAnsi="Times New Roman" w:cs="Times New Roman"/>
          <w:sz w:val="28"/>
          <w:szCs w:val="28"/>
          <w:lang w:val="ru-RU"/>
        </w:rPr>
        <w:t xml:space="preserve">модели 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частности, в 2018 году были соединены системы обмена данными Эстонии и Финляндии.</w:t>
      </w:r>
    </w:p>
    <w:p w:rsidR="00C02A16" w:rsidRPr="000E5726" w:rsidRDefault="00C02A16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Продолжением этой модели стала прогр</w:t>
      </w:r>
      <w:r w:rsidR="00BA6504">
        <w:rPr>
          <w:rFonts w:ascii="Times New Roman" w:hAnsi="Times New Roman" w:cs="Times New Roman"/>
          <w:sz w:val="28"/>
          <w:szCs w:val="28"/>
          <w:lang w:val="ru-RU"/>
        </w:rPr>
        <w:t xml:space="preserve">амма электронного </w:t>
      </w:r>
      <w:proofErr w:type="spellStart"/>
      <w:r w:rsidR="00BA6504">
        <w:rPr>
          <w:rFonts w:ascii="Times New Roman" w:hAnsi="Times New Roman" w:cs="Times New Roman"/>
          <w:sz w:val="28"/>
          <w:szCs w:val="28"/>
          <w:lang w:val="ru-RU"/>
        </w:rPr>
        <w:t>резидентства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она позволила Эстонии использовать цифровую инфраструктуру не только внутри страны, но и за её пределами. Программа e-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Residency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, запущенная в конце 2014 года, по состоянию на 2025 год охватывает более 128 тыс. человек из 185 стран; ими основано свыше 36 тыс. эстонских компаний, а совокупный прямой экономический эффект дл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я бюджета составил 342 млн евро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39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2024 году e-резиденты создали 4818 новых компаний, а налоговые поступления от п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рограммы достигли 66,8 млн евро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40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В Индексе развития электронных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правительства ООН EGDI 2024 года Эстония заняла 2-е место в м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ире со значением индекса 0,9727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41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итоге эстонская модель держится на четырёх опорах: циф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ровая грамотность,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межведомстве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ная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интероперабельность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цифровая идентификация и продвижение государственных решений на </w:t>
      </w:r>
      <w:r w:rsidR="004B1E76">
        <w:rPr>
          <w:rFonts w:ascii="Times New Roman" w:hAnsi="Times New Roman" w:cs="Times New Roman"/>
          <w:sz w:val="28"/>
          <w:szCs w:val="28"/>
          <w:lang w:val="ru-RU"/>
        </w:rPr>
        <w:t>международном уровне.</w:t>
      </w:r>
    </w:p>
    <w:p w:rsidR="00C02A16" w:rsidRPr="000E5726" w:rsidRDefault="004007C3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Республика Корея 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модель государственно-направляемой цифровой модернизации. Цифровая трансформация Республики Корея отличается сильной ролью государства, долгосрочным планированием и активным использованием фискальных стимулов для ускорения технологического развития. Одним из ключевых программных документов стал Корейский новый курс (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Korean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Deal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), объявленный 14 июля 2020 года. Общий объём инвестиций программы на 2020-2025 годы составил 160 трлн вон, или около 133 млрд долларов США, из которых 114,1 трлн вон финансировалось центральным правительством, что 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соо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тветствовало 5,9% ВВП 2020 года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42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Программа была направлена на создание 1,9 млн рабочих мест и включала три блока: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Deal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Green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Deal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укрепление системы социаль</w:t>
      </w:r>
      <w:r w:rsidR="004B1E76">
        <w:rPr>
          <w:rFonts w:ascii="Times New Roman" w:hAnsi="Times New Roman" w:cs="Times New Roman"/>
          <w:sz w:val="28"/>
          <w:szCs w:val="28"/>
          <w:lang w:val="ru-RU"/>
        </w:rPr>
        <w:t>ной защиты.</w:t>
      </w:r>
    </w:p>
    <w:p w:rsidR="00C02A16" w:rsidRPr="000E5726" w:rsidRDefault="00C02A16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Центральным цифровым блоком стал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Deal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. На его реализацию было выделено 58,2 трлн вон, из которых 44,8 трлн финансиро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вались из государственной казны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43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основе п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рограммы лежала концепция </w:t>
      </w:r>
      <w:proofErr w:type="gramStart"/>
      <w:r w:rsidR="004007C3">
        <w:rPr>
          <w:rFonts w:ascii="Times New Roman" w:hAnsi="Times New Roman" w:cs="Times New Roman"/>
          <w:sz w:val="28"/>
          <w:szCs w:val="28"/>
          <w:lang w:val="ru-RU"/>
        </w:rPr>
        <w:t>DNA  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Data</w:t>
      </w:r>
      <w:proofErr w:type="spellEnd"/>
      <w:proofErr w:type="gramEnd"/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Network</w:t>
      </w:r>
      <w:proofErr w:type="spellEnd"/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AI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которая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связывала развитие данных, сетевой инфраструктуры и искусственного интеллекта с модернизацией ключевых секторов экономики. В практическом плане программа включала создание отраслевых платформ больших данных, внедрение 5G 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блокчейн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государственные услуги, оснащение 18 больниц технологиями 5G и интернета вещей, разработку программного обеспечения для диагностики 12 заболеваний, а также подключение более 310 000 классов к высокоскор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остному беспроводному интернету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44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июле 2021 года был объявлен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Korean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Deal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2.0 - общий бюджет программы расш</w:t>
      </w:r>
      <w:r w:rsidR="004B1E76">
        <w:rPr>
          <w:rFonts w:ascii="Times New Roman" w:hAnsi="Times New Roman" w:cs="Times New Roman"/>
          <w:sz w:val="28"/>
          <w:szCs w:val="28"/>
          <w:lang w:val="ru-RU"/>
        </w:rPr>
        <w:t>ирили примерно до 220 трлн вон.</w:t>
      </w:r>
    </w:p>
    <w:p w:rsidR="00C02A16" w:rsidRPr="000E5726" w:rsidRDefault="00C02A16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По данным Министерства науки и ИКТ Кореи, совокупный бюджет на развитие ведущих цифровых технологий в первый год реализации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Deal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составил 10,1 трлн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 xml:space="preserve"> вон, или 8,7 млрд долларов США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45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Реализация программы также отразилась на международных позициях страны: в рейтинге цифровой конкурентоспособности IMD Республика Корея поднялась с 10-го места в 2019 году на 8-е в 2020 году, а в индексе готовности правительств к использованию искусствен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ного интеллекта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Oxford</w:t>
      </w:r>
      <w:proofErr w:type="spellEnd"/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Insights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 26-го на 7-е место. Ещё в декабре 2019 года Корея приняла Национальную стратегию в области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искусственного интеллекта, предусматривающую цель войти в тройку наиболее конкурентоспособных цифровых экономик мира к 2030 году и инвестиции в размере 1 трлн вон на развитие ИИ-п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олупроводников в течение 10 лет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46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EGDI 2024 Республика Корея занимает 4-е место со значением индекса 0,9679, а в OECD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Government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20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>23 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1-е место среди стран ОЭСР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47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целом корейская модель отличается крупным масштабом государственных инвестиций и тесной связью цифровой трансформа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ции с антикризисной политикой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Deal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был запущен именно как ответ на</w:t>
      </w:r>
      <w:r w:rsidR="004B1E76">
        <w:rPr>
          <w:rFonts w:ascii="Times New Roman" w:hAnsi="Times New Roman" w:cs="Times New Roman"/>
          <w:sz w:val="28"/>
          <w:szCs w:val="28"/>
          <w:lang w:val="ru-RU"/>
        </w:rPr>
        <w:t xml:space="preserve"> последствия пандемии COVID-19.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Сингапур: модель города-государства как глобального эталона цифровой конкурентоспособности. Инициатива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Smart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Nation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была объявлена в 2014 году и стала основой сингапурской стратегии цифровой трансформации, ориентир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ованной на внедрение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информацио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-коммуникационных технологий, цифровых платформ, сетей и больших данных в государ</w:t>
      </w:r>
      <w:r w:rsidR="00990EE6">
        <w:rPr>
          <w:rFonts w:ascii="Times New Roman" w:hAnsi="Times New Roman" w:cs="Times New Roman"/>
          <w:sz w:val="28"/>
          <w:szCs w:val="28"/>
          <w:lang w:val="ru-RU"/>
        </w:rPr>
        <w:t>ственное управление и экономику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48"/>
      </w:r>
      <w:r w:rsidR="00990EE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Для реализации этой политики были созданы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специализированные институты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GovTech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Smart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Nation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and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Government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Group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, которые объединили стратегическое планирование и техническую реализацию цифровых сервисов. В 2023 году координация цифровой повестки была передана Министерству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цифрового развития и информаций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что показывает дальнейшее институциональное укрепление цифровой трансформации в стране.</w:t>
      </w:r>
    </w:p>
    <w:p w:rsidR="00C02A16" w:rsidRPr="000E5726" w:rsidRDefault="00C02A16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Практические результаты сингапурской модели проявляются в устойчивом росте цифровой экономики и широком распространении цифровых сервисов. Её вклад в ВВП Сингапура увеличился с 13,3% в 2017 году до 17,7% в 2023 году при среднегодовом темпе роста 11,2%, что почти вдвое превышало темп роста </w:t>
      </w:r>
      <w:r w:rsidR="00990EE6">
        <w:rPr>
          <w:rFonts w:ascii="Times New Roman" w:hAnsi="Times New Roman" w:cs="Times New Roman"/>
          <w:sz w:val="28"/>
          <w:szCs w:val="28"/>
          <w:lang w:val="ru-RU"/>
        </w:rPr>
        <w:lastRenderedPageBreak/>
        <w:t>экономики в целом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49"/>
      </w:r>
      <w:r w:rsidR="00990EE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Около 99% домохозяйств подключены к интернету, а 99% государственных услуг доступны в цифровом формате. Ключевыми эл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>ементами цифровой инфраструктур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являются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Singpass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как единая система цифровой идентификации, платёжная система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PayNow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платформа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Virtual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Singapore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- трёхмерный цифровой двойник городской среды, используемый для моделировани</w:t>
      </w:r>
      <w:r w:rsidR="00990EE6">
        <w:rPr>
          <w:rFonts w:ascii="Times New Roman" w:hAnsi="Times New Roman" w:cs="Times New Roman"/>
          <w:sz w:val="28"/>
          <w:szCs w:val="28"/>
          <w:lang w:val="ru-RU"/>
        </w:rPr>
        <w:t>я сценариев городского развития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50"/>
      </w:r>
      <w:r w:rsidR="00990EE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период пандемии COVID-19 Сингапур оперативно развернул систему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TraceTogeth</w:t>
      </w:r>
      <w:r w:rsidR="00990EE6">
        <w:rPr>
          <w:rFonts w:ascii="Times New Roman" w:hAnsi="Times New Roman" w:cs="Times New Roman"/>
          <w:sz w:val="28"/>
          <w:szCs w:val="28"/>
          <w:lang w:val="ru-RU"/>
        </w:rPr>
        <w:t>er</w:t>
      </w:r>
      <w:proofErr w:type="spellEnd"/>
      <w:r w:rsidR="00990EE6">
        <w:rPr>
          <w:rFonts w:ascii="Times New Roman" w:hAnsi="Times New Roman" w:cs="Times New Roman"/>
          <w:sz w:val="28"/>
          <w:szCs w:val="28"/>
          <w:lang w:val="ru-RU"/>
        </w:rPr>
        <w:t xml:space="preserve"> для отслеживания контактов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это показало способность цифровой инфраструктуры быстро адаптироваться к кризисным условиям.</w:t>
      </w:r>
      <w:r w:rsidR="004B1E7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Следующим этапом стала обновлённая стратегия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Smart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Nation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2.0. В октябре 2024 года премьер-министр Лоуренс Вонг представил концепцию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Smart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Nation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2.0, одним из ключевых элементов которой стало выделение 120 млн сингапурских долларов на программу AI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for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Science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для развития междисциплинарных исследований в области искусственного интеллекта.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51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Новая стратегия переносит акцент с создания базовой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цифровой инфраструктуры на практиче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ское использование технологий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прежде всего генератив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>ного искусственного интеллекта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для дальнейшего развития экономики и общества. В IMD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World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Competitiveness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Ranking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2024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Сингапур занимает 1-е место в мире, в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Network</w:t>
      </w:r>
      <w:proofErr w:type="spellEnd"/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Readiness</w:t>
      </w:r>
      <w:proofErr w:type="spellEnd"/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2024 2-е место, а в EGDI 2024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3-е ме</w:t>
      </w:r>
      <w:r w:rsidR="00990EE6">
        <w:rPr>
          <w:rFonts w:ascii="Times New Roman" w:hAnsi="Times New Roman" w:cs="Times New Roman"/>
          <w:sz w:val="28"/>
          <w:szCs w:val="28"/>
          <w:lang w:val="ru-RU"/>
        </w:rPr>
        <w:t>сто со значением индекса 0,9691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52"/>
      </w:r>
      <w:r w:rsidR="00990EE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Отличитель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ная черта сингапурской модели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сочетание стратегического государственного планирования, активного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участия частного сектора и системной интеграции цифровых решений в городскую среду.</w:t>
      </w:r>
      <w:r w:rsidR="004B1E7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4007C3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Польша  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proofErr w:type="gram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догоняющей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переходной экономики. Цифровая трансформация Польши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развивалась иначе чем 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Эстонии, Кореи или Сингапура 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не как единая централизованная стратегия, а как постепенный процесс сближения с цифровыми стандартами Европейского союза. Важную роль здесь сыграли финансовые инструменты ЕС, развитие внутреннего ИКТ-сектора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модернизация государственных цифровых сервисов. Первым крупным программным документом стала программа «Цифровая Польша» на период 2014-2020 годов с бюджетом около 2,17 млрд евро, направленная на развитие широкополосной инфраструктуры и ци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фровых государственных сервисов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53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Её продолжением стала программа FERC на период 2021-2027 годов, реализуемая под координацией Министерства цифровых дел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Це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нтра проектов «Цифровая Польша»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54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2A16" w:rsidRPr="000E5726" w:rsidRDefault="00C02A16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Заметным результатом этой политики стало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развитие цифровых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государствен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ых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сервисов. Одним из ключевых элементов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польской цифровой трансформаций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стало мобильное приложение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mObywatel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запущенное в 2017 году. В 2020 году в приложение интегрировали электронные рецепты и мобильные водительские удостоверения. 14 июля 2023 года вступил в силу закон, уравнявший юридическую силу цифрового удостоверения личности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mDowód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приложении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mObywat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el</w:t>
      </w:r>
      <w:proofErr w:type="spellEnd"/>
      <w:r w:rsidR="00302040">
        <w:rPr>
          <w:rFonts w:ascii="Times New Roman" w:hAnsi="Times New Roman" w:cs="Times New Roman"/>
          <w:sz w:val="28"/>
          <w:szCs w:val="28"/>
          <w:lang w:val="ru-RU"/>
        </w:rPr>
        <w:t xml:space="preserve"> 2.0 с пластиковым документом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55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 2025 году число пользователей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mObywatel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превысило 10 млн человек, то есть около трети населения страны; цифровое водительское удостоверение используют 5,5 млн граждан, цифровое свидетельство о регис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трации транспортного средства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5,7 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млн, 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а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ччерез</w:t>
      </w:r>
      <w:proofErr w:type="spellEnd"/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 доступна более 40 государственных услуг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56"/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Параллельно Польша развивает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Prof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>il</w:t>
      </w:r>
      <w:proofErr w:type="spellEnd"/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Zaufany</w:t>
      </w:r>
      <w:proofErr w:type="spellEnd"/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и платформу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ePUAP</w:t>
      </w:r>
      <w:proofErr w:type="spellEnd"/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ни обеспечивают доступ к государственным порталам, электронное подписание документов и вз</w:t>
      </w:r>
      <w:r w:rsidR="004B1E76">
        <w:rPr>
          <w:rFonts w:ascii="Times New Roman" w:hAnsi="Times New Roman" w:cs="Times New Roman"/>
          <w:sz w:val="28"/>
          <w:szCs w:val="28"/>
          <w:lang w:val="ru-RU"/>
        </w:rPr>
        <w:t>аимодействие с органами власти.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Вместе с тем польская модель показывает разрыв между развитием государственных цифровых сервисов и уро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>внем цифровой зрелости население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бизнеса. По данным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Decade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Report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Европейской комиссии за 2024 год, 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базовыми цифровыми навыками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обло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дают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44% населения Польши при среднем показателе по ЕС 56%; искусственный интеллект полностью внедрили 3,7% компаний при среднем уровне ЕС 8%, а аналитику данных используют 19,3% компа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ний при среднем уровне ЕС 33,2%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57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При этом ИКТ-сектор страны растёт достаточно быстро. Согласно OECD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Economy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Outlook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2024, среднегодовой темп роста ИКТ-сектора Польши за пер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иод 2013-2023 годов превысил 8%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58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Польша представляет собой модель «конвергенции с ограничениями»: цифровое государство и ИКТ-сектор развиваются, но проблемы цифровых навыков и внедрения технологий в частном секторе пока остаются. Именно поэтому польский опыт особенно интересен для 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стран с переходной экономикой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включая Узбекистан.</w:t>
      </w:r>
    </w:p>
    <w:p w:rsidR="00C02A16" w:rsidRPr="000E5726" w:rsidRDefault="00C02A16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Сравнительный синтез четырёх моделей. Сравнение выбранных стран показывает, что во всех четырёх случаях цифровая трансформация опирается на институциональный центр координации: RIA в Эстонии, MSIT в Республике Корея,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GovTech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/MDDI в Сингапуре 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Ministerstwo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Cyfryzacji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Польше. Общей чертой является и использование цифровой идентификации как основы электронных государственных сервисов: e-ID 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Mobile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-ID в Эстонии,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национального цифрового идентификатора в Корее,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Singpass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Сингапуре,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mObywatel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Profil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Zaufany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Польше.</w:t>
      </w:r>
    </w:p>
    <w:p w:rsidR="00C02A16" w:rsidRPr="000E5726" w:rsidRDefault="00C02A16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Различия между моделями связаны прежде всего с масштабом инвестиций, институциональной средой и балансом между ролью государства и частного сектора. Корейская модель выделяется самым крупным объёмом государственных вложений: в рамках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Korean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Deal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общее финансирование составило 160 трлн вон на 2020-2025 годы, что соответствовало 5,9% ВВП 2020 года. Эстонская модель, напротив,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показывает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интероперабельность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цифровая идентификация могут стать основой цифрового государства даже при сравнительно ограниченных ресурсах. Сингапурская модель отличается высокой степенью интеграции цифровых решений в городскую среду и значительным вкладом цифровой экономики в ВВП: в 2023 го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ду этот показатель достиг 17,7%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59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Польская модель отражает особенности догоняющей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- развитые государственные сервисы сочетаются здесь с более низкой цифровой зрелостью населения и частного сектора.</w:t>
      </w:r>
      <w:r w:rsidR="004B1E7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Четыре страны представляют разные модели ц</w:t>
      </w:r>
      <w:r w:rsidR="004F305F">
        <w:rPr>
          <w:rFonts w:ascii="Times New Roman" w:hAnsi="Times New Roman" w:cs="Times New Roman"/>
          <w:sz w:val="28"/>
          <w:szCs w:val="28"/>
          <w:lang w:val="ru-RU"/>
        </w:rPr>
        <w:t xml:space="preserve">ифровой трансформации: </w:t>
      </w:r>
      <w:proofErr w:type="gramStart"/>
      <w:r w:rsidR="004F305F">
        <w:rPr>
          <w:rFonts w:ascii="Times New Roman" w:hAnsi="Times New Roman" w:cs="Times New Roman"/>
          <w:sz w:val="28"/>
          <w:szCs w:val="28"/>
          <w:lang w:val="ru-RU"/>
        </w:rPr>
        <w:t xml:space="preserve">Эстония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интероперабельное</w:t>
      </w:r>
      <w:proofErr w:type="spellEnd"/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цифровое</w:t>
      </w:r>
      <w:r w:rsidR="004F305F">
        <w:rPr>
          <w:rFonts w:ascii="Times New Roman" w:hAnsi="Times New Roman" w:cs="Times New Roman"/>
          <w:sz w:val="28"/>
          <w:szCs w:val="28"/>
          <w:lang w:val="ru-RU"/>
        </w:rPr>
        <w:t xml:space="preserve"> государство, Республика Корея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государственно-направляемую цифровую </w:t>
      </w:r>
      <w:r w:rsidR="004F305F">
        <w:rPr>
          <w:rFonts w:ascii="Times New Roman" w:hAnsi="Times New Roman" w:cs="Times New Roman"/>
          <w:sz w:val="28"/>
          <w:szCs w:val="28"/>
          <w:lang w:val="ru-RU"/>
        </w:rPr>
        <w:t xml:space="preserve">модернизацию, Сингапур </w:t>
      </w:r>
      <w:proofErr w:type="spellStart"/>
      <w:r w:rsidR="004F305F">
        <w:rPr>
          <w:rFonts w:ascii="Times New Roman" w:hAnsi="Times New Roman" w:cs="Times New Roman"/>
          <w:sz w:val="28"/>
          <w:szCs w:val="28"/>
          <w:lang w:val="ru-RU"/>
        </w:rPr>
        <w:t>высоко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нтегрированную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цифровую экономик</w:t>
      </w:r>
      <w:r w:rsidR="004F305F">
        <w:rPr>
          <w:rFonts w:ascii="Times New Roman" w:hAnsi="Times New Roman" w:cs="Times New Roman"/>
          <w:sz w:val="28"/>
          <w:szCs w:val="28"/>
          <w:lang w:val="ru-RU"/>
        </w:rPr>
        <w:t>у города-государства, а Польша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конвергенцию с определёнными ограничениями.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развивается не по ед</w:t>
      </w:r>
      <w:r w:rsidR="00915457">
        <w:rPr>
          <w:rFonts w:ascii="Times New Roman" w:hAnsi="Times New Roman" w:cs="Times New Roman"/>
          <w:sz w:val="28"/>
          <w:szCs w:val="28"/>
          <w:lang w:val="ru-RU"/>
        </w:rPr>
        <w:t xml:space="preserve">иной схеме, а через разные </w:t>
      </w:r>
      <w:proofErr w:type="spellStart"/>
      <w:r w:rsidR="00915457">
        <w:rPr>
          <w:rFonts w:ascii="Times New Roman" w:hAnsi="Times New Roman" w:cs="Times New Roman"/>
          <w:sz w:val="28"/>
          <w:szCs w:val="28"/>
          <w:lang w:val="ru-RU"/>
        </w:rPr>
        <w:t>инсте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туциональные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траектории. В следующем параграфе рассматривается как эти экономики реагировали на глобальные кризисы 2020-2022 годов с учётом уровня цифровой зрелости.</w:t>
      </w:r>
    </w:p>
    <w:p w:rsidR="004B1E76" w:rsidRDefault="004B1E7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b/>
          <w:sz w:val="28"/>
          <w:szCs w:val="28"/>
          <w:lang w:val="ru-RU"/>
        </w:rPr>
        <w:t>2.2. Реакция национальных экономик на глобальные кризисы 2020-2022 годов в контексте уровня цифровой зрелости</w:t>
      </w:r>
    </w:p>
    <w:p w:rsidR="00C02A16" w:rsidRPr="000E5726" w:rsidRDefault="00C02A16" w:rsidP="00C02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Для согласования сравнительного анализа с эконометрической моделью параграфа 2.3 в работе выделяются два кризисных года. 2020-й рассматривается как период острой фазы пандемии COVID-19 и максимального падения ВВП, а 2022-й - как период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энергетического и инфляционного шока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связанного с геополитической эскалацией. При этом 2021 год трактуется как этап восстановления, а не как самостоятельный кризисный эпизод. В эконометрической модели эти кризисные годы отражены через бинарные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дамми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-переменные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Crisis_COVID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Crisis_Geo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- что позволяет отдельно оценить их влияние на зависимую переменную при контроле уровня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. Такое разделение важно потому что пандемия COVID-19 выступила шоком неэкономического происхождения и ограничила физическую мобильность, тогда как кризис 2022 года проявился преимущественно через энергетический, ценовой и инфляционный каналы. Это позволяет оценить не только способность цифровой инфраструктуры смягчать последствия кризисов, но и её пределы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там где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шок находится вне прямого воздействия цифровых технологий.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Реакция Эстонии. В 2020 году экономика Эстонии показала сравнительно мягкое падение: снижение ВВП составило 3,0% против среднего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915457">
        <w:rPr>
          <w:rFonts w:ascii="Times New Roman" w:hAnsi="Times New Roman" w:cs="Times New Roman"/>
          <w:sz w:val="28"/>
          <w:szCs w:val="28"/>
          <w:lang w:val="ru-RU"/>
        </w:rPr>
        <w:t>оказати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ля</w:t>
      </w:r>
      <w:proofErr w:type="spellEnd"/>
      <w:r w:rsidR="00302040">
        <w:rPr>
          <w:rFonts w:ascii="Times New Roman" w:hAnsi="Times New Roman" w:cs="Times New Roman"/>
          <w:sz w:val="28"/>
          <w:szCs w:val="28"/>
          <w:lang w:val="ru-RU"/>
        </w:rPr>
        <w:t xml:space="preserve"> по ЕС на уровне -6,1%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0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Уже в 2021 году экономика восс</w:t>
      </w:r>
      <w:r w:rsidR="00915457">
        <w:rPr>
          <w:rFonts w:ascii="Times New Roman" w:hAnsi="Times New Roman" w:cs="Times New Roman"/>
          <w:sz w:val="28"/>
          <w:szCs w:val="28"/>
          <w:lang w:val="ru-RU"/>
        </w:rPr>
        <w:t>тановилась с темпом роста 8,6%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один из на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иболее высоких показателей в ЕС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1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Такой результат можно связать с высоким уровнем цифровой зрелости страны и возможностями инфраструктуры X-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Road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которая помогла сохранить непрерывность государственных функций при ограничении физического взаимодействия. В период пандемии 99% государственных услуг оставались доступны онлайн, а </w:t>
      </w:r>
      <w:r w:rsidR="00915457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правительство просто запустило новые сервисы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упрощённые процедуры регистрации браков, рождений</w:t>
      </w:r>
      <w:r w:rsidR="00915457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обращений за пособиями через e-ID и X-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Road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Кризис 2022 года обнажил пределы эстонской модели. Отказ от российских энергоносителей и высокая чувствительность к региональным энергетическим рынкам обернулись падением ВВП на 1,3% и инф</w:t>
      </w:r>
      <w:r w:rsidR="00915457">
        <w:rPr>
          <w:rFonts w:ascii="Times New Roman" w:hAnsi="Times New Roman" w:cs="Times New Roman"/>
          <w:sz w:val="28"/>
          <w:szCs w:val="28"/>
          <w:lang w:val="ru-RU"/>
        </w:rPr>
        <w:t>ляцией, превысившей 19% по HICP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2"/>
      </w:r>
      <w:r w:rsidR="0091545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Это подтверждает вывод первой главы: цифровая зрелость смягчает шоки мобильности и информационной асимметрии, но не закрывает структурную уязвимость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к энергетическим и ценовым потрясениям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>. План восстановления и устойчивости Эстонии, утверждённый в 2021 году, предусматривал 953,3 млн евро, или около 3,4% ВВП 2019 года; 21,5% ресурсов направлено на цифровую трансформацию</w:t>
      </w:r>
      <w:r w:rsidR="00915457">
        <w:rPr>
          <w:rFonts w:ascii="Times New Roman" w:hAnsi="Times New Roman" w:cs="Times New Roman"/>
          <w:sz w:val="28"/>
          <w:szCs w:val="28"/>
          <w:lang w:val="ru-RU"/>
        </w:rPr>
        <w:t>, 41,5% на климатические цели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3"/>
      </w:r>
      <w:r w:rsidR="0091545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Адаптация Эстонии была направлена сразу на два блока рисков - цифровой и энергетико-климатический.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Реакция Республики Корея. Среди рассматриваемых стран Корея прошла 2020 год мягче всех: ВВП снизился лишь на 0,7%, а докризисный уровень активности восстановился уже к маю 2021 года. В 202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 xml:space="preserve">1 году рост ВВП составил 4,6%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наибо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е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высокий показатель за одиннадцать лет, обусловленный устойчивым внешним спросом на полупроводник</w:t>
      </w:r>
      <w:r w:rsidR="00915457">
        <w:rPr>
          <w:rFonts w:ascii="Times New Roman" w:hAnsi="Times New Roman" w:cs="Times New Roman"/>
          <w:sz w:val="28"/>
          <w:szCs w:val="28"/>
          <w:lang w:val="ru-RU"/>
        </w:rPr>
        <w:t>и и потребительскую электронику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4"/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Мягкость спада объясняется тремя факторами: эффективной системой цифрового отслеживания контактов, масштабным фискальным стимулированием в рамках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Korean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Deal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устойчивостью экспортных ИКТ-секторов на фоне роста глобальног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о спроса на цифровые технологии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5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 2022 году Республика Корея сохранила положительный рост ВВП на уровне 2,7%, тогда как ряд европейских экономик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силь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>нр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ощутил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последствия энергетического кризиса. Инфляция достигла пика в 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 xml:space="preserve">июле 2022 года на уровне 6,3%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максимум с ноября 1998 года, однако этот показатель оставался ниже уровне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й большинства европейских стран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6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2023 году прогноз роста был снижен до 1,4%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замедление экспортного цикла полупроводников дало о себе знать. В этом контексте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Deal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выступил не только инструментом краткосрочной стабилизации в период пандемии, но и механизмом укрепления долгосрочной конкурентоспособности экономики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7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Это подтверждается подъёмом Кореи в рейтинге цифр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 xml:space="preserve">овой </w:t>
      </w:r>
      <w:proofErr w:type="spellStart"/>
      <w:r w:rsidR="007200F4">
        <w:rPr>
          <w:rFonts w:ascii="Times New Roman" w:hAnsi="Times New Roman" w:cs="Times New Roman"/>
          <w:sz w:val="28"/>
          <w:szCs w:val="28"/>
          <w:lang w:val="ru-RU"/>
        </w:rPr>
        <w:t>конкурентоспасобности</w:t>
      </w:r>
      <w:proofErr w:type="spellEnd"/>
      <w:r w:rsidR="007200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7200F4">
        <w:rPr>
          <w:rFonts w:ascii="Times New Roman" w:hAnsi="Times New Roman" w:cs="Times New Roman"/>
          <w:sz w:val="28"/>
          <w:szCs w:val="28"/>
          <w:lang w:val="ru-RU"/>
        </w:rPr>
        <w:t>IMD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10-го места в 2019 году на 8-е в 2020-м.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Реакция Сингапура. В 2020 году экономика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 xml:space="preserve"> Сингапура сократилась на 3,9%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высокая зависимость от международной торговли, туризма и трансграничной мобильности дала о себе знать. Однако уже в 2021 году ВВП вырос н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>а 7,6%, а в 2022 году на 3,6%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8"/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Важную роль сыграла быстрая мобилизация цифровой инфраструктуры. В марте 2020 года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GovTech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за восемь недель разра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>ботал и запустил (</w:t>
      </w:r>
      <w:proofErr w:type="spellStart"/>
      <w:r w:rsidR="007200F4">
        <w:rPr>
          <w:rFonts w:ascii="Times New Roman" w:hAnsi="Times New Roman" w:cs="Times New Roman"/>
          <w:sz w:val="28"/>
          <w:szCs w:val="28"/>
          <w:lang w:val="ru-RU"/>
        </w:rPr>
        <w:t>TraceTogether</w:t>
      </w:r>
      <w:proofErr w:type="spellEnd"/>
      <w:r w:rsidR="007200F4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первое в мире национальное приложение для отслеживания контактов; к началу 2022 года в нём было зарегистриров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>ано более 6,2 млн пользователей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9"/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TraceTogether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позволило сократить время между выявлением случая заболевания и установлением близких контактов с четырёх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д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>ней до менее чем пол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тора суток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0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638E3">
        <w:rPr>
          <w:rFonts w:ascii="Times New Roman" w:hAnsi="Times New Roman" w:cs="Times New Roman"/>
          <w:sz w:val="28"/>
          <w:szCs w:val="28"/>
          <w:lang w:val="ru-RU"/>
        </w:rPr>
        <w:t>Одновремен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цифровые системы обеспечили быструю реализацию бюджетной поддержки. В 2020 году правительство Сингапура объявило четыре пакета фискального стимулирования общим объёмом более 20% ВВП 2019 года, включая субсидии на заработную плату до 75% от первых 4600 сингапурских долларов и д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енежные переводы домохозяйствам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1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Singpass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пл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>атёжная инфраструктура позволили точнее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направлять поддержку, сокращая временные лаги фискальной трансмиссии. В 2022 году инфляция в Си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 xml:space="preserve">нгапуре достигла 6,1%, что </w:t>
      </w:r>
      <w:proofErr w:type="spellStart"/>
      <w:r w:rsidR="007638E3">
        <w:rPr>
          <w:rFonts w:ascii="Times New Roman" w:hAnsi="Times New Roman" w:cs="Times New Roman"/>
          <w:sz w:val="28"/>
          <w:szCs w:val="28"/>
          <w:lang w:val="ru-RU"/>
        </w:rPr>
        <w:t>потр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бовало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нескольких раундов денежно-кредитного ужесточения со стороны Денежно-кредитного управления Сингапура.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Реакция Польши. В 2020 году эконом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 xml:space="preserve">ика Польши сократилась на 2,0%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один из наиболее мягких спадов в ЕС, значительно лучше среднего по союзу (-6,1%).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2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2021 году рост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 xml:space="preserve"> ВВП составил 5,9%, а в 2022-м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4,9%, несмотря на войну в Украине, э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нергетический кризис и инфляцию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3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Такая устойчивость объясняется несколькими факторами: крупным внутренним рынком, диверсифицированной структурой экономики, гибким обменным курсом злотого и антикризисным пакетом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Tarcza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Antykryzysowa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объёмом около 55 млрд долларов. Цифровой компонент тоже имел значение: расширение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mObywatel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, интеграция электронных рецептов и цифровых водительских удостоверений в 2020 году помогли сохранить часть административных процедур в дистанционном формате.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Кризис 2022 года показал более высокую чувствительность Польши к энергетическому и инфляционному шоку. Зависимость от угольной энергетики 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 xml:space="preserve">это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одна из 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 xml:space="preserve">самых высоких среди стран МЭА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и доля ископаемого топлива на уровне 85% общего энергоснабжения в 2020 году создавали структурную уязвимость. Дополнительное давление добавили близость к зоне конфликта и значительный приток украинских беженцев. Инфляция достигла 18,4% в феврале 2023 года.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4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Для смягчения последствий правительство ввело Антиинфляционный щит: снижение НДС на электроэне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>ргию с 23% до 5%, на отопление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 23% до 8%, а также снижение НДС и акцизов на топливо; общая стоимос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ть мер составила около 2,1% ВВП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5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Сравнение польского и эстонского кейсов п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>одтверждает одну и ту же логику,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цифровая зрелость смягчает шоки мобильности и административных ограничений, но не закрывает структурную уязвимость к энергетическим и ценовым потрясениям.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Сравнительный синтез. Сопоставление траекторий четырёх экономик за 2020-2022 годы даёт несколько важных выводов. Во-первых, в период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пандемийного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шока 2020 года все четыре страны показали более мягкое падение ВВП чем средний показатель по ЕС: в Республике Корея снижение сос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>тавило 0,7%, в Польше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- 2,0%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>, в Эстонии - 3,0%, в Сингапуре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3,9%, тогда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 xml:space="preserve"> как средний спад по ЕС достиг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6,1%. Это говорит о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том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высокий уровень цифровой зрелости может повышать устойчивость экономик к шокам связанным с ограничением физической мобильно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 xml:space="preserve">сти и </w:t>
      </w:r>
      <w:proofErr w:type="spellStart"/>
      <w:r w:rsidR="007638E3">
        <w:rPr>
          <w:rFonts w:ascii="Times New Roman" w:hAnsi="Times New Roman" w:cs="Times New Roman"/>
          <w:sz w:val="28"/>
          <w:szCs w:val="28"/>
          <w:lang w:val="ru-RU"/>
        </w:rPr>
        <w:t>админ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стративных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процессов. Во-вторых, в 2021 году все четыре страны показали быстрое восстановление: наиболее высокие темпы роста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 xml:space="preserve"> у Эстонии -8,6% и Сингапура 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7,6%, тогда как Польша выросл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 xml:space="preserve">а на 5,9%, а Республика Корея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на 4,6%.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6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Такая динамика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показывает что цифровая инфраструктура могла поддержать восстановление деловой активности, 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 xml:space="preserve">государственных сервисов и </w:t>
      </w:r>
      <w:proofErr w:type="spellStart"/>
      <w:r w:rsidR="007638E3">
        <w:rPr>
          <w:rFonts w:ascii="Times New Roman" w:hAnsi="Times New Roman" w:cs="Times New Roman"/>
          <w:sz w:val="28"/>
          <w:szCs w:val="28"/>
          <w:lang w:val="ru-RU"/>
        </w:rPr>
        <w:t>потри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бительского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спроса. Динамика реального ВВП четырёх стран в сопоставлении со средним показателем по ЕС за 2019-2022 го</w:t>
      </w:r>
      <w:r w:rsidR="00E23D01">
        <w:rPr>
          <w:rFonts w:ascii="Times New Roman" w:hAnsi="Times New Roman" w:cs="Times New Roman"/>
          <w:sz w:val="28"/>
          <w:szCs w:val="28"/>
          <w:lang w:val="ru-RU"/>
        </w:rPr>
        <w:t>ды представлена на рисунке 2.1.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Рисунок 2.1 Динамика реального валового внутреннего продукта в Эстонии, Республике Корея, Сингапуре и Польше в сопоставлении со средним показателем по Европейскому союзу, 2019-2022 гг., % Источник: составлено автором по данным IMF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World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Economic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Outlook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April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2024),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Eurostat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В-третьих, энергетический и инфляционный шок 2022 года обнажил пределы цифровой зрелости. Она могла поддерживать государственные сервисы, б</w:t>
      </w:r>
      <w:r w:rsidR="00627AAF">
        <w:rPr>
          <w:rFonts w:ascii="Times New Roman" w:hAnsi="Times New Roman" w:cs="Times New Roman"/>
          <w:sz w:val="28"/>
          <w:szCs w:val="28"/>
          <w:lang w:val="ru-RU"/>
        </w:rPr>
        <w:t xml:space="preserve">изнес-процессы и </w:t>
      </w:r>
      <w:proofErr w:type="gramStart"/>
      <w:r w:rsidR="00627AAF">
        <w:rPr>
          <w:rFonts w:ascii="Times New Roman" w:hAnsi="Times New Roman" w:cs="Times New Roman"/>
          <w:sz w:val="28"/>
          <w:szCs w:val="28"/>
          <w:lang w:val="ru-RU"/>
        </w:rPr>
        <w:t>коммуникации</w:t>
      </w:r>
      <w:proofErr w:type="gramEnd"/>
      <w:r w:rsidR="00627AAF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но не устраняла ценовые уязвимости связанные со структурой энергетики и внешними рынками. Поэтому Эстония и Польша, более зависимые от ископаемого топлива и региональных энергетических рисков, столкнулись с более высокой инфляцией чем Республика Корея</w:t>
      </w:r>
      <w:r w:rsidR="0022556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Сингапур. Сопоставление пиковых значений потребительской инфля</w:t>
      </w:r>
      <w:bookmarkStart w:id="0" w:name="_GoBack"/>
      <w:bookmarkEnd w:id="0"/>
      <w:r w:rsidRPr="000E5726">
        <w:rPr>
          <w:rFonts w:ascii="Times New Roman" w:hAnsi="Times New Roman" w:cs="Times New Roman"/>
          <w:sz w:val="28"/>
          <w:szCs w:val="28"/>
          <w:lang w:val="ru-RU"/>
        </w:rPr>
        <w:t>ции четырёх стран представлено на рисунке 2.2.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Рисунок 2.2 Пиковые значения потребительской инфляции в Эстонии, Польше, Республике Корея и Сингапуре в 2022 году, % Источник: составлено автором по данным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Eurostat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(HICP),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Bank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of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Korea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Monetary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Authority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of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Singapore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В-четвёртых, во всех четырёх странах значительную роль сыграли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фискальные меры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реализованные с опорой на цифровую инфраструктуру. Их масштаб различался - от 2,1% ВВП в Польше до более чем 20% ВВП в Сингапуре. Это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показывает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цифровая инфраструктура важна не только для развития электронного государства, но и для более быстрой передачи антикризисной поддержки населению и бизнесу.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Полученные наблюдения создают основу для количественного анализа. Для проверки выявленных закономерностей нужно перейти от описательного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сравнения стран к статистической оценке связи между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цифровизацией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показателями устойчивости национальных экономик. Поэтому следующий параграф посвящён эконометрическому моделированию на панельных данных за 2010-2023 годы.</w:t>
      </w:r>
    </w:p>
    <w:p w:rsidR="00E23D01" w:rsidRPr="000E5726" w:rsidRDefault="00E23D01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b/>
          <w:sz w:val="28"/>
          <w:szCs w:val="28"/>
          <w:lang w:val="ru-RU"/>
        </w:rPr>
        <w:t xml:space="preserve">2.3. Эконометрическая оценка влияния </w:t>
      </w:r>
      <w:proofErr w:type="spellStart"/>
      <w:r w:rsidRPr="000E5726">
        <w:rPr>
          <w:rFonts w:ascii="Times New Roman" w:hAnsi="Times New Roman" w:cs="Times New Roman"/>
          <w:b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на устойчивость национальных экономик на основе панельных данных</w:t>
      </w:r>
    </w:p>
    <w:p w:rsidR="00C02A16" w:rsidRPr="000E5726" w:rsidRDefault="00C02A16" w:rsidP="00C02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Сравнительный анализ четырёх стран в параграфе 2.1 и оценка их реакции на кризисы 2020 и 2022 годов в параграфе 2.2 показали общую закономерность: экономики с более высоким уровнем цифровой зрелости проходили кризисные периоды мягче и быстрее возвращались к росту. В этом параграфе наблюдение проверяется количественно с использованием эконометрической модели на панельных данных. Количественная проверка выдвинутых гипотез проведена на несбалансированной панели 49 стран за период 2010-2024 годов с использованием данных Всемирного банка (</w:t>
      </w:r>
      <w:r w:rsidRPr="000E5726">
        <w:rPr>
          <w:rFonts w:ascii="Times New Roman" w:hAnsi="Times New Roman" w:cs="Times New Roman"/>
          <w:sz w:val="28"/>
          <w:szCs w:val="28"/>
        </w:rPr>
        <w:t>World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Development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Indicators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7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Исследование строится на двух гипотезах. Основная гипотеза (</w:t>
      </w:r>
      <w:r w:rsidRPr="000E5726">
        <w:rPr>
          <w:rFonts w:ascii="Times New Roman" w:hAnsi="Times New Roman" w:cs="Times New Roman"/>
          <w:sz w:val="28"/>
          <w:szCs w:val="28"/>
        </w:rPr>
        <w:t>H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₁)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предполагает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уровень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национальной экономики, выраженный через долю интернет-пользователей, положительно связан с ВВП на душу населения и может смягчать негативное влияние глобальных кризисов. Вспомогательная гипотеза (</w:t>
      </w:r>
      <w:r w:rsidRPr="000E5726">
        <w:rPr>
          <w:rFonts w:ascii="Times New Roman" w:hAnsi="Times New Roman" w:cs="Times New Roman"/>
          <w:sz w:val="28"/>
          <w:szCs w:val="28"/>
        </w:rPr>
        <w:t>H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₂) состоит в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том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сила и статистическая значимость этого эффекта различаются между тремя группами стран - развитыми, переходными и развивающимися экономиками.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Выборка включает 49 стран, классифицированных на три группы в соответствии с критериями Всемирного банка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8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методологией ЮНКТАД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9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: 22 развитых экономики ОЭСР с высоким доходом (ВВП на душу свыше 25 тысяч долларов в ценах 2015 года), 16 переходных экономик (постсоветские и постсоциалистические страны со средним доходом, включая Эстонию, Польшу, Казахстан и Турцию) и 11 развивающихся экономик с низким и нижне-средним доходом (включая Узбекистан, Китай, Индию, Бразилию). После исключения наблюдений с пропущенными значениями итоговая панель содержит 707 наблюдений: 330 - по группе развитых стран, 233 - по переходным экономикам и 144 - по развивающимся.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Зависимая переменная - натуральный логарифм ВВП на душу населения в постоянных ценах 2015 года (</w:t>
      </w:r>
      <w:r w:rsidRPr="000E5726">
        <w:rPr>
          <w:rFonts w:ascii="Times New Roman" w:hAnsi="Times New Roman" w:cs="Times New Roman"/>
          <w:sz w:val="28"/>
          <w:szCs w:val="28"/>
        </w:rPr>
        <w:t>NY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GDP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PCAP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KD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). Основной регрессор - логарифм доли интернет-пользователей (</w:t>
      </w:r>
      <w:r w:rsidRPr="000E5726">
        <w:rPr>
          <w:rFonts w:ascii="Times New Roman" w:hAnsi="Times New Roman" w:cs="Times New Roman"/>
          <w:sz w:val="28"/>
          <w:szCs w:val="28"/>
        </w:rPr>
        <w:t>IT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NET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USER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ZS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). Контрольные переменные включают логарифм валового накопления основного капитала (</w:t>
      </w:r>
      <w:r w:rsidRPr="000E5726">
        <w:rPr>
          <w:rFonts w:ascii="Times New Roman" w:hAnsi="Times New Roman" w:cs="Times New Roman"/>
          <w:sz w:val="28"/>
          <w:szCs w:val="28"/>
        </w:rPr>
        <w:t>NE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GDI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FTOT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ZS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), инфляцию (</w:t>
      </w:r>
      <w:r w:rsidRPr="000E5726">
        <w:rPr>
          <w:rFonts w:ascii="Times New Roman" w:hAnsi="Times New Roman" w:cs="Times New Roman"/>
          <w:sz w:val="28"/>
          <w:szCs w:val="28"/>
        </w:rPr>
        <w:t>FP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CPI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TOTL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ZG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), безработицу (</w:t>
      </w:r>
      <w:r w:rsidRPr="000E5726">
        <w:rPr>
          <w:rFonts w:ascii="Times New Roman" w:hAnsi="Times New Roman" w:cs="Times New Roman"/>
          <w:sz w:val="28"/>
          <w:szCs w:val="28"/>
        </w:rPr>
        <w:t>SL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UEM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TOTL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ZS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) и долю экспорта высокотехнологичных товаров (</w:t>
      </w:r>
      <w:r w:rsidRPr="000E5726">
        <w:rPr>
          <w:rFonts w:ascii="Times New Roman" w:hAnsi="Times New Roman" w:cs="Times New Roman"/>
          <w:sz w:val="28"/>
          <w:szCs w:val="28"/>
        </w:rPr>
        <w:t>TX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VAL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TECH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MF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ZS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). Кризисные периоды идентифицированы через две раздельные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дамми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-переменные: </w:t>
      </w:r>
      <w:r w:rsidRPr="000E5726">
        <w:rPr>
          <w:rFonts w:ascii="Times New Roman" w:hAnsi="Times New Roman" w:cs="Times New Roman"/>
          <w:sz w:val="28"/>
          <w:szCs w:val="28"/>
        </w:rPr>
        <w:t>Crisis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COVID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(2020 год) и </w:t>
      </w:r>
      <w:r w:rsidRPr="000E5726">
        <w:rPr>
          <w:rFonts w:ascii="Times New Roman" w:hAnsi="Times New Roman" w:cs="Times New Roman"/>
          <w:sz w:val="28"/>
          <w:szCs w:val="28"/>
        </w:rPr>
        <w:t>Crisis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Geo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(2022 год). Включение </w:t>
      </w:r>
      <w:r w:rsidRPr="000E5726">
        <w:rPr>
          <w:rFonts w:ascii="Times New Roman" w:hAnsi="Times New Roman" w:cs="Times New Roman"/>
          <w:sz w:val="28"/>
          <w:szCs w:val="28"/>
        </w:rPr>
        <w:t>interaction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terms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log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internet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× </w:t>
      </w:r>
      <w:r w:rsidRPr="000E5726">
        <w:rPr>
          <w:rFonts w:ascii="Times New Roman" w:hAnsi="Times New Roman" w:cs="Times New Roman"/>
          <w:sz w:val="28"/>
          <w:szCs w:val="28"/>
        </w:rPr>
        <w:t>Crisis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COVID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0E5726">
        <w:rPr>
          <w:rFonts w:ascii="Times New Roman" w:hAnsi="Times New Roman" w:cs="Times New Roman"/>
          <w:sz w:val="28"/>
          <w:szCs w:val="28"/>
        </w:rPr>
        <w:t>log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internet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× </w:t>
      </w:r>
      <w:r w:rsidRPr="000E5726">
        <w:rPr>
          <w:rFonts w:ascii="Times New Roman" w:hAnsi="Times New Roman" w:cs="Times New Roman"/>
          <w:sz w:val="28"/>
          <w:szCs w:val="28"/>
        </w:rPr>
        <w:t>Crisis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Geo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тестировать гипотезу о дифференциальном антикризисном эффекте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. Спецификация модели оценивается отдельно для каждой из трёх групп стран.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Описательная статистика по группам стран представлена в таблице 2.2 и показывает заметные различия по основным переменным модели. Средний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логарифм ВВП на душу населения составляет 10,694 в группе развитых стран, 9,153 в переходных и 8,480 в развивающихся - что соответствует примерно 44 000, 9 400 и 4 800 долларов соответственно. Средний уровень интернет-проникновения равен 86,8%, 72,4% и 55,6%, а средняя инфляция в развивающихся экономиках (4,76%) заметно выше чем в развитых странах (2,06%). Распределение переменных на рисунке 2.3 в виде диаграмм размаха также подтверждает различия между группами и обосновывает необходимость раздельного эконометрического анализа.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Таблица 2.2 - Описательная статистика основных переменных модели по группам стран Источник: составлено автором на основе данных Всемирного банка и результатов обработки в </w:t>
      </w:r>
      <w:r w:rsidRPr="000E5726">
        <w:rPr>
          <w:rFonts w:ascii="Times New Roman" w:hAnsi="Times New Roman" w:cs="Times New Roman"/>
          <w:sz w:val="28"/>
          <w:szCs w:val="28"/>
        </w:rPr>
        <w:t>R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Studio</w:t>
      </w:r>
      <w:r w:rsidR="00E23D0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Рисунок 2.3 - </w:t>
      </w:r>
      <w:r w:rsidRPr="000E5726">
        <w:rPr>
          <w:rFonts w:ascii="Times New Roman" w:hAnsi="Times New Roman" w:cs="Times New Roman"/>
          <w:sz w:val="28"/>
          <w:szCs w:val="28"/>
        </w:rPr>
        <w:t>Boxplot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-распределение переменных эконометрической модели по группам стран Источник: составлено автором на основе результатов эконометрического моделирования в </w:t>
      </w:r>
      <w:r w:rsidRPr="000E5726">
        <w:rPr>
          <w:rFonts w:ascii="Times New Roman" w:hAnsi="Times New Roman" w:cs="Times New Roman"/>
          <w:sz w:val="28"/>
          <w:szCs w:val="28"/>
        </w:rPr>
        <w:t>R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Studio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Необходимость раздельной оценки по группам стран подтверждается тестом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Чоу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структурную однородность - результаты представлены в таблице 2.3. Значение </w:t>
      </w:r>
      <w:r w:rsidRPr="000E5726">
        <w:rPr>
          <w:rFonts w:ascii="Times New Roman" w:hAnsi="Times New Roman" w:cs="Times New Roman"/>
          <w:sz w:val="28"/>
          <w:szCs w:val="28"/>
        </w:rPr>
        <w:t>F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-статистики составило 5,3377 (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₁ = 18;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₂ = 631;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1,151 × 10⁻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¹¹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), что позволяет отвергнуть нулевую гипотезу об одинаковости коэффициентов между тремя группами стран на уровне значимости менее 0,001. Иными словами, оценка единой модели по всей выборке дала бы смещённую интерпретацию результатов - параметры влияния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экономический рост реально различаются между развитыми, переходными и развивающимися экономиками.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Таблица 2.3 - Результаты теста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Чоу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структурную однородность между группами стран Источник: составлено автором на основе результатов эконометрического моделирования в </w:t>
      </w:r>
      <w:r w:rsidRPr="000E5726">
        <w:rPr>
          <w:rFonts w:ascii="Times New Roman" w:hAnsi="Times New Roman" w:cs="Times New Roman"/>
          <w:sz w:val="28"/>
          <w:szCs w:val="28"/>
        </w:rPr>
        <w:t>R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Studio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Выбор между моделями с фиксированными (</w:t>
      </w:r>
      <w:r w:rsidRPr="000E5726">
        <w:rPr>
          <w:rFonts w:ascii="Times New Roman" w:hAnsi="Times New Roman" w:cs="Times New Roman"/>
          <w:sz w:val="28"/>
          <w:szCs w:val="28"/>
        </w:rPr>
        <w:t>FE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) и случайными (</w:t>
      </w:r>
      <w:r w:rsidRPr="000E5726">
        <w:rPr>
          <w:rFonts w:ascii="Times New Roman" w:hAnsi="Times New Roman" w:cs="Times New Roman"/>
          <w:sz w:val="28"/>
          <w:szCs w:val="28"/>
        </w:rPr>
        <w:t>RE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 эффектами был сделан на основе теста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Хаусмана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дополнительной теоретической аргументации. Формальный тест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Хаусмана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для группы развитых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стран (</w:t>
      </w:r>
      <w:r w:rsidRPr="000E5726">
        <w:rPr>
          <w:rFonts w:ascii="Times New Roman" w:hAnsi="Times New Roman" w:cs="Times New Roman"/>
          <w:sz w:val="28"/>
          <w:szCs w:val="28"/>
        </w:rPr>
        <w:t>χ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4,576;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0,87) и переходных экономик (</w:t>
      </w:r>
      <w:r w:rsidRPr="000E5726">
        <w:rPr>
          <w:rFonts w:ascii="Times New Roman" w:hAnsi="Times New Roman" w:cs="Times New Roman"/>
          <w:sz w:val="28"/>
          <w:szCs w:val="28"/>
        </w:rPr>
        <w:t>χ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1,363;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0,998) указывает на допустимость </w:t>
      </w:r>
      <w:r w:rsidRPr="000E5726">
        <w:rPr>
          <w:rFonts w:ascii="Times New Roman" w:hAnsi="Times New Roman" w:cs="Times New Roman"/>
          <w:sz w:val="28"/>
          <w:szCs w:val="28"/>
        </w:rPr>
        <w:t>RE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-модели.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0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группе развивающихся экономик </w:t>
      </w:r>
      <w:r w:rsidRPr="000E5726">
        <w:rPr>
          <w:rFonts w:ascii="Times New Roman" w:hAnsi="Times New Roman" w:cs="Times New Roman"/>
          <w:sz w:val="28"/>
          <w:szCs w:val="28"/>
        </w:rPr>
        <w:t>RE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-модель не была идентифицирована из-за сингулярной матрицы - это связано с небольшим размером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подвыборки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: 144 наблюдения на 11 стран при 9 переменных. Тем не менее во всех трёх группах используется </w:t>
      </w:r>
      <w:r w:rsidRPr="000E5726">
        <w:rPr>
          <w:rFonts w:ascii="Times New Roman" w:hAnsi="Times New Roman" w:cs="Times New Roman"/>
          <w:sz w:val="28"/>
          <w:szCs w:val="28"/>
        </w:rPr>
        <w:t>FE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-модель. Во-первых, это обеспечивает сопоставимость результатов между группами. Во-вторых,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страновая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гетерогенность - качество институтов, географическое положение, историческая траектория развития - с высокой вероятностью коррелирует с уровнем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что делает </w:t>
      </w:r>
      <w:r w:rsidRPr="000E5726">
        <w:rPr>
          <w:rFonts w:ascii="Times New Roman" w:hAnsi="Times New Roman" w:cs="Times New Roman"/>
          <w:sz w:val="28"/>
          <w:szCs w:val="28"/>
        </w:rPr>
        <w:t>FE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состоятельным, а </w:t>
      </w:r>
      <w:r w:rsidRPr="000E5726">
        <w:rPr>
          <w:rFonts w:ascii="Times New Roman" w:hAnsi="Times New Roman" w:cs="Times New Roman"/>
          <w:sz w:val="28"/>
          <w:szCs w:val="28"/>
        </w:rPr>
        <w:t>RE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несостоятельным. В-третьих, диагностика остатков показала чувствительность теста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Хаусмана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гетероскедастичности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что может завышать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</w:rPr>
        <w:t>value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. В-четвёртых, в панельных исследованиях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межстрановых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различий в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модель с фиксированными эффектами является более надёжным выбором.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Диагностика остатков проводилась отдельно для каждой группы стран. Тест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Бройша-Пагана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выявил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гетероскедастичность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группах развитых экономик (</w:t>
      </w:r>
      <w:r w:rsidRPr="000E5726">
        <w:rPr>
          <w:rFonts w:ascii="Times New Roman" w:hAnsi="Times New Roman" w:cs="Times New Roman"/>
          <w:sz w:val="28"/>
          <w:szCs w:val="28"/>
        </w:rPr>
        <w:t>BP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87,210;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5,9 × 10⁻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¹⁵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) и переходных экономик (</w:t>
      </w:r>
      <w:r w:rsidRPr="000E5726">
        <w:rPr>
          <w:rFonts w:ascii="Times New Roman" w:hAnsi="Times New Roman" w:cs="Times New Roman"/>
          <w:sz w:val="28"/>
          <w:szCs w:val="28"/>
        </w:rPr>
        <w:t>BP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38,888;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1,21 × 10⁻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), тогда как в группе развивающихся стран гомоскедастичность не отвергается (</w:t>
      </w:r>
      <w:r w:rsidRPr="000E5726">
        <w:rPr>
          <w:rFonts w:ascii="Times New Roman" w:hAnsi="Times New Roman" w:cs="Times New Roman"/>
          <w:sz w:val="28"/>
          <w:szCs w:val="28"/>
        </w:rPr>
        <w:t>BP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11,790;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0,225). Тест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Вулдриджа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показал наличие серийной автокорреляции во всех трёх группах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&lt; 2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× 10⁻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¹⁶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). Выявленная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гетероскедастичность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автокорреляция обосновывают применение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кластеризованных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 странам стандартных ошибок </w:t>
      </w:r>
      <w:r w:rsidRPr="000E5726">
        <w:rPr>
          <w:rFonts w:ascii="Times New Roman" w:hAnsi="Times New Roman" w:cs="Times New Roman"/>
          <w:sz w:val="28"/>
          <w:szCs w:val="28"/>
        </w:rPr>
        <w:t>HC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1 во всех спецификациях модели.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1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Итоговые результаты оценки </w:t>
      </w:r>
      <w:r w:rsidRPr="000E5726">
        <w:rPr>
          <w:rFonts w:ascii="Times New Roman" w:hAnsi="Times New Roman" w:cs="Times New Roman"/>
          <w:sz w:val="28"/>
          <w:szCs w:val="28"/>
        </w:rPr>
        <w:t>FE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-моделей представлены в таблице 2.4.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Таблица 2.4 - Результаты оценки </w:t>
      </w:r>
      <w:r w:rsidRPr="000E5726">
        <w:rPr>
          <w:rFonts w:ascii="Times New Roman" w:hAnsi="Times New Roman" w:cs="Times New Roman"/>
          <w:sz w:val="28"/>
          <w:szCs w:val="28"/>
        </w:rPr>
        <w:t>FE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-моделей по группам стран Источник: составлено автором на основе результатов эконометрического моделирования в </w:t>
      </w:r>
      <w:r w:rsidRPr="000E5726">
        <w:rPr>
          <w:rFonts w:ascii="Times New Roman" w:hAnsi="Times New Roman" w:cs="Times New Roman"/>
          <w:sz w:val="28"/>
          <w:szCs w:val="28"/>
        </w:rPr>
        <w:t>R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Studio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Результаты </w:t>
      </w:r>
      <w:r w:rsidRPr="000E5726">
        <w:rPr>
          <w:rFonts w:ascii="Times New Roman" w:hAnsi="Times New Roman" w:cs="Times New Roman"/>
          <w:sz w:val="28"/>
          <w:szCs w:val="28"/>
        </w:rPr>
        <w:t>FE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-модели для группы развитых стран (22 страны, 330 наблюдений)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показывают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влияет как на общий уровень экономического роста, так и на реакцию экономики в кризисные периоды. Коэффициент при </w:t>
      </w:r>
      <w:r w:rsidRPr="000E5726">
        <w:rPr>
          <w:rFonts w:ascii="Times New Roman" w:hAnsi="Times New Roman" w:cs="Times New Roman"/>
          <w:sz w:val="28"/>
          <w:szCs w:val="28"/>
        </w:rPr>
        <w:t>log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internet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составил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0,2117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0,050) - это указывает на положительную эластичность: рост интернет-проникновения на 1% связан с увеличением ВВП на душу населения примерно на 0,21% при прочих равных условиях. Коэффициент при </w:t>
      </w:r>
      <w:r w:rsidRPr="000E5726">
        <w:rPr>
          <w:rFonts w:ascii="Times New Roman" w:hAnsi="Times New Roman" w:cs="Times New Roman"/>
          <w:sz w:val="28"/>
          <w:szCs w:val="28"/>
        </w:rPr>
        <w:t>Crisis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COVID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равен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-1,7942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0,002), что отражает значительное отрицательное воздействие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пандемийного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шока. При этом </w:t>
      </w:r>
      <w:r w:rsidRPr="000E5726">
        <w:rPr>
          <w:rFonts w:ascii="Times New Roman" w:hAnsi="Times New Roman" w:cs="Times New Roman"/>
          <w:sz w:val="28"/>
          <w:szCs w:val="28"/>
        </w:rPr>
        <w:t>interaction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term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log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internet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× </w:t>
      </w:r>
      <w:r w:rsidRPr="000E5726">
        <w:rPr>
          <w:rFonts w:ascii="Times New Roman" w:hAnsi="Times New Roman" w:cs="Times New Roman"/>
          <w:sz w:val="28"/>
          <w:szCs w:val="28"/>
        </w:rPr>
        <w:t>Crisis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COVID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положителен и статистически значим: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0,3940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0,003) - это говорит о смягчающей роли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период пандемии.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Аналогично</w:t>
      </w:r>
      <w:proofErr w:type="spellEnd"/>
      <w:r w:rsidRPr="000E5726">
        <w:rPr>
          <w:rFonts w:ascii="Times New Roman" w:hAnsi="Times New Roman" w:cs="Times New Roman"/>
          <w:sz w:val="28"/>
          <w:szCs w:val="28"/>
        </w:rPr>
        <w:t xml:space="preserve">, interaction term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log_internet</w:t>
      </w:r>
      <w:proofErr w:type="spellEnd"/>
      <w:r w:rsidRPr="000E5726">
        <w:rPr>
          <w:rFonts w:ascii="Times New Roman" w:hAnsi="Times New Roman" w:cs="Times New Roman"/>
          <w:sz w:val="28"/>
          <w:szCs w:val="28"/>
        </w:rPr>
        <w:t xml:space="preserve"> ×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Crisis_Geo</w:t>
      </w:r>
      <w:proofErr w:type="spellEnd"/>
      <w:r w:rsidRPr="000E5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также</w:t>
      </w:r>
      <w:proofErr w:type="spellEnd"/>
      <w:r w:rsidRPr="000E5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значим</w:t>
      </w:r>
      <w:proofErr w:type="spellEnd"/>
      <w:r w:rsidRPr="000E5726">
        <w:rPr>
          <w:rFonts w:ascii="Times New Roman" w:hAnsi="Times New Roman" w:cs="Times New Roman"/>
          <w:sz w:val="28"/>
          <w:szCs w:val="28"/>
        </w:rPr>
        <w:t xml:space="preserve">: β = 0,3943 (p = 0,020).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В развитых странах более высокий уровень интернет-проникновения был связан с меньшим негативным эффектом кризисов 2020 и 2022 годов.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Для группы переходных экономик (16 стран, 233 наблюдения) основной эффект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оказался наиболее выраженным: коэффициент при </w:t>
      </w:r>
      <w:r w:rsidRPr="000E5726">
        <w:rPr>
          <w:rFonts w:ascii="Times New Roman" w:hAnsi="Times New Roman" w:cs="Times New Roman"/>
          <w:sz w:val="28"/>
          <w:szCs w:val="28"/>
        </w:rPr>
        <w:t>log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internet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составил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0,3085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&lt; 0,001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). Рост интернет-проникновения на 1% связан с увеличением ВВП на душу населения примерно на 0,31% при прочих равных условиях. Однако кризисные </w:t>
      </w:r>
      <w:r w:rsidRPr="000E5726">
        <w:rPr>
          <w:rFonts w:ascii="Times New Roman" w:hAnsi="Times New Roman" w:cs="Times New Roman"/>
          <w:sz w:val="28"/>
          <w:szCs w:val="28"/>
        </w:rPr>
        <w:t>interaction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terms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статистически незначимы: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covid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0,1105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0,661),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geo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-0,1252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0,456).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Иными словами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переходных экономиках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выступает скорее устойчивым фактором роста чем подтверждённым антикризисным буфером. Отрицательный знак коэффициента при геополитическом кризисе может быть связан со спецификой выборки - она включает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страны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непосредственно затронутые шоком 2022 года, когда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не могла компенсировать структурные потери от разрыва торговых и энергетических цепочек.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Для группы развивающихся экономик включающей Узбекистан (11 стран, 144 наблюдения), основной эффект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также положителен и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статистически значим: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0,1978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&lt; 0,001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). Рост интернет-проникновения на 1% связан с увеличением ВВП на душу населения примерно на 0,20% при прочих равных условиях. При этом кризисные </w:t>
      </w:r>
      <w:r w:rsidRPr="000E5726">
        <w:rPr>
          <w:rFonts w:ascii="Times New Roman" w:hAnsi="Times New Roman" w:cs="Times New Roman"/>
          <w:sz w:val="28"/>
          <w:szCs w:val="28"/>
        </w:rPr>
        <w:t>interaction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terms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незначимы: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covid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0,0184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0,697),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geo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0,0457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0,641). Такой результат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показывает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при текущем уровне цифровой зрелости развивающихся экономик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уже поддерживает рост, но антикризисного эффекта пока не даёт. Для Узбекистана это означает конкретное: расширение цифрового доступа само по себе работает на рост, но для смягчения внешних шоков нужен более высокий уровень цифровой инфраструктуры, институциональной интеграции и реального использования технологий в бизнесе. Дополнительно стоит учитывать ограничение статистической мощности: 144 наблюдения на 11 стран при 9 переменных снижают вероятность выявления слабых эффектов.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Визуальное сопоставление интернет-проникновения и ВВП на душу населения в кризисные годы представлено на рисунке 2.4. Рисунок дополняет результаты </w:t>
      </w:r>
      <w:r w:rsidRPr="000E5726">
        <w:rPr>
          <w:rFonts w:ascii="Times New Roman" w:hAnsi="Times New Roman" w:cs="Times New Roman"/>
          <w:sz w:val="28"/>
          <w:szCs w:val="28"/>
        </w:rPr>
        <w:t>FE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-моделей: развитые экономики находятся в зоне высоких значений обоих показателей, тогда как переходные и развивающиеся страны демонстрируют более неоднородную траекторию.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Рисунок 2.4 - Взаимосвязь между уровнем интернет-проникновения и ВВП на душу населения в кризисные годы по группам стран Источник: составлено автором на основе результатов эконометрического моделирования в </w:t>
      </w:r>
      <w:r w:rsidRPr="000E5726">
        <w:rPr>
          <w:rFonts w:ascii="Times New Roman" w:hAnsi="Times New Roman" w:cs="Times New Roman"/>
          <w:sz w:val="28"/>
          <w:szCs w:val="28"/>
        </w:rPr>
        <w:t>R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Studio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Полученные коэффициенты позволяют построить условные прогнозные сценарии и сравнить потенциальный эффект дальнейшего роста интернет-проникновения между группами стран. Эти расчёты не являются полноценным макроэкономическим прогнозом - они основаны на предположении </w:t>
      </w:r>
      <w:r w:rsidRPr="000E5726">
        <w:rPr>
          <w:rFonts w:ascii="Times New Roman" w:hAnsi="Times New Roman" w:cs="Times New Roman"/>
          <w:sz w:val="28"/>
          <w:szCs w:val="28"/>
        </w:rPr>
        <w:t>ceteris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paribus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показывают лишь относительный вклад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динамику ВВП на душу населения. Сводные прогнозные значения по трём группам стран на 2025-2030 годы представлены в таблице 2.5. Детальная интерпретация сценария для Узбекистана рассматривается в §3.3.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Таблица 2.5 - Прогноз ВВП на душу населения по группам стран на 2025-2030 годы (</w:t>
      </w:r>
      <w:r w:rsidRPr="000E5726">
        <w:rPr>
          <w:rFonts w:ascii="Times New Roman" w:hAnsi="Times New Roman" w:cs="Times New Roman"/>
          <w:sz w:val="28"/>
          <w:szCs w:val="28"/>
        </w:rPr>
        <w:t>FE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-модели) Источник: составлено автором на основе результатов эконометрического моделирования в </w:t>
      </w:r>
      <w:r w:rsidRPr="000E5726">
        <w:rPr>
          <w:rFonts w:ascii="Times New Roman" w:hAnsi="Times New Roman" w:cs="Times New Roman"/>
          <w:sz w:val="28"/>
          <w:szCs w:val="28"/>
        </w:rPr>
        <w:t>R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Studio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Проведённый эконометрический анализ на несбалансированной панели 49 стран за 2010-2024 годы (707 наблюдений) даёт несколько выводов. Основная гипотеза (</w:t>
      </w:r>
      <w:r w:rsidRPr="000E5726">
        <w:rPr>
          <w:rFonts w:ascii="Times New Roman" w:hAnsi="Times New Roman" w:cs="Times New Roman"/>
          <w:sz w:val="28"/>
          <w:szCs w:val="28"/>
        </w:rPr>
        <w:t>H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₁) подтверждается: коэффициент при </w:t>
      </w:r>
      <w:r w:rsidRPr="000E5726">
        <w:rPr>
          <w:rFonts w:ascii="Times New Roman" w:hAnsi="Times New Roman" w:cs="Times New Roman"/>
          <w:sz w:val="28"/>
          <w:szCs w:val="28"/>
        </w:rPr>
        <w:t>log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internet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положителен и статистически значим во всех трёх группах -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0,212 для развитых,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0,309 для переходных и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0,198 для развивающихся экономик. Вспомогательная гипотеза (</w:t>
      </w:r>
      <w:r w:rsidRPr="000E5726">
        <w:rPr>
          <w:rFonts w:ascii="Times New Roman" w:hAnsi="Times New Roman" w:cs="Times New Roman"/>
          <w:sz w:val="28"/>
          <w:szCs w:val="28"/>
        </w:rPr>
        <w:t>H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₂) также подтверждается - тест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Чоу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отвергает однородность коэффициентов между группами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1,15 × 10⁻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¹¹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), а антикризисные </w:t>
      </w:r>
      <w:r w:rsidRPr="000E5726">
        <w:rPr>
          <w:rFonts w:ascii="Times New Roman" w:hAnsi="Times New Roman" w:cs="Times New Roman"/>
          <w:sz w:val="28"/>
          <w:szCs w:val="28"/>
        </w:rPr>
        <w:t>interaction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terms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значимы только для развитых стран: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covid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0,394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0,003),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geo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0,394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0,020). Для переходных и развивающихся экономик такие эффекты статистически не подтверждаются. В развивающихся странах включая Узбекистан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пока выступает прежде всего фактором роста, но не выполняет функцию макроэкономического стабилизатора. Полученные результаты создают количественную основу для практических рекомендаций, рассматриваемых в параграфах 3.2 и 3.3.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Выводы по второй главе. Анализ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показал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повышает устойчивость национальных экономик, однако её эффект зависит от типа кризиса и уровня цифровой зрелости. В 2020 году Эстония, Республика Корея, Сингапур и Польша показали более мягкое падение ВВП по сравнению со средним по ЕС - это связано с развитием цифрового государства, онлайн-сервисов и механизмов адресной поддержки. Кризис 2022 года показал пределы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: энергетические и геополитические шоки не компенсируются цифровыми технологиями даже при высокой цифровой зрелости. Эконометрика на панели 49 стран подтвердила положительную связь между интернет-проникновением и ВВП на душу населения: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0,2117 для развитых экономик,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0,3085 для переходных и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0,1978 для развивающихся. Тест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Чоу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подтвердил структурные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различия между группами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1,151 × 10⁻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¹¹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). Антикризисный буферный эффект выявлен только у развитых стран: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covid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0,3940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0,003),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geo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0,3943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0,020).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выступает фактором роста во всех группах, но функцию макроэкономического стабилизатора начинает выполнять только при высоком уровне цифровой зрелости. Для Узбекистана вывод конкретный: расширение интернет-проникновения усиливает рост, но для антикризисного эффекта нужна более глубокая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экономики и частного сектора.</w:t>
      </w:r>
    </w:p>
    <w:p w:rsidR="00C02A16" w:rsidRPr="000E5726" w:rsidRDefault="00C02A16" w:rsidP="00C02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0E5726" w:rsidRDefault="00C02A16" w:rsidP="00C02A16">
      <w:pPr>
        <w:pageBreakBefore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ГЛАВА </w:t>
      </w:r>
      <w:r w:rsidRPr="000E5726">
        <w:rPr>
          <w:rFonts w:ascii="Times New Roman" w:hAnsi="Times New Roman" w:cs="Times New Roman"/>
          <w:b/>
          <w:sz w:val="28"/>
          <w:szCs w:val="28"/>
        </w:rPr>
        <w:t>III</w:t>
      </w:r>
      <w:r w:rsidRPr="000E5726">
        <w:rPr>
          <w:rFonts w:ascii="Times New Roman" w:hAnsi="Times New Roman" w:cs="Times New Roman"/>
          <w:b/>
          <w:sz w:val="28"/>
          <w:szCs w:val="28"/>
          <w:lang w:val="ru-RU"/>
        </w:rPr>
        <w:t>. ИСПОЛЬЗОВАНИЕ МЕЖДУНАРОДНОГО ОПЫТА ЦИФРОВИЗАЦИИ В УСЛОВИЯХ РЕСПУБЛИКИ УЗБЕКИСТАН</w:t>
      </w:r>
    </w:p>
    <w:p w:rsidR="00C02A16" w:rsidRPr="000E5726" w:rsidRDefault="00C02A16" w:rsidP="00C02A16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b/>
          <w:sz w:val="28"/>
          <w:szCs w:val="28"/>
          <w:lang w:val="ru-RU"/>
        </w:rPr>
        <w:t>3.1. Современное состояние цифровой трансформации экономики Узбекистана в рамках Стратегии «Цифровой Узбекистан - 2030»</w:t>
      </w:r>
    </w:p>
    <w:p w:rsidR="00C02A16" w:rsidRPr="000E5726" w:rsidRDefault="00C02A16" w:rsidP="00C02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Сравнительный анализ международного опыта из второй главы и модель пяти каналов влияния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устойчивость из первой главы позволяют перейти к оценке текущего состояния цифровой трансформации Республики Узбекистан. Задача этого параграфа - не просто описать государственные программы, а охарактеризовать стартовую позицию национальной экономики по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тем индикаторам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которые использовались при анализе Эстонии, Республики Корея, Сингапура и Польши. Это обеспечивает методологическую сопоставимость и позволяет оценить возможности адаптации международного опыта к условиям Узбекистана.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Стратегия «Цифровой Узбекистан - 2030», утверждённая Указом Президента Республики Узбекистан № УП-6079 от 5 октября 2020 года, определяет основные ориентиры цифровой транс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формации национальной экономики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2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её рамках в 2023-2024 годах реализовывались программы «Цифровое правительство» и «Цифровой регион», включавшие 300 приоритетных проектов, из них 112 - в сфере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государственного управления, 51 - в секторах реальной экономики и 137 - в области реги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ональной цифровой трансформации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3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Стратегия также устанавливает ряд количественных ориентиров: увеличение доли цифровой экономики в ВВП не менее чем в 2,5 раза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 2026 году, расширение экспорта программного обеспечения в 10 раз - до 500 млн долларов США, а также вхождение Узбекистана в число 30 ведущих стран мира по </w:t>
      </w:r>
      <w:r w:rsidRPr="000E5726">
        <w:rPr>
          <w:rFonts w:ascii="Times New Roman" w:hAnsi="Times New Roman" w:cs="Times New Roman"/>
          <w:sz w:val="28"/>
          <w:szCs w:val="28"/>
        </w:rPr>
        <w:t>EGDI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 xml:space="preserve"> к 2030 году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4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Эти ориентиры позволяют оценить насколько фактическая динамика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соответствует заявленным целям.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Оценка международного позиционирования Узбекистана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показывает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страна заметно продвинулась по ряду композитных индексов рассмотренных во второй главе. По данным </w:t>
      </w:r>
      <w:r w:rsidRPr="000E5726">
        <w:rPr>
          <w:rFonts w:ascii="Times New Roman" w:hAnsi="Times New Roman" w:cs="Times New Roman"/>
          <w:sz w:val="28"/>
          <w:szCs w:val="28"/>
        </w:rPr>
        <w:t>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</w:rPr>
        <w:t>Government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Survey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ООН за 2024 год, Узбекистан занял 63-е место среди 193 стран со значением </w:t>
      </w:r>
      <w:r w:rsidRPr="000E5726">
        <w:rPr>
          <w:rFonts w:ascii="Times New Roman" w:hAnsi="Times New Roman" w:cs="Times New Roman"/>
          <w:sz w:val="28"/>
          <w:szCs w:val="28"/>
        </w:rPr>
        <w:t>EGDI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0,7999, поднявшись с 69-й позиции в 2022 году, когда значение индекса составляло 0,7265, и впервые вошёл в группу стран с «очень высоким» уровнем развития электронного правительства.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5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Тем самым целевой показатель </w:t>
      </w:r>
      <w:r w:rsidRPr="000E5726">
        <w:rPr>
          <w:rFonts w:ascii="Times New Roman" w:hAnsi="Times New Roman" w:cs="Times New Roman"/>
          <w:sz w:val="28"/>
          <w:szCs w:val="28"/>
        </w:rPr>
        <w:t>EGDI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≥ 0,75, установленный Стратегией на 2025 год, был достигнут раньше срока. Одновременно Узбекистан поднялся на 37 позиций в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GovTech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Maturity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Index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Всемирного банка и впервые вошёл в высшую категорию «</w:t>
      </w:r>
      <w:r w:rsidRPr="000E5726">
        <w:rPr>
          <w:rFonts w:ascii="Times New Roman" w:hAnsi="Times New Roman" w:cs="Times New Roman"/>
          <w:sz w:val="28"/>
          <w:szCs w:val="28"/>
        </w:rPr>
        <w:t>A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6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Индексе готовности к искусственному интеллекту </w:t>
      </w:r>
      <w:r w:rsidRPr="000E5726">
        <w:rPr>
          <w:rFonts w:ascii="Times New Roman" w:hAnsi="Times New Roman" w:cs="Times New Roman"/>
          <w:sz w:val="28"/>
          <w:szCs w:val="28"/>
        </w:rPr>
        <w:t>Oxford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Insights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страна улучшила позиции: с 87-го места в 2023 году до 70-го 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в 2024 году и 62-го в 2025 году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7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Вместе с тем разрыв с цифровыми лидерами сохраняется: по сравнению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с Эстонией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занявшей 2-е место в </w:t>
      </w:r>
      <w:r w:rsidRPr="000E5726">
        <w:rPr>
          <w:rFonts w:ascii="Times New Roman" w:hAnsi="Times New Roman" w:cs="Times New Roman"/>
          <w:sz w:val="28"/>
          <w:szCs w:val="28"/>
        </w:rPr>
        <w:t>EGDI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2024, отставание Узбекистана составляет 0,1728 пункта индекса и 61 позицию рейтинга.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Состояние цифровой инфраструктуры - базовое условие для реализации пяти каналов влияния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устойчивость экономики. В Узбекистане наблюдается расширение сетевой связности, однако по отдельным качественным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параметрам - прежде всего скорости передачи данных и развитию фиксированного широкополосного доступа - сохраняется отставание. К началу 2023 года протяжённость волоконно-оптических линий связи в Узбекистане превысила 227 тыс. км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8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⁸⁸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 2024 году покрытие сетями 4</w:t>
      </w:r>
      <w:r w:rsidRPr="000E5726">
        <w:rPr>
          <w:rFonts w:ascii="Times New Roman" w:hAnsi="Times New Roman" w:cs="Times New Roman"/>
          <w:sz w:val="28"/>
          <w:szCs w:val="28"/>
        </w:rPr>
        <w:t>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достигло 97% населения, тогда как покрытие сетями 5</w:t>
      </w:r>
      <w:r w:rsidRPr="000E5726">
        <w:rPr>
          <w:rFonts w:ascii="Times New Roman" w:hAnsi="Times New Roman" w:cs="Times New Roman"/>
          <w:sz w:val="28"/>
          <w:szCs w:val="28"/>
        </w:rPr>
        <w:t>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составило лишь 18%.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9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 данным Международного союза электросвязи, уровень проникновения интернета в Узбекистане в 2023 году достиг 89% населе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ния против 83,9% годом ранее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0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При этом структура доступа остаётся преимущественно мобильной: подписка на активную мобильную широкополосную связь составила 107%, тогда как фиксированная 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широкополосная подписка - 30,3%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1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Согласно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Speedtest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Global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Index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, к началу 2025 года медианная скорость загрузки в фиксированной сети достигла 79 Мбит/с, увеличившись на 43% за год, а в мобильной сети -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 xml:space="preserve"> 38 Мбит/с, увеличившись на 53%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2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целом Узбекистан уже сформировал базовую цифровую инфраструктуру, но следующий этап требует повышения качества связи, расширения 5</w:t>
      </w:r>
      <w:r w:rsidRPr="000E5726">
        <w:rPr>
          <w:rFonts w:ascii="Times New Roman" w:hAnsi="Times New Roman" w:cs="Times New Roman"/>
          <w:sz w:val="28"/>
          <w:szCs w:val="28"/>
        </w:rPr>
        <w:t>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-покрытия и развития фиксированного широкополосного доступа.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Оценка ИКТ-сектора важна для анализа пятого канала - устойчивости самого сектора как отдельного компонента национальной экономики. В случае Узбекистана этот сектор растёт быстро, хотя его доля в структуре экономики пока остаётся сравнительно небольшой. По данным Агентства государственной статистики Республики Узбекистан, в 2024 году ВВП страны в текущих ценах составил 1 454,6 трлн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сумов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или 114,96 млрд долларов США, увеличившись на 6,5% в реальном выражении; при этом доля услуг информации и связи в валовой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доба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вленной стоимости достигла 2,4%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3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Внутри сектора основная часть добавленной стоимости приходится на телекоммуникационные услуги, компьютерное программирование и консультационные услуги, тогда как хостинг, обработка данных и разработка программного обеспечения занимают меньшую долю. Темп роста сектора информации и связи в 2024 году составил 24,7% в реальном выражении, что значительно превысило общий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 xml:space="preserve"> темп роста ВВП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4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Это позволяет рассматривать ИКТ-сектор как один из наиболее динамичных элементов экономики. Вместе с тем сравнение со странами ОЭСР, где доля ВДС ИКТ-сектора в 2023 году в среднем составила 6,2%, показывает: Узбекистан пока находится на раннем этапе формирования цифровой экономики - высокие темпы роста сектора ещё не перешли в сопоставимую долю в ВДС.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Развитие </w:t>
      </w:r>
      <w:r w:rsidRPr="000E5726">
        <w:rPr>
          <w:rFonts w:ascii="Times New Roman" w:hAnsi="Times New Roman" w:cs="Times New Roman"/>
          <w:sz w:val="28"/>
          <w:szCs w:val="28"/>
        </w:rPr>
        <w:t>IT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Park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Узбекистана отражает формирование институциональной базы для экспортно-ориентированного ИКТ-сектора. Созданный в 2019 году, к концу 2024 года </w:t>
      </w:r>
      <w:r w:rsidRPr="000E5726">
        <w:rPr>
          <w:rFonts w:ascii="Times New Roman" w:hAnsi="Times New Roman" w:cs="Times New Roman"/>
          <w:sz w:val="28"/>
          <w:szCs w:val="28"/>
        </w:rPr>
        <w:t>IT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Park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объединял более 2 500 компаний-резиде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нтов и около 11 тыс. работников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5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Экспорт ИКТ-услуг увеличился с 50 млн долларов США в 2015 году до 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344 млн долларов США в 2023 год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6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Оценки за 2024 год различаются в зависимости от источника и методологии учёта: в одних источниках указывается 620 млн долларов США, в 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других - 1,15 млрд долларов США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7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Поэтому важнее учитывать не отдельную оценку, а общую динамику: экспорт ИКТ-услуг показывает устойчивый рост что подтверждает усиление роли </w:t>
      </w:r>
      <w:r w:rsidRPr="000E5726">
        <w:rPr>
          <w:rFonts w:ascii="Times New Roman" w:hAnsi="Times New Roman" w:cs="Times New Roman"/>
          <w:sz w:val="28"/>
          <w:szCs w:val="28"/>
        </w:rPr>
        <w:t>IT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Park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как институционального центра цифровой экономики Узбекистана.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финансовой системы - одно из наиболее быстро развивающихся направлений цифровой трансформации Узбекистана. Она создаёт основу для канала фискальной трансмиссии. По данным отчёта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Mastercard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Pr="000E5726">
        <w:rPr>
          <w:rFonts w:ascii="Times New Roman" w:hAnsi="Times New Roman" w:cs="Times New Roman"/>
          <w:sz w:val="28"/>
          <w:szCs w:val="28"/>
        </w:rPr>
        <w:t>Fintech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Market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Uzbekistan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» за 2023 год, число пользователей удалённых банковских услуг увеличилось с примерно 8 млн человек в 2018 год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у до 30 млн человек в 2022 году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8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2020-2022 годах объём транзакций через системы </w:t>
      </w:r>
      <w:r w:rsidRPr="000E5726">
        <w:rPr>
          <w:rFonts w:ascii="Times New Roman" w:hAnsi="Times New Roman" w:cs="Times New Roman"/>
          <w:sz w:val="28"/>
          <w:szCs w:val="28"/>
        </w:rPr>
        <w:t>QR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-онлайн рос в среднем на 119% в год, а совокупная стоимость операци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й увеличилась примерно в 15 раз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9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 началу 2024 года в обращении находилось более 5,6 млн держателей платёжных карт, число клиентов интернет-банкинга превысило 900 тыс., а на 100 тыс. населения приходилось 28,3 банкомата и 552,5 </w:t>
      </w:r>
      <w:r w:rsidRPr="000E5726">
        <w:rPr>
          <w:rFonts w:ascii="Times New Roman" w:hAnsi="Times New Roman" w:cs="Times New Roman"/>
          <w:sz w:val="28"/>
          <w:szCs w:val="28"/>
        </w:rPr>
        <w:t>POS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-терминала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0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Совокупный объём транзакций через межбанковскую систему в 2024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 xml:space="preserve"> году превысил 7 279 трлн </w:t>
      </w:r>
      <w:proofErr w:type="spellStart"/>
      <w:r w:rsidR="00302040">
        <w:rPr>
          <w:rFonts w:ascii="Times New Roman" w:hAnsi="Times New Roman" w:cs="Times New Roman"/>
          <w:sz w:val="28"/>
          <w:szCs w:val="28"/>
          <w:lang w:val="ru-RU"/>
        </w:rPr>
        <w:t>сумов</w:t>
      </w:r>
      <w:proofErr w:type="spellEnd"/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1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Эти данные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показывают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цифровые финансы в Узбекистане уже формируют инфраструктурную базу для более быстрой передачи государственных выплат, поддержки бизнеса и антикризисных мер - что во второй главе рассматривалось на примере Сингапура и Республики Корея.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Систематизация рассмотренных показателей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показывает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цифровая трансформация Узбекистана развивается неравномерно. С одной стороны, страна заметно продвинулась в развитии цифрового государства, базовой инфраструктуры и цифровых финансов - это подтверждается международными индексами и ростом использования онлайн-сервисов.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С другой стороны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сохраняется отставание по доле ИКТ-сектора в валовой добавленной стоимости и по распространению продвинутых цифровых технологий среди предприятий.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В этом смысле Узбекистан близок к польской модели «конвергенции с ограничениями» из §2.1: при активном развитии государственных цифровых сервисов сохраняется разрыв в цифровой зрелости частного сектора. Возможности сокращения этой асимметрии на основе адаптации международного опыта рассматриваются в следующем параграфе.</w:t>
      </w:r>
    </w:p>
    <w:p w:rsidR="00E23D01" w:rsidRDefault="00E23D01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b/>
          <w:sz w:val="28"/>
          <w:szCs w:val="28"/>
          <w:lang w:val="ru-RU"/>
        </w:rPr>
        <w:t>3.2. Адаптация международного опыта цифровой трансформации к условиям Республики Узбекистан</w:t>
      </w:r>
    </w:p>
    <w:p w:rsidR="00C02A16" w:rsidRPr="000E5726" w:rsidRDefault="00C02A16" w:rsidP="00C02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Результаты эконометрического анализа из параграфа 2.3 и сравнительный анализ четырёх стран-лидеров позволяют перейти к оценке того, какой международный опыт может быть адаптирован к условиям Узбекистана. В этом параграфе адаптация понимается не как прямое копирование отдельных инструментов, а как выборочное использование институциональных решений с учётом стартовых условий национальной экономики рассмотренных в параграфе 3.1.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Отправной точкой является результат из §2.3: тест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Чоу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0E5726">
        <w:rPr>
          <w:rFonts w:ascii="Times New Roman" w:hAnsi="Times New Roman" w:cs="Times New Roman"/>
          <w:sz w:val="28"/>
          <w:szCs w:val="28"/>
        </w:rPr>
        <w:t>F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5,34;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1,15 × 10⁻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¹¹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 подтвердил статистически значимые различия между развитыми, переходными и развивающимися экономиками. Узбекистан, согласно классификации Всемирного банка </w:t>
      </w:r>
      <w:r w:rsidRPr="000E5726">
        <w:rPr>
          <w:rFonts w:ascii="Times New Roman" w:hAnsi="Times New Roman" w:cs="Times New Roman"/>
          <w:sz w:val="28"/>
          <w:szCs w:val="28"/>
        </w:rPr>
        <w:t>lower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</w:rPr>
        <w:t>middle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income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2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методологии ЮНКТАД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3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относится к группе развивающихся экономик, включающей 11 стран и 144 наблюдения. В этой группе коэффициент при основном регрессоре </w:t>
      </w:r>
      <w:r w:rsidRPr="000E5726">
        <w:rPr>
          <w:rFonts w:ascii="Times New Roman" w:hAnsi="Times New Roman" w:cs="Times New Roman"/>
          <w:sz w:val="28"/>
          <w:szCs w:val="28"/>
        </w:rPr>
        <w:t>log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internet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составил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0,198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&lt; 0,001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>) - это показывает положительную связь между интернет-проникновением и ВВП на душу населения: рост доли интернет-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пользователей на 1% ассоциируется с увеличением ВВП на душу населения примерно на 0,20%.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Однако </w:t>
      </w:r>
      <w:r w:rsidRPr="000E5726">
        <w:rPr>
          <w:rFonts w:ascii="Times New Roman" w:hAnsi="Times New Roman" w:cs="Times New Roman"/>
          <w:sz w:val="28"/>
          <w:szCs w:val="28"/>
        </w:rPr>
        <w:t>interaction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terms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группе развивающихся экономик оказались статистически незначимыми: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covid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0,0184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0,697),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geo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0,0457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0,641). Это означает что при текущем уровне цифровой зрелости Узбекистана цифровые технологии поддерживают рост в обычных условиях, но пока не дают устойчивого буферного эффекта при внешних шоках. Стратегическая задача Узбекистана поэтому состоит не только в расширении цифрового доступа, но и в превращении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полноценный инструмент антикризисной устойчивости.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 развитых экономиках (22 страны, 330 наблюдений) антикризисный эффект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оказался статистически значимым.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Коэффициент</w:t>
      </w:r>
      <w:proofErr w:type="spellEnd"/>
      <w:r w:rsidRPr="000E5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0E5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log_internet</w:t>
      </w:r>
      <w:proofErr w:type="spellEnd"/>
      <w:r w:rsidRPr="000E5726">
        <w:rPr>
          <w:rFonts w:ascii="Times New Roman" w:hAnsi="Times New Roman" w:cs="Times New Roman"/>
          <w:sz w:val="28"/>
          <w:szCs w:val="28"/>
        </w:rPr>
        <w:t xml:space="preserve"> ×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Crisis_COVID</w:t>
      </w:r>
      <w:proofErr w:type="spellEnd"/>
      <w:r w:rsidRPr="000E5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составил</w:t>
      </w:r>
      <w:proofErr w:type="spellEnd"/>
      <w:r w:rsidRPr="000E5726">
        <w:rPr>
          <w:rFonts w:ascii="Times New Roman" w:hAnsi="Times New Roman" w:cs="Times New Roman"/>
          <w:sz w:val="28"/>
          <w:szCs w:val="28"/>
        </w:rPr>
        <w:t xml:space="preserve"> β = 0,394 (p = 0,003), а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0E5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log_internet</w:t>
      </w:r>
      <w:proofErr w:type="spellEnd"/>
      <w:r w:rsidRPr="000E5726">
        <w:rPr>
          <w:rFonts w:ascii="Times New Roman" w:hAnsi="Times New Roman" w:cs="Times New Roman"/>
          <w:sz w:val="28"/>
          <w:szCs w:val="28"/>
        </w:rPr>
        <w:t xml:space="preserve"> ×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Crisis_Geo</w:t>
      </w:r>
      <w:proofErr w:type="spellEnd"/>
      <w:r w:rsidRPr="000E5726">
        <w:rPr>
          <w:rFonts w:ascii="Times New Roman" w:hAnsi="Times New Roman" w:cs="Times New Roman"/>
          <w:sz w:val="28"/>
          <w:szCs w:val="28"/>
        </w:rPr>
        <w:t xml:space="preserve"> - β = 0,394 (p = 0,020).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 развитых странах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не только функцию фактора роста, но и роль макроэкономического стабилизатора в период внешних шоков. Для Узбекистана этот результат задаёт стратегический ориентир: нужно достичь такого уровня цифровой зрелости при котором цифровые технологии смогут смягчать не только транзакционные ограничения, но и кризисные колебания экономической активности. Графическое сопоставление кризисных </w:t>
      </w:r>
      <w:r w:rsidRPr="000E5726">
        <w:rPr>
          <w:rFonts w:ascii="Times New Roman" w:hAnsi="Times New Roman" w:cs="Times New Roman"/>
          <w:sz w:val="28"/>
          <w:szCs w:val="28"/>
        </w:rPr>
        <w:t>interaction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terms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 группам стран представлено на рисунке 3.1.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Рисунок 3.1 - Дифференциальная эластичность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кризисные периоды по группам стран Источник: составлено автором на основе результатов эконометрического моделирования в </w:t>
      </w:r>
      <w:r w:rsidRPr="000E5726">
        <w:rPr>
          <w:rFonts w:ascii="Times New Roman" w:hAnsi="Times New Roman" w:cs="Times New Roman"/>
          <w:sz w:val="28"/>
          <w:szCs w:val="28"/>
        </w:rPr>
        <w:t>R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Studio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Сравнение моделей цифровой трансформации из §2.1 позволяет выделить элементы международного опыта полезные для Узбекистана. Эстонская модель межведомственной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интероперабельности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</w:rPr>
        <w:t>Road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представляет особый интерес, поскольку обеспечивает защищённый обмен данными между государственными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органами и частным сектором, усиливая канал фискальной трансмиссии и с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нижая административные издержки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4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Дополнительным преимуществом является открытая архитектура </w:t>
      </w:r>
      <w:r w:rsidRPr="000E5726">
        <w:rPr>
          <w:rFonts w:ascii="Times New Roman" w:hAnsi="Times New Roman" w:cs="Times New Roman"/>
          <w:sz w:val="28"/>
          <w:szCs w:val="28"/>
        </w:rPr>
        <w:t>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</w:rPr>
        <w:t>Road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, что снижает барьеры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 xml:space="preserve"> технологического заимствования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5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Вместе с тем прямое копирование эстонской модели невозможно из-за разницы в масштабе. Население Эстонии составляет около 1,3 млн человек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6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, тогда как население Узбекистана превышает 36 мл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7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Поэтому для Узбекистана важен не буквальный перенос </w:t>
      </w:r>
      <w:r w:rsidRPr="000E5726">
        <w:rPr>
          <w:rFonts w:ascii="Times New Roman" w:hAnsi="Times New Roman" w:cs="Times New Roman"/>
          <w:sz w:val="28"/>
          <w:szCs w:val="28"/>
        </w:rPr>
        <w:t>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</w:rPr>
        <w:t>Road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а адаптация её ключевых принципов - межведомственной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интероперабельности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, защищённого обмена данными, открытой архитектуры и масштабируемости цифровой инфраструктуры. Более широкие различия между группами стран по уровню экономического развития и интернет-проникновения представлены на рисунке 3.2.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Рисунок 3.2 - Динамика </w:t>
      </w:r>
      <w:r w:rsidRPr="000E5726">
        <w:rPr>
          <w:rFonts w:ascii="Times New Roman" w:hAnsi="Times New Roman" w:cs="Times New Roman"/>
          <w:sz w:val="28"/>
          <w:szCs w:val="28"/>
        </w:rPr>
        <w:t>ln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GDPpc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r w:rsidRPr="000E5726">
        <w:rPr>
          <w:rFonts w:ascii="Times New Roman" w:hAnsi="Times New Roman" w:cs="Times New Roman"/>
          <w:sz w:val="28"/>
          <w:szCs w:val="28"/>
        </w:rPr>
        <w:t>ln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(интернет-проникновения) по группам стран за 2010-2024 годы Источник: составлено автором на основе результатов эконометрического моделирования в </w:t>
      </w:r>
      <w:r w:rsidRPr="000E5726">
        <w:rPr>
          <w:rFonts w:ascii="Times New Roman" w:hAnsi="Times New Roman" w:cs="Times New Roman"/>
          <w:sz w:val="28"/>
          <w:szCs w:val="28"/>
        </w:rPr>
        <w:t>R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Studio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Корейская модель масштабного государственного инвестирования в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цифровизацию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релевантна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для Узбекистана прежде всего с точки зр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ения институционального дизайна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8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Опыт Республики Корея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показывает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включение цифровых проектов в антикризисные бюджетные программы позволяет одновременно поддерживать восстановление экономики и создавать основу для долгосрочной устойчивости. Вместе с тем прямое воспроизведение корейской модели ограничено масштабом финансирования: объём средств на развитие ведущих цифровых технологий составил 10,1 трлн вон, или около 8,5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млрд долларов США. Поэтому для Узбекистана целесообразно заимствовать не масштаб расходов, а сам принцип - привязку программ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 антикризисным бюджетным циклам.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Польская модель имеет значение для Узбекистана в контексте преодоления асимметрии цифровой зрелости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9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выявленной в §3.1. Её ключевой урок в том что развитие цифрового государства должно сопровождаться целевыми мерами по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малого и среднего бизнеса - иначе возникает разрыв между государственными сервисами и частным сектором. В условиях Узбекистана такую функцию могут выполнять программы Азиатского банка развития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0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, Европейского банка реконструкции и развития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1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Всемирного банка, уже участвующие в финансировании проектов цифровой инфраструктуры.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Сингапурская модель наименее пригодна для прямого переноса в Узбекистан - Сингапур является городом-государством площадью 728 км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, тогда как Узбекистан занимает 448 тыс. км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имеет выраженную региональную дисперсию. Вместе с тем отдельные элементы сингапурского опыта - прежде всего система цифровой идентификации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SingPass</w:t>
      </w:r>
      <w:proofErr w:type="spellEnd"/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2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механизмы адресной фискальной помощи через цифровые каналы - могут быть адаптированы для крупных городов Узбекистана, включая Ташкент, Самарканд и Бухару.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Синтез сравнительного и эконометрического анализа позволяет сформулировать общую рамку адаптации: для Узбекистана приоритетом должна стать не формальная максимизация композитных индексов цифровой зрелости, а развитие инфраструктуры канала фискальной трансмиссии - национальной системы цифровой идентификации, интегрированных межведомственных баз 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lastRenderedPageBreak/>
        <w:t>данных и цифровых платежей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3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Именно этот канал, как показано в §2.2, обеспечил высокую скорость развёртывания антикризисных программ в Сингапуре и Республике Ко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рея в период пандемии 2020 года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4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23D01" w:rsidRDefault="00E23D01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b/>
          <w:sz w:val="28"/>
          <w:szCs w:val="28"/>
          <w:lang w:val="ru-RU"/>
        </w:rPr>
        <w:t>3.3. Практические рекомендации по укреплению цифровой устойчивости экономики Республики Узбекистан и оценка ожидаемого эффекта</w:t>
      </w:r>
    </w:p>
    <w:p w:rsidR="00C02A16" w:rsidRPr="000E5726" w:rsidRDefault="00C02A16" w:rsidP="00C02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Практические рекомендации этого параграфа опираются на три результата полученные в ходе исследования. Во-первых, в группе развивающихся экономик выявлена статистически значимая положительная связь между интернет-проникновением и ВВП на душу населения (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0,198;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&lt; 0,001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). Во-вторых, в этой же группе не подтверждён самостоятельный антикризисный эффект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. В-третьих, такой эффект выявлен в группе развитых стран (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covid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0,394;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0,003). Поэтому рекомендации имеют двухуровневую логику: первый уровень - усиление прямого эффекта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как фактора роста, второй - создание институциональных условий для перехода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 функции макроэкономического стабилизатора.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Первая рекомендация - дальнейшее расширение интернет-проникновения как основного показателя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использованного в модели. По данным Международного союза электросвязи, уровень проникновения интернета в Узбекистане в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 xml:space="preserve"> 2023 году достиг 89% населения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5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Прогнозный сценарий на основе </w:t>
      </w:r>
      <w:r w:rsidRPr="000E5726">
        <w:rPr>
          <w:rFonts w:ascii="Times New Roman" w:hAnsi="Times New Roman" w:cs="Times New Roman"/>
          <w:sz w:val="28"/>
          <w:szCs w:val="28"/>
        </w:rPr>
        <w:t>FE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-модели для группы развивающихся экономик показывает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количественный эффект дальнейшего роста: при достижении уровня интернет-проникновения 90% прогнозный ВВП на душу населения составит примерно 3 653 доллара США в постоянных ценах 2015 года, а при достижении 95% - около 3 693 долларов США. Соответствующий сценарий представлен на рисунке 3.3.</w:t>
      </w:r>
    </w:p>
    <w:p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Рисунок 3.3 - Прогнозный сценарий ВВП на душу населения для Узбекистана при росте интернет-проникновения Источник: составлено автором на основе результатов эконометрического моделирования в </w:t>
      </w:r>
      <w:r w:rsidRPr="000E5726">
        <w:rPr>
          <w:rFonts w:ascii="Times New Roman" w:hAnsi="Times New Roman" w:cs="Times New Roman"/>
          <w:sz w:val="28"/>
          <w:szCs w:val="28"/>
        </w:rPr>
        <w:t>R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Studio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E872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Сопоставление с базовым модельным уровнем 3 569 долларов при 80-процентном интернет-проникновении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показывает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дальнейшее расширение цифрового доступа может дать прирост порядка 84-124 долларов на душу населения. При численности населения свыше 36 млн человек это соответствует совокупному макроэкономическому эффекту примерно 3,0-4,5 млрд долларов США. При этом дополнительный эффект перехода от 90% к 95% интернет-проникновения составляет около 40 долларов США на душу населения, или примерно 1,4 млрд долларов США в масштабе экономики. Эти оценки условны и основаны на предположении </w:t>
      </w:r>
      <w:r w:rsidRPr="000E5726">
        <w:rPr>
          <w:rFonts w:ascii="Times New Roman" w:hAnsi="Times New Roman" w:cs="Times New Roman"/>
          <w:sz w:val="28"/>
          <w:szCs w:val="28"/>
        </w:rPr>
        <w:t>ceteris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paribus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; более точная оценка доверительных интервалов для </w:t>
      </w:r>
      <w:r w:rsidRPr="000E5726">
        <w:rPr>
          <w:rFonts w:ascii="Times New Roman" w:hAnsi="Times New Roman" w:cs="Times New Roman"/>
          <w:sz w:val="28"/>
          <w:szCs w:val="28"/>
        </w:rPr>
        <w:t>FE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-прогнозов требует </w:t>
      </w:r>
      <w:r w:rsidRPr="000E5726">
        <w:rPr>
          <w:rFonts w:ascii="Times New Roman" w:hAnsi="Times New Roman" w:cs="Times New Roman"/>
          <w:sz w:val="28"/>
          <w:szCs w:val="28"/>
        </w:rPr>
        <w:t>bootstrap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-процедуры, что выходит за рамки этой работы. Детальные прогнозные значения по го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дам представлены в таблице 3.1.</w:t>
      </w:r>
    </w:p>
    <w:p w:rsidR="00C02A16" w:rsidRPr="000E5726" w:rsidRDefault="00C02A16" w:rsidP="00E872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Таблица 3.1 - Прогноз ВВП на душу населения для Узбекистана на 2025-2030 годы (</w:t>
      </w:r>
      <w:r w:rsidRPr="000E5726">
        <w:rPr>
          <w:rFonts w:ascii="Times New Roman" w:hAnsi="Times New Roman" w:cs="Times New Roman"/>
          <w:sz w:val="28"/>
          <w:szCs w:val="28"/>
        </w:rPr>
        <w:t>FE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-модель, </w:t>
      </w:r>
      <w:r w:rsidRPr="000E5726">
        <w:rPr>
          <w:rFonts w:ascii="Times New Roman" w:hAnsi="Times New Roman" w:cs="Times New Roman"/>
          <w:sz w:val="28"/>
          <w:szCs w:val="28"/>
        </w:rPr>
        <w:t>ceteris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paribus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 Источник: составлено автором на основе результатов эконометрического моделирования в </w:t>
      </w:r>
      <w:r w:rsidRPr="000E5726">
        <w:rPr>
          <w:rFonts w:ascii="Times New Roman" w:hAnsi="Times New Roman" w:cs="Times New Roman"/>
          <w:sz w:val="28"/>
          <w:szCs w:val="28"/>
        </w:rPr>
        <w:t>R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Studio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Сравнение трёх сценариев роста интернет-проникновения и связанной с ними динамики ВВП на душу населения представлено на рисунке 3.4.</w:t>
      </w:r>
    </w:p>
    <w:p w:rsidR="00C02A16" w:rsidRPr="000E5726" w:rsidRDefault="00C02A16" w:rsidP="00E872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Рисунок 3.4 - Прогноз ВВП на душу населения для Узбекистана по трём сценариям на 2025-2030 годы Источник: составлено автором на основе результатов эконометрического моделирования в </w:t>
      </w:r>
      <w:r w:rsidRPr="000E5726">
        <w:rPr>
          <w:rFonts w:ascii="Times New Roman" w:hAnsi="Times New Roman" w:cs="Times New Roman"/>
          <w:sz w:val="28"/>
          <w:szCs w:val="28"/>
        </w:rPr>
        <w:t>R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Studio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2A16" w:rsidRPr="000E5726" w:rsidRDefault="00C02A16" w:rsidP="00E872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Вторая рекомендация - преодоление асимметрии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цифровой зрелости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выявленной в §3.1, то есть разрыва между развитием государственных цифровых сервисов и более ограниченной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цифровизацией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частного сектора. Эконометрический анализ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показал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в группе развивающихся экономик экспорт высокотехнологичных товаров пока не является статистически значимым фактором роста (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hightech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-0,0013;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0,835), тогда как в группе развитых стран его вклад положителен и значим (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hightech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0,0067;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0,027). Это указывает на то что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предприятий в Узбекистане пока не достигла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уровня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при котором она транслируется в структурную диверсификацию экспорта. В практическом плане рекомендуется расширение программ </w:t>
      </w:r>
      <w:r w:rsidRPr="000E5726">
        <w:rPr>
          <w:rFonts w:ascii="Times New Roman" w:hAnsi="Times New Roman" w:cs="Times New Roman"/>
          <w:sz w:val="28"/>
          <w:szCs w:val="28"/>
        </w:rPr>
        <w:t>IT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Park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Uzbekistan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6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направлении поддержки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традиционных отраслей - текстильной промышленности, агропромышленного комплекса,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горнодобычи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- а не только экспорт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но-ориентированного ИТ-сектора.</w:t>
      </w:r>
    </w:p>
    <w:p w:rsidR="00C02A16" w:rsidRPr="000E5726" w:rsidRDefault="00C02A16" w:rsidP="00E872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Третья рекомендация касается развития инфраструктуры канала фискальной трансмиссии. Как показал анализ параграфа 2.2, антикризисная скорость Сингапура и Республики Корея в 2020 году определялась не столько общим масштабом цифровой экономики, сколько наличием трёх базовых элементов: национальной системы цифровой идентификации, интегрированных межведомственных баз данных и инфраструктуры мгновенных цифровых платежей. В Узбекистане первый элемент уже формируется - система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MyID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; второй находится на ранней стадии; третий демонстрирует быстрый рост: объём </w:t>
      </w:r>
      <w:r w:rsidRPr="000E5726">
        <w:rPr>
          <w:rFonts w:ascii="Times New Roman" w:hAnsi="Times New Roman" w:cs="Times New Roman"/>
          <w:sz w:val="28"/>
          <w:szCs w:val="28"/>
        </w:rPr>
        <w:t>QR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-транзакций увеличивался на 119% в год в 2020-2022 годах.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7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Рекомендуется ускоренное завершение интеграции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MyID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 межведомственными базами данных по модели эстонской </w:t>
      </w:r>
      <w:r w:rsidRPr="000E5726">
        <w:rPr>
          <w:rFonts w:ascii="Times New Roman" w:hAnsi="Times New Roman" w:cs="Times New Roman"/>
          <w:sz w:val="28"/>
          <w:szCs w:val="28"/>
        </w:rPr>
        <w:t>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</w:rPr>
        <w:t>Road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8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- это создаст технологическую основу для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адресного и быстрого развёртывания антикризисных прог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рамм при будущих внешних шоках.</w:t>
      </w:r>
    </w:p>
    <w:p w:rsidR="00C02A16" w:rsidRPr="000E5726" w:rsidRDefault="00C02A16" w:rsidP="00E872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Четвёртая рекомендация - учёт типа кризиса при проектировании цифровой устойчивости. Эконометрический анализ показал различие между двумя видами шоков: при пандемии </w:t>
      </w:r>
      <w:r w:rsidRPr="000E5726">
        <w:rPr>
          <w:rFonts w:ascii="Times New Roman" w:hAnsi="Times New Roman" w:cs="Times New Roman"/>
          <w:sz w:val="28"/>
          <w:szCs w:val="28"/>
        </w:rPr>
        <w:t>COVID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-19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дала статистически значимый буферный эффект в группе развитых стран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0,003), тогда как при геополитическом кризисе 2022 года её эффект оказался менее универсальным. Для группы переходных экономик коэффициент </w:t>
      </w:r>
      <w:r w:rsidRPr="000E5726">
        <w:rPr>
          <w:rFonts w:ascii="Times New Roman" w:hAnsi="Times New Roman" w:cs="Times New Roman"/>
          <w:sz w:val="28"/>
          <w:szCs w:val="28"/>
        </w:rPr>
        <w:t>interaction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term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при геополитическом кризисе отрицателен, но статистически незначим (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-0,1252;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0,456) - что отражает ограниченную способность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компенсировать потери от разрыва торговых и энергетических цепочек. Для Узбекистана это означает что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цифровизацию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стоит рассматривать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прежде всего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как инструмент противодействия шокам мобильности и информационной асимметрии - пандемиям, логистическим сбоям и административным ограничениям - но не как замену политике энергетической безопасности и д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иверсификации внешней торговли.</w:t>
      </w:r>
    </w:p>
    <w:p w:rsidR="00C02A16" w:rsidRPr="000E5726" w:rsidRDefault="00C02A16" w:rsidP="00E872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Пятая рекомендация связана с ограничением статистической мощности модели для группы развивающихся экономик. В этой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подвыборке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использовались 144 наблюдения что снижает вероятность выявления слабых эффектов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кризисные периоды. Поэтому незначимость </w:t>
      </w:r>
      <w:r w:rsidRPr="000E5726">
        <w:rPr>
          <w:rFonts w:ascii="Times New Roman" w:hAnsi="Times New Roman" w:cs="Times New Roman"/>
          <w:sz w:val="28"/>
          <w:szCs w:val="28"/>
        </w:rPr>
        <w:t>interaction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terms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может объясняться не только отсутствием антикризисного эффекта, но и ограниченным объёмом данных. В связи с этим рекомендуется организация систематического мониторинга показателей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экономической устойчивости Узбекистана в рамках Стратегии «Цифровой Узбекистан - 2030»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9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 периодической повторной оценкой эконометрической модели по мере накопления данных. Включение Узбекистана в международные панельные базы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повысит сопоставимость результатов и позволит точнее отслеживать его сближение с группой переходных экономик, где основной эффект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рост выражен сильнее (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0,309;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&lt; 0,001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E872C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C02A16" w:rsidRPr="000E5726" w:rsidRDefault="00C02A16" w:rsidP="00E872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Обобщение пяти рекомендаций позволяет определить последовательность приоритетов. На первом этапе (2025-2027 годы) - завершить формирование инфраструктуры фискальной трансмиссии: интегрировать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MyID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 межведомственными базами данных, расширить инфраструктуру цифровых платежей и довести интернет-проникновение до 90%. На втором этапе (2027-2030 годы) основное внимание должно быть направлено на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цифровизацию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частного сектора и сокращение разрыва между государственными онлайн-сервисами и цифровой зрелостью предприятий через целевые программы для малого и среднего бизнеса. На третьем этапе, после 2030 года, приоритет - достижение такого уровня цифровой зрелости при котором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сможет выполнять функцию макроэкономического стабилизатора аналогичную выявленной в группе развитых стран. Указанная последовательность согласуется с целевыми показателями Стратегии «Цифровой Узбекистан - 2030»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20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опирается на количественные результаты настоящего исследования.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Выводы по третьей главе. Анализ цифровой трансформации Узбекистана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показал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страна достигла заметного прогресса в развитии электронного правительства и базовой цифровой инфраструктуры. В 2024 году Узбекистан занял 63-е место в </w:t>
      </w:r>
      <w:r w:rsidRPr="000E5726">
        <w:rPr>
          <w:rFonts w:ascii="Times New Roman" w:hAnsi="Times New Roman" w:cs="Times New Roman"/>
          <w:sz w:val="28"/>
          <w:szCs w:val="28"/>
        </w:rPr>
        <w:t>EGDI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 значением 0,7999, уровень интернет-проникновения достиг 89%, а покрытие 4</w:t>
      </w:r>
      <w:r w:rsidRPr="000E5726">
        <w:rPr>
          <w:rFonts w:ascii="Times New Roman" w:hAnsi="Times New Roman" w:cs="Times New Roman"/>
          <w:sz w:val="28"/>
          <w:szCs w:val="28"/>
        </w:rPr>
        <w:t>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- 97%. Вместе с тем сохраняется структурная асимметрия: при активном развитии государственных цифровых сервисов доля услуг информации и связи в ВДС составляет лишь 2,4% - ниже среднего уровня стран ОЭСР. Сопоставление с результатами эконометрического анализа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показывает что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Узбекистане уже выступает фактором роста (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0,1978;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&lt; 0,001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), однако пока не достигла уровня при котором она выполняет функцию антикризисного стабилизатора. Для адаптации наиболее применимы: эстонская </w:t>
      </w:r>
      <w:r w:rsidRPr="000E5726">
        <w:rPr>
          <w:rFonts w:ascii="Times New Roman" w:hAnsi="Times New Roman" w:cs="Times New Roman"/>
          <w:sz w:val="28"/>
          <w:szCs w:val="28"/>
        </w:rPr>
        <w:t>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</w:rPr>
        <w:t>Road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как модель межведомственной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интероперабельности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корейская привязка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 антикризисным программам, польская поддержка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МСБ и сингапурские решения в сфере цифровой идентификации. Рекомендации предполагают поэтапный подход: в 2025-2027 годах - развитие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MyID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межведомственной интеграции, цифровых платежей и доведение интернет-проникновения до 90%; в 2027-2030 годах -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традиционных отраслей и частного сектора; после 2030 года - достижение уровня цифровой зрелости при котором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функцию не только фактора роста, но и макроэкономического стабилизатора.</w:t>
      </w:r>
    </w:p>
    <w:p w:rsidR="00C02A16" w:rsidRPr="000E5726" w:rsidRDefault="00C02A16" w:rsidP="00302040">
      <w:pPr>
        <w:pageBreakBefore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ЗАКЛЮЧЕНИЕ</w:t>
      </w:r>
    </w:p>
    <w:p w:rsidR="00C02A16" w:rsidRPr="000E5726" w:rsidRDefault="00C02A16" w:rsidP="003020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Эта выпускная квалификационная работа была посвящена теоретическому осмыслению и эмпирической проверке связи между цифровой трансформацией национальных экономик и их устойчивостью к глобальным кризисным шокам. В работе рассматривался вопрос о том является ли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статистически значимым фактором экономической устойчивости и при каких условиях её влияние проявляется наиболее заметно. Ответ был получен на основе сочетания теоретического анализа, сравнительного изучения международного опыта и эконометрического моделирования.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Теоретическая рамка первой главы опирается на подходы к экономической уязвимости и устойчивости из работ Л.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Бригульо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соавторов, аналитические материалы ОЭСР, а также трактовки цифровой экономики Всемирного банка и других международных организаций. В работе систематизирована пятиканальная модель влияния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устойчивость национальных экономик: непрерывность государственных функций, фискальная трансмиссия, адаптация частного сектора, диверсификация конечного спроса и устойчивость информационно-коммуникационного сектора. Главный теоретический вывод первой главы в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том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устойчивость экономики формируется не только в момент кризиса, а заранее - через качество институтов, уровень инфраструктурного развития, цифровую готовность и способность быстро адаптироваться к внешним шокам.</w:t>
      </w:r>
    </w:p>
    <w:p w:rsidR="00C02A16" w:rsidRPr="000E5726" w:rsidRDefault="00C02A16" w:rsidP="003020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Сравнительный анализ Эстонии, Республики Корея, Сингапура и Польши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показал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высокий уровень цифровой зрелости был связан с более мягкой реакцией экономик на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пандемийный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шок 2020 года. Цифровое государство, онлайн-сервисы, электронная идентификация, цифровые платежи и механизмы адресной поддержки позволили этим странам быстрее сохранять государственные функции, поддерживать бизнес и население, а также частично компенсировать ограничения физической мобильности. Вместе с тем кризис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2022 года выявил пределы этого эффекта: энергетические, ценовые и геополитические шоки не могут быть полностью нейтрализованы цифровыми технологиями даже при высоком уровне цифровой инфраструктуры. Эстония и Польша, несмотря на развитые цифровые сервисы, столкнулись с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высоким инфляционным давлением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связанным с энергетическими и внешнеторговыми факторами. Это подтвердило необходимость раздельного учёта кризисов 2020 и 2022 годов в эконометрической модели.</w:t>
      </w:r>
    </w:p>
    <w:p w:rsidR="00C02A16" w:rsidRPr="000E5726" w:rsidRDefault="00C02A16" w:rsidP="003020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Основной эмпирический результат работы получен в §2.3 на несбалансированной панели 49 стран за 2010-2024 годы (707 наблюдений). Тест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Чоу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0E5726">
        <w:rPr>
          <w:rFonts w:ascii="Times New Roman" w:hAnsi="Times New Roman" w:cs="Times New Roman"/>
          <w:sz w:val="28"/>
          <w:szCs w:val="28"/>
        </w:rPr>
        <w:t>F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5,3377;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1,151 × 10⁻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¹¹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 подтвердил структурную неоднородность выборки и обосновал раздельный анализ трёх групп стран. Основная гипотеза </w:t>
      </w:r>
      <w:r w:rsidRPr="000E5726">
        <w:rPr>
          <w:rFonts w:ascii="Times New Roman" w:hAnsi="Times New Roman" w:cs="Times New Roman"/>
          <w:sz w:val="28"/>
          <w:szCs w:val="28"/>
        </w:rPr>
        <w:t>H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₁ подтверждена: коэффициент при </w:t>
      </w:r>
      <w:r w:rsidRPr="000E5726">
        <w:rPr>
          <w:rFonts w:ascii="Times New Roman" w:hAnsi="Times New Roman" w:cs="Times New Roman"/>
          <w:sz w:val="28"/>
          <w:szCs w:val="28"/>
        </w:rPr>
        <w:t>log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internet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положителен и статистически значим во всех группах -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0,2117 для развитых экономик,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0,3085 для переходных и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0,1978 для развивающихся. Вспомогательная гипотеза </w:t>
      </w:r>
      <w:r w:rsidRPr="000E5726">
        <w:rPr>
          <w:rFonts w:ascii="Times New Roman" w:hAnsi="Times New Roman" w:cs="Times New Roman"/>
          <w:sz w:val="28"/>
          <w:szCs w:val="28"/>
        </w:rPr>
        <w:t>H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₂ также получила подтверждение: антикризисный буферный эффект, выраженный через </w:t>
      </w:r>
      <w:r w:rsidRPr="000E5726">
        <w:rPr>
          <w:rFonts w:ascii="Times New Roman" w:hAnsi="Times New Roman" w:cs="Times New Roman"/>
          <w:sz w:val="28"/>
          <w:szCs w:val="28"/>
        </w:rPr>
        <w:t>interaction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terms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, статистически выявлен только в группе развитых стран (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covid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0,394;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0,003;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geo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0,394;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0,020). В переходных и развивающихся экономиках аналогичные эффекты статистически не подтверждаются. Связь между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цифровизацией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устойчивостью имеет пороговый характер: цифровые технологии становятся полноценным антикризисным стабилизатором только при достижении высок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Применительно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 Республике Узбекистан третья глава показала наличие асимметрии цифровой трансформации. С одной стороны, страна достигла заметного прогресса в развитии электронного правительства и базовой цифровой инфраструктуры: в 2024 году Узбекистан занял 63-е место в </w:t>
      </w:r>
      <w:r w:rsidRPr="000E5726">
        <w:rPr>
          <w:rFonts w:ascii="Times New Roman" w:hAnsi="Times New Roman" w:cs="Times New Roman"/>
          <w:sz w:val="28"/>
          <w:szCs w:val="28"/>
        </w:rPr>
        <w:t>EGDI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 значением 0,7999, уровень интернет-проникновения достиг 89%, а покрытие 4</w:t>
      </w:r>
      <w:r w:rsidRPr="000E5726">
        <w:rPr>
          <w:rFonts w:ascii="Times New Roman" w:hAnsi="Times New Roman" w:cs="Times New Roman"/>
          <w:sz w:val="28"/>
          <w:szCs w:val="28"/>
        </w:rPr>
        <w:t>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- 97% населения.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С другой стороны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сохраняется отставание по глубине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частного сектора: доля услуг информации и связи в ВДС составляет 2,4%, что ниже среднего уровня стран ОЭСР. Эконометрические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результаты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показывают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при текущем уровне развития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Узбекистане уже поддерживает экономический рост: рост интернет-проникновения на 1% связан с увеличением ВВП на душу населения примерно на 0,20% при прочих равных условиях. Однако антикризисная буферная функция для группы развивающихся экономик включая Узбекистан, пока статистически не идентифицируется. Прогнозный сценарий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показывает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дополнительный переход от 90% к 95% интернет-проникновения может быть связан с эффектом около 40 долларов США на душу населения, или примерно 1,4 млрд долларов США в масштабе экономики.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Сформулированные практические рекомендации образуют поэтапную программу цифрового развития с горизонтом до 2030 года и после. На первом этапе в 2025-2027 годах приоритет - развитие инфраструктуры фискальной трансмиссии: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MyID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межведомственной интеграции, цифровых платежей и расширения интернет-проникновения. На втором этапе в 2027-2030 годах ключевая задача - преодоление асимметрии цифровой зрелости через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цифровизацию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традиционных отраслей, малого и среднего бизнеса, а также расширение использования цифровых технологий в частном секторе. После 2030 года стратегический ориентир - достижение уровня цифровой зрелости при котором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сможет выполнять не только функцию фактора роста, но и функцию макроэкономического стабилизатора. Адаптация международного опыта при этом должна быть выборочной: эстонская </w:t>
      </w:r>
      <w:r w:rsidRPr="000E5726">
        <w:rPr>
          <w:rFonts w:ascii="Times New Roman" w:hAnsi="Times New Roman" w:cs="Times New Roman"/>
          <w:sz w:val="28"/>
          <w:szCs w:val="28"/>
        </w:rPr>
        <w:t>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</w:rPr>
        <w:t>Road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- ориентир для межведомственной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интероперабельности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опыт Республики Корея - пример привязки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 антикризисным программам, польская модель - основа для поддержки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МСБ, а отдельные элементы сингапурской системы цифровой идентификации - ориентир для развития единого доступа к государственным и финансовым </w:t>
      </w:r>
      <w:proofErr w:type="spellStart"/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сервисам.ого</w:t>
      </w:r>
      <w:proofErr w:type="spellEnd"/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уровня цифровой зрелости.</w:t>
      </w:r>
    </w:p>
    <w:p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Научная новизна исследования состоит в трёх аспектах. Во-первых, в работе систематизирована пятиканальная модель влияния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экономическую устойчивость, связывающая конкретные направления цифрового развития с механизмами реакции экономики на внешние шоки. Во-вторых, на основе панельного анализа 49 стран эмпирически показан пороговый характер антикризисного буферного эффекта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: положительная связь с ростом наблюдается во всех группах, но стабилизирующий эффект статистически выявляется только в развитых экономиках. В-третьих, для Республики Узбекистан предложены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прогнозные сценарии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позволяющие связать целевые ориентиры Стратегии «Цифровой Узбекистан - 2030» с количественными эконометрическими оценками. Вместе с тем исследование имеет ряд ограничений: использование одного основного индикатора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упрощённая идентификация кризисных периодов и ограниченный размер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подвыборки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развивающихся экономик. Эти ограничения определяют направления дальнейших исследований - расширение набора цифровых индикаторов, применение методов </w:t>
      </w:r>
      <w:r w:rsidRPr="000E5726">
        <w:rPr>
          <w:rFonts w:ascii="Times New Roman" w:hAnsi="Times New Roman" w:cs="Times New Roman"/>
          <w:sz w:val="28"/>
          <w:szCs w:val="28"/>
        </w:rPr>
        <w:t>IV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E5726">
        <w:rPr>
          <w:rFonts w:ascii="Times New Roman" w:hAnsi="Times New Roman" w:cs="Times New Roman"/>
          <w:sz w:val="28"/>
          <w:szCs w:val="28"/>
        </w:rPr>
        <w:t>GMM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проведение отраслевого анализа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экономики Узбекистана.</w:t>
      </w:r>
    </w:p>
    <w:p w:rsidR="00C02A16" w:rsidRPr="000E5726" w:rsidRDefault="00C02A16" w:rsidP="00C02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0E5726" w:rsidRDefault="00C02A16" w:rsidP="00C02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C02A16" w:rsidRPr="000E5726" w:rsidRDefault="00C02A16" w:rsidP="00C02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3678C" w:rsidRDefault="0093678C" w:rsidP="00C02A16">
      <w:pPr>
        <w:spacing w:line="360" w:lineRule="auto"/>
        <w:ind w:firstLine="709"/>
      </w:pPr>
    </w:p>
    <w:sectPr w:rsidR="0093678C" w:rsidSect="0093678C">
      <w:footerReference w:type="default" r:id="rId9"/>
      <w:pgSz w:w="12240" w:h="15840"/>
      <w:pgMar w:top="1134" w:right="851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154E" w:rsidRDefault="009F154E" w:rsidP="00C02A16">
      <w:pPr>
        <w:spacing w:after="0" w:line="240" w:lineRule="auto"/>
      </w:pPr>
      <w:r>
        <w:separator/>
      </w:r>
    </w:p>
  </w:endnote>
  <w:endnote w:type="continuationSeparator" w:id="0">
    <w:p w:rsidR="009F154E" w:rsidRDefault="009F154E" w:rsidP="00C02A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8"/>
        <w:szCs w:val="28"/>
      </w:rPr>
      <w:id w:val="-1792662935"/>
      <w:docPartObj>
        <w:docPartGallery w:val="Page Numbers (Bottom of Page)"/>
        <w:docPartUnique/>
      </w:docPartObj>
    </w:sdtPr>
    <w:sdtContent>
      <w:p w:rsidR="00BA5274" w:rsidRPr="007547C5" w:rsidRDefault="00BA5274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547C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547C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547C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22556C" w:rsidRPr="0022556C">
          <w:rPr>
            <w:rFonts w:ascii="Times New Roman" w:hAnsi="Times New Roman" w:cs="Times New Roman"/>
            <w:noProof/>
            <w:sz w:val="28"/>
            <w:szCs w:val="28"/>
            <w:lang w:val="ru-RU"/>
          </w:rPr>
          <w:t>48</w:t>
        </w:r>
        <w:r w:rsidRPr="007547C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BA5274" w:rsidRDefault="00BA527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154E" w:rsidRDefault="009F154E" w:rsidP="00C02A16">
      <w:pPr>
        <w:spacing w:after="0" w:line="240" w:lineRule="auto"/>
      </w:pPr>
      <w:r>
        <w:separator/>
      </w:r>
    </w:p>
  </w:footnote>
  <w:footnote w:type="continuationSeparator" w:id="0">
    <w:p w:rsidR="009F154E" w:rsidRDefault="009F154E" w:rsidP="00C02A16">
      <w:pPr>
        <w:spacing w:after="0" w:line="240" w:lineRule="auto"/>
      </w:pPr>
      <w:r>
        <w:continuationSeparator/>
      </w:r>
    </w:p>
  </w:footnote>
  <w:footnote w:id="1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Caldera Sánchez A. et al. Strengthening Economic Resilience: Insights from the Post-1970 Record of Severe Recessions and Financial Crises // OECD Economic Policy Papers. 2017. No. 20. P. 8. DOI: </w:t>
      </w:r>
      <w:hyperlink r:id="rId1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https://doi.org/10.1787/6b748a4b-en</w:t>
        </w:r>
      </w:hyperlink>
      <w:r w:rsidRPr="00081992">
        <w:rPr>
          <w:rFonts w:ascii="Times New Roman" w:hAnsi="Times New Roman" w:cs="Times New Roman"/>
        </w:rPr>
        <w:t>.</w:t>
      </w:r>
      <w:r w:rsidRPr="00081992">
        <w:rPr>
          <w:rFonts w:ascii="Times New Roman" w:hAnsi="Times New Roman" w:cs="Times New Roman"/>
          <w:lang w:val="en-CA"/>
        </w:rPr>
        <w:t xml:space="preserve"> </w:t>
      </w:r>
    </w:p>
  </w:footnote>
  <w:footnote w:id="2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ru-RU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Oikonomou</w:t>
      </w:r>
      <w:proofErr w:type="spellEnd"/>
      <w:r w:rsidRPr="00081992">
        <w:rPr>
          <w:rFonts w:ascii="Times New Roman" w:hAnsi="Times New Roman" w:cs="Times New Roman"/>
        </w:rPr>
        <w:t xml:space="preserve"> M., </w:t>
      </w:r>
      <w:proofErr w:type="spellStart"/>
      <w:r w:rsidRPr="00081992">
        <w:rPr>
          <w:rFonts w:ascii="Times New Roman" w:hAnsi="Times New Roman" w:cs="Times New Roman"/>
        </w:rPr>
        <w:t>Pierri</w:t>
      </w:r>
      <w:proofErr w:type="spellEnd"/>
      <w:r w:rsidRPr="00081992">
        <w:rPr>
          <w:rFonts w:ascii="Times New Roman" w:hAnsi="Times New Roman" w:cs="Times New Roman"/>
        </w:rPr>
        <w:t xml:space="preserve"> N., </w:t>
      </w:r>
      <w:proofErr w:type="spellStart"/>
      <w:r w:rsidRPr="00081992">
        <w:rPr>
          <w:rFonts w:ascii="Times New Roman" w:hAnsi="Times New Roman" w:cs="Times New Roman"/>
        </w:rPr>
        <w:t>Timmer</w:t>
      </w:r>
      <w:proofErr w:type="spellEnd"/>
      <w:r w:rsidRPr="00081992">
        <w:rPr>
          <w:rFonts w:ascii="Times New Roman" w:hAnsi="Times New Roman" w:cs="Times New Roman"/>
        </w:rPr>
        <w:t xml:space="preserve"> Y. IT Shields: Technology Adoption and Economic Resilience during the COVID-19 Pandemic // </w:t>
      </w:r>
      <w:proofErr w:type="spellStart"/>
      <w:r w:rsidRPr="00081992">
        <w:rPr>
          <w:rFonts w:ascii="Times New Roman" w:hAnsi="Times New Roman" w:cs="Times New Roman"/>
        </w:rPr>
        <w:t>Labour</w:t>
      </w:r>
      <w:proofErr w:type="spellEnd"/>
      <w:r w:rsidRPr="00081992">
        <w:rPr>
          <w:rFonts w:ascii="Times New Roman" w:hAnsi="Times New Roman" w:cs="Times New Roman"/>
        </w:rPr>
        <w:t xml:space="preserve"> Economics. </w:t>
      </w:r>
      <w:r w:rsidRPr="00081992">
        <w:rPr>
          <w:rFonts w:ascii="Times New Roman" w:hAnsi="Times New Roman" w:cs="Times New Roman"/>
          <w:lang w:val="ru-RU"/>
        </w:rPr>
        <w:t xml:space="preserve">2023. </w:t>
      </w:r>
      <w:r w:rsidRPr="00081992">
        <w:rPr>
          <w:rFonts w:ascii="Times New Roman" w:hAnsi="Times New Roman" w:cs="Times New Roman"/>
        </w:rPr>
        <w:t>Vol</w:t>
      </w:r>
      <w:r w:rsidRPr="00081992">
        <w:rPr>
          <w:rFonts w:ascii="Times New Roman" w:hAnsi="Times New Roman" w:cs="Times New Roman"/>
          <w:lang w:val="ru-RU"/>
        </w:rPr>
        <w:t xml:space="preserve">. 81. </w:t>
      </w:r>
      <w:r w:rsidRPr="00081992">
        <w:rPr>
          <w:rFonts w:ascii="Times New Roman" w:hAnsi="Times New Roman" w:cs="Times New Roman"/>
        </w:rPr>
        <w:t>Article</w:t>
      </w:r>
      <w:r w:rsidRPr="00081992">
        <w:rPr>
          <w:rFonts w:ascii="Times New Roman" w:hAnsi="Times New Roman" w:cs="Times New Roman"/>
          <w:lang w:val="ru-RU"/>
        </w:rPr>
        <w:t xml:space="preserve"> 102330. </w:t>
      </w:r>
      <w:r w:rsidRPr="00081992">
        <w:rPr>
          <w:rFonts w:ascii="Times New Roman" w:hAnsi="Times New Roman" w:cs="Times New Roman"/>
        </w:rPr>
        <w:t>DOI</w:t>
      </w:r>
      <w:r w:rsidRPr="00081992">
        <w:rPr>
          <w:rFonts w:ascii="Times New Roman" w:hAnsi="Times New Roman" w:cs="Times New Roman"/>
          <w:lang w:val="ru-RU"/>
        </w:rPr>
        <w:t xml:space="preserve">: </w:t>
      </w:r>
      <w:hyperlink r:id="rId2" w:tgtFrame="_new" w:history="1">
        <w:r w:rsidRPr="00081992">
          <w:rPr>
            <w:rStyle w:val="a5"/>
            <w:rFonts w:ascii="Times New Roman" w:hAnsi="Times New Roman" w:cs="Times New Roman"/>
          </w:rPr>
          <w:t>https</w:t>
        </w:r>
        <w:r w:rsidRPr="00081992">
          <w:rPr>
            <w:rStyle w:val="a5"/>
            <w:rFonts w:ascii="Times New Roman" w:hAnsi="Times New Roman" w:cs="Times New Roman"/>
            <w:lang w:val="ru-RU"/>
          </w:rPr>
          <w:t>://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doi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.</w:t>
        </w:r>
        <w:r w:rsidRPr="00081992">
          <w:rPr>
            <w:rStyle w:val="a5"/>
            <w:rFonts w:ascii="Times New Roman" w:hAnsi="Times New Roman" w:cs="Times New Roman"/>
          </w:rPr>
          <w:t>org</w:t>
        </w:r>
        <w:r w:rsidRPr="00081992">
          <w:rPr>
            <w:rStyle w:val="a5"/>
            <w:rFonts w:ascii="Times New Roman" w:hAnsi="Times New Roman" w:cs="Times New Roman"/>
            <w:lang w:val="ru-RU"/>
          </w:rPr>
          <w:t>/10.1016/</w:t>
        </w:r>
        <w:r w:rsidRPr="00081992">
          <w:rPr>
            <w:rStyle w:val="a5"/>
            <w:rFonts w:ascii="Times New Roman" w:hAnsi="Times New Roman" w:cs="Times New Roman"/>
          </w:rPr>
          <w:t>j</w:t>
        </w:r>
        <w:r w:rsidRPr="00081992">
          <w:rPr>
            <w:rStyle w:val="a5"/>
            <w:rFonts w:ascii="Times New Roman" w:hAnsi="Times New Roman" w:cs="Times New Roman"/>
            <w:lang w:val="ru-RU"/>
          </w:rPr>
          <w:t>.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labeco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.2023.102330</w:t>
        </w:r>
      </w:hyperlink>
      <w:r w:rsidRPr="00081992">
        <w:rPr>
          <w:rFonts w:ascii="Times New Roman" w:hAnsi="Times New Roman" w:cs="Times New Roman"/>
          <w:lang w:val="ru-RU"/>
        </w:rPr>
        <w:t>.</w:t>
      </w:r>
    </w:p>
  </w:footnote>
  <w:footnote w:id="3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ru-RU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  <w:lang w:val="ru-RU"/>
        </w:rPr>
        <w:t xml:space="preserve"> Указ Президента Республики Узбекистан от 5 октября 2020 г. № УП-6079 «Об утверждении Стратегии “Цифровой Узбекистан - 2030” и мерах по её эффективной реализации». Национальная база данных законодательства Республики Узбекистан, 2020. </w:t>
      </w:r>
      <w:r w:rsidRPr="00081992">
        <w:rPr>
          <w:rFonts w:ascii="Times New Roman" w:hAnsi="Times New Roman" w:cs="Times New Roman"/>
        </w:rPr>
        <w:t>URL</w:t>
      </w:r>
      <w:r w:rsidRPr="00081992">
        <w:rPr>
          <w:rFonts w:ascii="Times New Roman" w:hAnsi="Times New Roman" w:cs="Times New Roman"/>
          <w:lang w:val="ru-RU"/>
        </w:rPr>
        <w:t xml:space="preserve">: </w:t>
      </w:r>
      <w:hyperlink r:id="rId3" w:history="1">
        <w:r w:rsidRPr="00081992">
          <w:rPr>
            <w:rStyle w:val="a5"/>
            <w:rFonts w:ascii="Times New Roman" w:hAnsi="Times New Roman" w:cs="Times New Roman"/>
          </w:rPr>
          <w:t>https</w:t>
        </w:r>
        <w:r w:rsidRPr="00081992">
          <w:rPr>
            <w:rStyle w:val="a5"/>
            <w:rFonts w:ascii="Times New Roman" w:hAnsi="Times New Roman" w:cs="Times New Roman"/>
            <w:lang w:val="ru-RU"/>
          </w:rPr>
          <w:t>://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lex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.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uz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/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ru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/</w:t>
        </w:r>
        <w:r w:rsidRPr="00081992">
          <w:rPr>
            <w:rStyle w:val="a5"/>
            <w:rFonts w:ascii="Times New Roman" w:hAnsi="Times New Roman" w:cs="Times New Roman"/>
          </w:rPr>
          <w:t>docs</w:t>
        </w:r>
        <w:r w:rsidRPr="00081992">
          <w:rPr>
            <w:rStyle w:val="a5"/>
            <w:rFonts w:ascii="Times New Roman" w:hAnsi="Times New Roman" w:cs="Times New Roman"/>
            <w:lang w:val="ru-RU"/>
          </w:rPr>
          <w:t>/5031048</w:t>
        </w:r>
      </w:hyperlink>
    </w:p>
  </w:footnote>
  <w:footnote w:id="4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Briguglio</w:t>
      </w:r>
      <w:proofErr w:type="spellEnd"/>
      <w:r w:rsidRPr="00081992">
        <w:rPr>
          <w:rFonts w:ascii="Times New Roman" w:hAnsi="Times New Roman" w:cs="Times New Roman"/>
        </w:rPr>
        <w:t xml:space="preserve"> L., </w:t>
      </w:r>
      <w:proofErr w:type="spellStart"/>
      <w:r w:rsidRPr="00081992">
        <w:rPr>
          <w:rFonts w:ascii="Times New Roman" w:hAnsi="Times New Roman" w:cs="Times New Roman"/>
        </w:rPr>
        <w:t>Cordina</w:t>
      </w:r>
      <w:proofErr w:type="spellEnd"/>
      <w:r w:rsidRPr="00081992">
        <w:rPr>
          <w:rFonts w:ascii="Times New Roman" w:hAnsi="Times New Roman" w:cs="Times New Roman"/>
        </w:rPr>
        <w:t xml:space="preserve"> G., </w:t>
      </w:r>
      <w:proofErr w:type="spellStart"/>
      <w:r w:rsidRPr="00081992">
        <w:rPr>
          <w:rFonts w:ascii="Times New Roman" w:hAnsi="Times New Roman" w:cs="Times New Roman"/>
        </w:rPr>
        <w:t>Farrugia</w:t>
      </w:r>
      <w:proofErr w:type="spellEnd"/>
      <w:r w:rsidRPr="00081992">
        <w:rPr>
          <w:rFonts w:ascii="Times New Roman" w:hAnsi="Times New Roman" w:cs="Times New Roman"/>
        </w:rPr>
        <w:t xml:space="preserve"> N., Vella S. Economic Vulnerability and Resilience: Concepts and Measurements // Oxford Development Studies. 2009. Vol. 37, No. 3. P. 229-247. DOI: </w:t>
      </w:r>
      <w:hyperlink r:id="rId4" w:tgtFrame="_new" w:history="1">
        <w:r w:rsidRPr="00081992">
          <w:rPr>
            <w:rStyle w:val="a5"/>
            <w:rFonts w:ascii="Times New Roman" w:hAnsi="Times New Roman" w:cs="Times New Roman"/>
          </w:rPr>
          <w:t>https://doi.org/10.1080/13600810903089893</w:t>
        </w:r>
      </w:hyperlink>
      <w:r w:rsidRPr="00081992">
        <w:rPr>
          <w:rFonts w:ascii="Times New Roman" w:hAnsi="Times New Roman" w:cs="Times New Roman"/>
        </w:rPr>
        <w:t>.</w:t>
      </w:r>
    </w:p>
  </w:footnote>
  <w:footnote w:id="5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United Nations Department of Economic and Social Affairs (UN DESA). UN E-Government Survey 2024: Accelerating Digital Transformation for Sustainable Development. New York: United Nations, 2024. URL: </w:t>
      </w:r>
      <w:hyperlink r:id="rId5" w:history="1">
        <w:r w:rsidRPr="00081992">
          <w:rPr>
            <w:rStyle w:val="a5"/>
            <w:rFonts w:ascii="Times New Roman" w:hAnsi="Times New Roman" w:cs="Times New Roman"/>
          </w:rPr>
          <w:t>https://publicadministration.un.org/egovkb/en-us/reports/un-e-government-survey-2024</w:t>
        </w:r>
      </w:hyperlink>
    </w:p>
  </w:footnote>
  <w:footnote w:id="6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World Development Indicators </w:t>
      </w:r>
      <w:proofErr w:type="spellStart"/>
      <w:r w:rsidRPr="00081992">
        <w:rPr>
          <w:rFonts w:ascii="Times New Roman" w:hAnsi="Times New Roman" w:cs="Times New Roman"/>
        </w:rPr>
        <w:t>databaseWorld</w:t>
      </w:r>
      <w:proofErr w:type="spellEnd"/>
      <w:r w:rsidRPr="00081992">
        <w:rPr>
          <w:rFonts w:ascii="Times New Roman" w:hAnsi="Times New Roman" w:cs="Times New Roman"/>
        </w:rPr>
        <w:t xml:space="preserve"> Bank. World Development Indicators database. Washington, D.C.: World Bank, URL: </w:t>
      </w:r>
      <w:hyperlink r:id="rId6" w:history="1">
        <w:r w:rsidRPr="00081992">
          <w:rPr>
            <w:rStyle w:val="a5"/>
            <w:rFonts w:ascii="Times New Roman" w:hAnsi="Times New Roman" w:cs="Times New Roman"/>
          </w:rPr>
          <w:t>https://databank.worldbank.org/source/world-development-indicators</w:t>
        </w:r>
      </w:hyperlink>
    </w:p>
  </w:footnote>
  <w:footnote w:id="7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OECD Digital Economy Outlook 2024. Vol. 1: Embracing the Technology Frontier. Paris: OECD Publishing, 2024. P. 17-18. DOI: </w:t>
      </w:r>
      <w:hyperlink r:id="rId7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https://doi.org/10.1787/a1689dc5-en</w:t>
        </w:r>
      </w:hyperlink>
      <w:r w:rsidRPr="00081992">
        <w:rPr>
          <w:rFonts w:ascii="Times New Roman" w:hAnsi="Times New Roman" w:cs="Times New Roman"/>
        </w:rPr>
        <w:t>.</w:t>
      </w:r>
    </w:p>
  </w:footnote>
  <w:footnote w:id="8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ru-RU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  <w:lang w:val="en-CA"/>
        </w:rPr>
        <w:t xml:space="preserve"> </w:t>
      </w:r>
      <w:r w:rsidRPr="00081992">
        <w:rPr>
          <w:rFonts w:ascii="Times New Roman" w:hAnsi="Times New Roman" w:cs="Times New Roman"/>
        </w:rPr>
        <w:t xml:space="preserve">OECD. OECD Structural Analysis (STAN) Database. Paris: OECD, 2024. URL: </w:t>
      </w:r>
      <w:hyperlink r:id="rId8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https://doi.org/10.1787/data-00037-en</w:t>
        </w:r>
      </w:hyperlink>
      <w:r w:rsidRPr="00081992">
        <w:rPr>
          <w:rFonts w:ascii="Times New Roman" w:hAnsi="Times New Roman" w:cs="Times New Roman"/>
        </w:rPr>
        <w:t xml:space="preserve">. </w:t>
      </w:r>
      <w:r w:rsidRPr="00081992">
        <w:rPr>
          <w:rFonts w:ascii="Times New Roman" w:hAnsi="Times New Roman" w:cs="Times New Roman"/>
          <w:lang w:val="ru-RU"/>
        </w:rPr>
        <w:t xml:space="preserve">Классификация ИКТ-сектора приводится по </w:t>
      </w:r>
      <w:r w:rsidRPr="00081992">
        <w:rPr>
          <w:rFonts w:ascii="Times New Roman" w:hAnsi="Times New Roman" w:cs="Times New Roman"/>
        </w:rPr>
        <w:t>ISIC</w:t>
      </w:r>
      <w:r w:rsidRPr="00081992">
        <w:rPr>
          <w:rFonts w:ascii="Times New Roman" w:hAnsi="Times New Roman" w:cs="Times New Roman"/>
          <w:lang w:val="ru-RU"/>
        </w:rPr>
        <w:t xml:space="preserve"> </w:t>
      </w:r>
      <w:r w:rsidRPr="00081992">
        <w:rPr>
          <w:rFonts w:ascii="Times New Roman" w:hAnsi="Times New Roman" w:cs="Times New Roman"/>
        </w:rPr>
        <w:t>Rev</w:t>
      </w:r>
      <w:r w:rsidRPr="00081992">
        <w:rPr>
          <w:rFonts w:ascii="Times New Roman" w:hAnsi="Times New Roman" w:cs="Times New Roman"/>
          <w:lang w:val="ru-RU"/>
        </w:rPr>
        <w:t xml:space="preserve">.4, </w:t>
      </w:r>
      <w:r w:rsidRPr="00081992">
        <w:rPr>
          <w:rFonts w:ascii="Times New Roman" w:hAnsi="Times New Roman" w:cs="Times New Roman"/>
        </w:rPr>
        <w:t>divisions</w:t>
      </w:r>
      <w:r w:rsidRPr="00081992">
        <w:rPr>
          <w:rFonts w:ascii="Times New Roman" w:hAnsi="Times New Roman" w:cs="Times New Roman"/>
          <w:lang w:val="ru-RU"/>
        </w:rPr>
        <w:t xml:space="preserve"> </w:t>
      </w:r>
      <w:r w:rsidRPr="00081992">
        <w:rPr>
          <w:rFonts w:ascii="Times New Roman" w:hAnsi="Times New Roman" w:cs="Times New Roman"/>
        </w:rPr>
        <w:t>D</w:t>
      </w:r>
      <w:r w:rsidRPr="00081992">
        <w:rPr>
          <w:rFonts w:ascii="Times New Roman" w:hAnsi="Times New Roman" w:cs="Times New Roman"/>
          <w:lang w:val="ru-RU"/>
        </w:rPr>
        <w:t xml:space="preserve">26, </w:t>
      </w:r>
      <w:r w:rsidRPr="00081992">
        <w:rPr>
          <w:rFonts w:ascii="Times New Roman" w:hAnsi="Times New Roman" w:cs="Times New Roman"/>
        </w:rPr>
        <w:t>D</w:t>
      </w:r>
      <w:r w:rsidRPr="00081992">
        <w:rPr>
          <w:rFonts w:ascii="Times New Roman" w:hAnsi="Times New Roman" w:cs="Times New Roman"/>
          <w:lang w:val="ru-RU"/>
        </w:rPr>
        <w:t xml:space="preserve">61, </w:t>
      </w:r>
      <w:r w:rsidRPr="00081992">
        <w:rPr>
          <w:rFonts w:ascii="Times New Roman" w:hAnsi="Times New Roman" w:cs="Times New Roman"/>
        </w:rPr>
        <w:t>D</w:t>
      </w:r>
      <w:r w:rsidRPr="00081992">
        <w:rPr>
          <w:rFonts w:ascii="Times New Roman" w:hAnsi="Times New Roman" w:cs="Times New Roman"/>
          <w:lang w:val="ru-RU"/>
        </w:rPr>
        <w:t>62-63.</w:t>
      </w:r>
    </w:p>
  </w:footnote>
  <w:footnote w:id="9">
    <w:p w:rsidR="00BA5274" w:rsidRPr="00081992" w:rsidRDefault="00BA5274" w:rsidP="00C02A16">
      <w:pPr>
        <w:pStyle w:val="a6"/>
        <w:rPr>
          <w:rFonts w:ascii="Times New Roman" w:hAnsi="Times New Roman" w:cs="Times New Roman"/>
          <w:color w:val="0000FF"/>
          <w:u w:val="single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  <w:lang w:val="en-CA"/>
        </w:rPr>
        <w:t xml:space="preserve"> </w:t>
      </w:r>
      <w:r w:rsidRPr="00081992">
        <w:rPr>
          <w:rFonts w:ascii="Times New Roman" w:hAnsi="Times New Roman" w:cs="Times New Roman"/>
        </w:rPr>
        <w:t xml:space="preserve">OECD. OECD Digital Economy Outlook 2024. Vol. 1: Embracing the Technology Frontier. Paris: OECD Publishing, 2024. P. 22-24. DOI: </w:t>
      </w:r>
      <w:hyperlink r:id="rId9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https://doi.org/10.1787/a1689dc5-en</w:t>
        </w:r>
      </w:hyperlink>
      <w:r w:rsidRPr="00081992">
        <w:rPr>
          <w:rFonts w:ascii="Times New Roman" w:hAnsi="Times New Roman" w:cs="Times New Roman"/>
        </w:rPr>
        <w:t>.</w:t>
      </w:r>
    </w:p>
  </w:footnote>
  <w:footnote w:id="10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OECD Digital Economy Outlook 2024; European Commission. DESI; UN DESA. E-Government Survey 2024; </w:t>
      </w:r>
      <w:proofErr w:type="spellStart"/>
      <w:r w:rsidRPr="00081992">
        <w:rPr>
          <w:rFonts w:ascii="Times New Roman" w:hAnsi="Times New Roman" w:cs="Times New Roman"/>
        </w:rPr>
        <w:t>Portulans</w:t>
      </w:r>
      <w:proofErr w:type="spellEnd"/>
      <w:r w:rsidRPr="00081992">
        <w:rPr>
          <w:rFonts w:ascii="Times New Roman" w:hAnsi="Times New Roman" w:cs="Times New Roman"/>
        </w:rPr>
        <w:t xml:space="preserve"> Institute. Network Readiness Index 2024.</w:t>
      </w:r>
    </w:p>
  </w:footnote>
  <w:footnote w:id="11">
    <w:p w:rsidR="00BA5274" w:rsidRPr="00081992" w:rsidRDefault="00BA5274" w:rsidP="00C02A16">
      <w:pPr>
        <w:pStyle w:val="a6"/>
        <w:rPr>
          <w:rFonts w:ascii="Times New Roman" w:hAnsi="Times New Roman" w:cs="Times New Roman"/>
          <w:color w:val="0000FF"/>
          <w:u w:val="single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OECD Digital Economy Outlook 2024. Vol. 1: Embracing the Technology Frontier. Paris: OECD Publishing, 2024. P. 22-24. DOI: </w:t>
      </w:r>
      <w:hyperlink r:id="rId10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https://doi.org/10.1787/a1689dc5-en</w:t>
        </w:r>
      </w:hyperlink>
      <w:r w:rsidRPr="00081992">
        <w:rPr>
          <w:rFonts w:ascii="Times New Roman" w:hAnsi="Times New Roman" w:cs="Times New Roman"/>
        </w:rPr>
        <w:t>.</w:t>
      </w:r>
    </w:p>
  </w:footnote>
  <w:footnote w:id="12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Eurostat. Cloud Computing - Statistics on the Use by Enterprises. Luxembourg: Eurostat, 2023. URL: </w:t>
      </w:r>
      <w:hyperlink r:id="rId11" w:tgtFrame="_new" w:history="1">
        <w:r w:rsidRPr="00081992">
          <w:rPr>
            <w:rStyle w:val="a5"/>
            <w:rFonts w:ascii="Times New Roman" w:hAnsi="Times New Roman" w:cs="Times New Roman"/>
          </w:rPr>
          <w:t>https://ec.europa.eu/eurostat/statistics-explained/index.php?title=Cloud_computing_-_statistics_on_the_use_by_enterprises</w:t>
        </w:r>
      </w:hyperlink>
      <w:r w:rsidRPr="00081992">
        <w:rPr>
          <w:rFonts w:ascii="Times New Roman" w:hAnsi="Times New Roman" w:cs="Times New Roman"/>
        </w:rPr>
        <w:t>.</w:t>
      </w:r>
    </w:p>
  </w:footnote>
  <w:footnote w:id="13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OECD Digital Economy Outlook 2024. Vol. 1: Embracing the Technology Frontier. Paris: OECD Publishing, 2024. P. 22-24. DOI: </w:t>
      </w:r>
      <w:hyperlink r:id="rId12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https://doi.org/10.1787/a1689dc5-en</w:t>
        </w:r>
      </w:hyperlink>
      <w:r w:rsidRPr="00081992">
        <w:rPr>
          <w:rFonts w:ascii="Times New Roman" w:hAnsi="Times New Roman" w:cs="Times New Roman"/>
          <w:lang w:val="en-CA"/>
        </w:rPr>
        <w:t>.</w:t>
      </w:r>
    </w:p>
  </w:footnote>
  <w:footnote w:id="14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Development Co-operation Report 2020: Learning from Crises, Building Resilience. Paris: OECD Publishing, 2020. P. 36, 60. DOI: </w:t>
      </w:r>
      <w:hyperlink r:id="rId13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https://doi.org/10.1787/f6d42aa5-en</w:t>
        </w:r>
      </w:hyperlink>
      <w:r w:rsidRPr="00081992">
        <w:rPr>
          <w:rFonts w:ascii="Times New Roman" w:hAnsi="Times New Roman" w:cs="Times New Roman"/>
        </w:rPr>
        <w:t>.</w:t>
      </w:r>
    </w:p>
  </w:footnote>
  <w:footnote w:id="15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  <w:lang w:val="en-CA"/>
        </w:rPr>
        <w:t xml:space="preserve"> </w:t>
      </w:r>
      <w:r w:rsidRPr="00081992">
        <w:rPr>
          <w:rFonts w:ascii="Times New Roman" w:hAnsi="Times New Roman" w:cs="Times New Roman"/>
        </w:rPr>
        <w:t xml:space="preserve">OECD. OECD Digital Economy Outlook 2024. Vol. 1: Embracing the Technology Frontier. Paris: OECD Publishing, 2024. P. 89, 100. DOI: </w:t>
      </w:r>
      <w:hyperlink r:id="rId14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https://doi.org/10.1787/a1689dc5-en</w:t>
        </w:r>
      </w:hyperlink>
      <w:r w:rsidRPr="00081992">
        <w:rPr>
          <w:rFonts w:ascii="Times New Roman" w:hAnsi="Times New Roman" w:cs="Times New Roman"/>
        </w:rPr>
        <w:t>.</w:t>
      </w:r>
    </w:p>
  </w:footnote>
  <w:footnote w:id="16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World Bank. World Development Report 2016: Digital Dividends. Washington, D.C.: World Bank, 2016. DOI: </w:t>
      </w:r>
      <w:hyperlink r:id="rId15" w:tgtFrame="_new" w:history="1">
        <w:r w:rsidRPr="00081992">
          <w:rPr>
            <w:rStyle w:val="a5"/>
            <w:rFonts w:ascii="Times New Roman" w:hAnsi="Times New Roman" w:cs="Times New Roman"/>
          </w:rPr>
          <w:t>https://doi.org/10.1596/978-1-4648-0671-1</w:t>
        </w:r>
      </w:hyperlink>
      <w:r w:rsidRPr="00081992">
        <w:rPr>
          <w:rFonts w:ascii="Times New Roman" w:hAnsi="Times New Roman" w:cs="Times New Roman"/>
        </w:rPr>
        <w:t>.</w:t>
      </w:r>
    </w:p>
  </w:footnote>
  <w:footnote w:id="17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Oikonomou</w:t>
      </w:r>
      <w:proofErr w:type="spellEnd"/>
      <w:r w:rsidRPr="00081992">
        <w:rPr>
          <w:rFonts w:ascii="Times New Roman" w:hAnsi="Times New Roman" w:cs="Times New Roman"/>
        </w:rPr>
        <w:t xml:space="preserve"> M., </w:t>
      </w:r>
      <w:proofErr w:type="spellStart"/>
      <w:r w:rsidRPr="00081992">
        <w:rPr>
          <w:rFonts w:ascii="Times New Roman" w:hAnsi="Times New Roman" w:cs="Times New Roman"/>
        </w:rPr>
        <w:t>Pierri</w:t>
      </w:r>
      <w:proofErr w:type="spellEnd"/>
      <w:r w:rsidRPr="00081992">
        <w:rPr>
          <w:rFonts w:ascii="Times New Roman" w:hAnsi="Times New Roman" w:cs="Times New Roman"/>
        </w:rPr>
        <w:t xml:space="preserve"> N., </w:t>
      </w:r>
      <w:proofErr w:type="spellStart"/>
      <w:r w:rsidRPr="00081992">
        <w:rPr>
          <w:rFonts w:ascii="Times New Roman" w:hAnsi="Times New Roman" w:cs="Times New Roman"/>
        </w:rPr>
        <w:t>Timmer</w:t>
      </w:r>
      <w:proofErr w:type="spellEnd"/>
      <w:r w:rsidRPr="00081992">
        <w:rPr>
          <w:rFonts w:ascii="Times New Roman" w:hAnsi="Times New Roman" w:cs="Times New Roman"/>
        </w:rPr>
        <w:t xml:space="preserve"> Y. IT Shields: Technology Adoption and Economic Resilience during the COVID-19 Pandemic // </w:t>
      </w:r>
      <w:proofErr w:type="spellStart"/>
      <w:r w:rsidRPr="00081992">
        <w:rPr>
          <w:rFonts w:ascii="Times New Roman" w:hAnsi="Times New Roman" w:cs="Times New Roman"/>
        </w:rPr>
        <w:t>Labour</w:t>
      </w:r>
      <w:proofErr w:type="spellEnd"/>
      <w:r w:rsidRPr="00081992">
        <w:rPr>
          <w:rFonts w:ascii="Times New Roman" w:hAnsi="Times New Roman" w:cs="Times New Roman"/>
        </w:rPr>
        <w:t xml:space="preserve"> Economics. 2023. Vol. 81. Article 102330. DOI: </w:t>
      </w:r>
      <w:hyperlink r:id="rId16" w:tgtFrame="_new" w:history="1">
        <w:r w:rsidRPr="00081992">
          <w:rPr>
            <w:rStyle w:val="a5"/>
            <w:rFonts w:ascii="Times New Roman" w:hAnsi="Times New Roman" w:cs="Times New Roman"/>
          </w:rPr>
          <w:t>https://doi.org/10.1016/j.labeco.2023.102330</w:t>
        </w:r>
      </w:hyperlink>
      <w:r w:rsidRPr="00081992">
        <w:rPr>
          <w:rFonts w:ascii="Times New Roman" w:hAnsi="Times New Roman" w:cs="Times New Roman"/>
        </w:rPr>
        <w:t>.</w:t>
      </w:r>
    </w:p>
  </w:footnote>
  <w:footnote w:id="18">
    <w:p w:rsidR="00BA5274" w:rsidRPr="00081992" w:rsidRDefault="00BA5274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Caldera Sánchez A., Rasmussen M., </w:t>
      </w:r>
      <w:proofErr w:type="spellStart"/>
      <w:r w:rsidRPr="00081992">
        <w:rPr>
          <w:rFonts w:ascii="Times New Roman" w:hAnsi="Times New Roman" w:cs="Times New Roman"/>
        </w:rPr>
        <w:t>Röhn</w:t>
      </w:r>
      <w:proofErr w:type="spellEnd"/>
      <w:r w:rsidRPr="00081992">
        <w:rPr>
          <w:rFonts w:ascii="Times New Roman" w:hAnsi="Times New Roman" w:cs="Times New Roman"/>
        </w:rPr>
        <w:t xml:space="preserve"> O. Economic Resilience: What Role for Policies? // OECD Economics Department Working Papers. 2015. No. 1251. P. 5. DOI: </w:t>
      </w:r>
      <w:hyperlink r:id="rId17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https://doi.org/10.1787/5jrxhgf61q5j-en</w:t>
        </w:r>
      </w:hyperlink>
      <w:r w:rsidRPr="00081992">
        <w:rPr>
          <w:rFonts w:ascii="Times New Roman" w:hAnsi="Times New Roman" w:cs="Times New Roman"/>
        </w:rPr>
        <w:t>.</w:t>
      </w:r>
    </w:p>
  </w:footnote>
  <w:footnote w:id="19">
    <w:p w:rsidR="00BA5274" w:rsidRPr="00081992" w:rsidRDefault="00BA5274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Briguglio</w:t>
      </w:r>
      <w:proofErr w:type="spellEnd"/>
      <w:r w:rsidRPr="00081992">
        <w:rPr>
          <w:rFonts w:ascii="Times New Roman" w:hAnsi="Times New Roman" w:cs="Times New Roman"/>
        </w:rPr>
        <w:t xml:space="preserve"> L., </w:t>
      </w:r>
      <w:proofErr w:type="spellStart"/>
      <w:r w:rsidRPr="00081992">
        <w:rPr>
          <w:rFonts w:ascii="Times New Roman" w:hAnsi="Times New Roman" w:cs="Times New Roman"/>
        </w:rPr>
        <w:t>Cordina</w:t>
      </w:r>
      <w:proofErr w:type="spellEnd"/>
      <w:r w:rsidRPr="00081992">
        <w:rPr>
          <w:rFonts w:ascii="Times New Roman" w:hAnsi="Times New Roman" w:cs="Times New Roman"/>
        </w:rPr>
        <w:t xml:space="preserve"> G., </w:t>
      </w:r>
      <w:proofErr w:type="spellStart"/>
      <w:r w:rsidRPr="00081992">
        <w:rPr>
          <w:rFonts w:ascii="Times New Roman" w:hAnsi="Times New Roman" w:cs="Times New Roman"/>
        </w:rPr>
        <w:t>Farrugia</w:t>
      </w:r>
      <w:proofErr w:type="spellEnd"/>
      <w:r w:rsidRPr="00081992">
        <w:rPr>
          <w:rFonts w:ascii="Times New Roman" w:hAnsi="Times New Roman" w:cs="Times New Roman"/>
        </w:rPr>
        <w:t xml:space="preserve"> N., Vella S. Economic Vulnerability and Resilience: Concepts and Measurements // UNU-WIDER Research Paper. 2008. No. 2008/55. P. 2-4, 11-14.</w:t>
      </w:r>
    </w:p>
  </w:footnote>
  <w:footnote w:id="20">
    <w:p w:rsidR="00BA5274" w:rsidRPr="00081992" w:rsidRDefault="00BA5274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Caldera Sánchez A. et al. Economic Resilience: What Role for Policies? // OECD Economics Department Working Papers. 2015. No. 1251. P. 5-7. DOI: </w:t>
      </w:r>
      <w:hyperlink r:id="rId18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https://doi.org/10.1787/5jrxhgf61q5j-en</w:t>
        </w:r>
      </w:hyperlink>
    </w:p>
  </w:footnote>
  <w:footnote w:id="21">
    <w:p w:rsidR="00BA5274" w:rsidRPr="00081992" w:rsidRDefault="00BA5274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Caldera Sánchez A., Rasmussen M., </w:t>
      </w:r>
      <w:proofErr w:type="spellStart"/>
      <w:r w:rsidRPr="00081992">
        <w:rPr>
          <w:rFonts w:ascii="Times New Roman" w:hAnsi="Times New Roman" w:cs="Times New Roman"/>
        </w:rPr>
        <w:t>Röhn</w:t>
      </w:r>
      <w:proofErr w:type="spellEnd"/>
      <w:r w:rsidRPr="00081992">
        <w:rPr>
          <w:rFonts w:ascii="Times New Roman" w:hAnsi="Times New Roman" w:cs="Times New Roman"/>
        </w:rPr>
        <w:t xml:space="preserve"> O. Economic Resilience: What Role for Policies? // OECD Economics Department Working Papers. 2015. No. 1251. P. 6. DOI: </w:t>
      </w:r>
      <w:hyperlink r:id="rId19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https://doi.org/10.1787/5jrxhgf61q5j-en</w:t>
        </w:r>
      </w:hyperlink>
    </w:p>
  </w:footnote>
  <w:footnote w:id="22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Caldera Sánchez A. et al. Strengthening Economic Resilience // OECD Economic Policy Papers. No. 20. Paris: OECD Publishing, 2017. P. 7-8. DOI: </w:t>
      </w:r>
      <w:hyperlink r:id="rId20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https://doi.org/10.1787/6b748a4b-en</w:t>
        </w:r>
      </w:hyperlink>
    </w:p>
  </w:footnote>
  <w:footnote w:id="23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Caldera Sánchez A. et al. Strengthening Economic Resilience // OECD Economic Policy Papers. 2017. No. 20. P. 8. DOI: </w:t>
      </w:r>
      <w:hyperlink r:id="rId21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https://doi.org/10.1787/6b748a4b-en</w:t>
        </w:r>
      </w:hyperlink>
    </w:p>
  </w:footnote>
  <w:footnote w:id="24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Hermansen</w:t>
      </w:r>
      <w:proofErr w:type="spellEnd"/>
      <w:r w:rsidRPr="00081992">
        <w:rPr>
          <w:rFonts w:ascii="Times New Roman" w:hAnsi="Times New Roman" w:cs="Times New Roman"/>
        </w:rPr>
        <w:t xml:space="preserve"> M., </w:t>
      </w:r>
      <w:proofErr w:type="spellStart"/>
      <w:r w:rsidRPr="00081992">
        <w:rPr>
          <w:rFonts w:ascii="Times New Roman" w:hAnsi="Times New Roman" w:cs="Times New Roman"/>
        </w:rPr>
        <w:t>Röhn</w:t>
      </w:r>
      <w:proofErr w:type="spellEnd"/>
      <w:r w:rsidRPr="00081992">
        <w:rPr>
          <w:rFonts w:ascii="Times New Roman" w:hAnsi="Times New Roman" w:cs="Times New Roman"/>
        </w:rPr>
        <w:t xml:space="preserve"> O. Economic Resilience: The Usefulness of Early Warning Indicators in OECD Countries // OECD Economics Department Working Papers. 2015. No. 1250. P. 1-27. DOI: </w:t>
      </w:r>
      <w:hyperlink r:id="rId22" w:history="1">
        <w:r w:rsidRPr="00081992">
          <w:rPr>
            <w:rStyle w:val="a5"/>
            <w:rFonts w:ascii="Times New Roman" w:hAnsi="Times New Roman" w:cs="Times New Roman"/>
          </w:rPr>
          <w:t>https://doi.org/10.1787/5jrxhgfqx3mv-en</w:t>
        </w:r>
      </w:hyperlink>
    </w:p>
  </w:footnote>
  <w:footnote w:id="25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Development Co-operation Report 2020: Learning from Crises, Building Resilience. Paris: OECD Publishing, 2020. P. 35-37. DOI: </w:t>
      </w:r>
      <w:hyperlink r:id="rId23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https://doi.org/10.1787/f6d42aa5-en</w:t>
        </w:r>
      </w:hyperlink>
    </w:p>
  </w:footnote>
  <w:footnote w:id="26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Development Co-operation Report 2020: Learning from Crises, Building Resilience. Paris: OECD Publishing, 2020. P. 57. DOI: </w:t>
      </w:r>
      <w:hyperlink r:id="rId24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https://doi.org/10.1787/f6d42aa5-en</w:t>
        </w:r>
      </w:hyperlink>
    </w:p>
  </w:footnote>
  <w:footnote w:id="27">
    <w:p w:rsidR="00BA5274" w:rsidRPr="00081992" w:rsidRDefault="00BA5274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Development Co-operation Report 2020. P. 57-59. DOI: </w:t>
      </w:r>
      <w:hyperlink r:id="rId25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https://doi.org/10.1787/f6d42aa5-en</w:t>
        </w:r>
      </w:hyperlink>
    </w:p>
  </w:footnote>
  <w:footnote w:id="28">
    <w:p w:rsidR="00BA5274" w:rsidRPr="00081992" w:rsidRDefault="00BA5274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Oikonomou</w:t>
      </w:r>
      <w:proofErr w:type="spellEnd"/>
      <w:r w:rsidRPr="00081992">
        <w:rPr>
          <w:rFonts w:ascii="Times New Roman" w:hAnsi="Times New Roman" w:cs="Times New Roman"/>
        </w:rPr>
        <w:t xml:space="preserve"> M. et al. IT Shields // </w:t>
      </w:r>
      <w:proofErr w:type="spellStart"/>
      <w:r w:rsidRPr="00081992">
        <w:rPr>
          <w:rFonts w:ascii="Times New Roman" w:hAnsi="Times New Roman" w:cs="Times New Roman"/>
        </w:rPr>
        <w:t>Labour</w:t>
      </w:r>
      <w:proofErr w:type="spellEnd"/>
      <w:r w:rsidRPr="00081992">
        <w:rPr>
          <w:rFonts w:ascii="Times New Roman" w:hAnsi="Times New Roman" w:cs="Times New Roman"/>
        </w:rPr>
        <w:t xml:space="preserve"> Economics. 2023. Vol. 81. Article 102330. DOI: </w:t>
      </w:r>
      <w:hyperlink r:id="rId26" w:tgtFrame="_new" w:history="1">
        <w:r w:rsidRPr="00081992">
          <w:rPr>
            <w:rStyle w:val="a5"/>
            <w:rFonts w:ascii="Times New Roman" w:hAnsi="Times New Roman" w:cs="Times New Roman"/>
          </w:rPr>
          <w:t>https://doi.org/10.1016/j.labeco.2023.102330</w:t>
        </w:r>
      </w:hyperlink>
    </w:p>
  </w:footnote>
  <w:footnote w:id="29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Digital Economy Outlook 2024. Vol. 1. P. 88. DOI: </w:t>
      </w:r>
      <w:hyperlink r:id="rId27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https://doi.org/10.1787/a1689dc5-en</w:t>
        </w:r>
      </w:hyperlink>
    </w:p>
  </w:footnote>
  <w:footnote w:id="30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Eurostat. E-commerce statistics for individuals // Statistics Explained. Luxembourg: Eurostat, 2023. URL: </w:t>
      </w:r>
      <w:hyperlink r:id="rId28" w:tgtFrame="_new" w:history="1">
        <w:r w:rsidRPr="00081992">
          <w:rPr>
            <w:rStyle w:val="a5"/>
            <w:rFonts w:ascii="Times New Roman" w:hAnsi="Times New Roman" w:cs="Times New Roman"/>
          </w:rPr>
          <w:t>https://ec.europa.eu/eurostat/statistics-explained/index.php/E-commerce_statistics_for_individuals</w:t>
        </w:r>
      </w:hyperlink>
    </w:p>
  </w:footnote>
  <w:footnote w:id="31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 Digital Economy Outlook 2024. Vol. 1. Paris: OECD Publishing, 2024. P. 92. DOI: </w:t>
      </w:r>
      <w:hyperlink r:id="rId29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https://doi.org/10.1787/a1689dc5-en</w:t>
        </w:r>
      </w:hyperlink>
    </w:p>
  </w:footnote>
  <w:footnote w:id="32">
    <w:p w:rsidR="00BA5274" w:rsidRPr="00081992" w:rsidRDefault="00BA5274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UNCTAD. Digital Economy Report 2021. New York: United Nations, 2021. URL: </w:t>
      </w:r>
      <w:hyperlink r:id="rId30" w:tgtFrame="_new" w:history="1">
        <w:r w:rsidRPr="00081992">
          <w:rPr>
            <w:rStyle w:val="a5"/>
            <w:rFonts w:ascii="Times New Roman" w:hAnsi="Times New Roman" w:cs="Times New Roman"/>
          </w:rPr>
          <w:t>https://unctad.org/webflyer/digital-economy-report-2021</w:t>
        </w:r>
      </w:hyperlink>
    </w:p>
  </w:footnote>
  <w:footnote w:id="33">
    <w:p w:rsidR="00BA5274" w:rsidRPr="00081992" w:rsidRDefault="00BA5274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Hermansen</w:t>
      </w:r>
      <w:proofErr w:type="spellEnd"/>
      <w:r w:rsidRPr="00081992">
        <w:rPr>
          <w:rFonts w:ascii="Times New Roman" w:hAnsi="Times New Roman" w:cs="Times New Roman"/>
        </w:rPr>
        <w:t xml:space="preserve"> M., </w:t>
      </w:r>
      <w:proofErr w:type="spellStart"/>
      <w:r w:rsidRPr="00081992">
        <w:rPr>
          <w:rFonts w:ascii="Times New Roman" w:hAnsi="Times New Roman" w:cs="Times New Roman"/>
        </w:rPr>
        <w:t>Röhn</w:t>
      </w:r>
      <w:proofErr w:type="spellEnd"/>
      <w:r w:rsidRPr="00081992">
        <w:rPr>
          <w:rFonts w:ascii="Times New Roman" w:hAnsi="Times New Roman" w:cs="Times New Roman"/>
        </w:rPr>
        <w:t xml:space="preserve"> O. Economic Resilience: The Usefulness of Early Warning Indicators in OECD Countries // OECD Economics Department Working Papers. 2015. No. 1250. P. 1-27. DOI: </w:t>
      </w:r>
      <w:hyperlink r:id="rId31" w:history="1">
        <w:r w:rsidRPr="00081992">
          <w:rPr>
            <w:rStyle w:val="a5"/>
            <w:rFonts w:ascii="Times New Roman" w:hAnsi="Times New Roman" w:cs="Times New Roman"/>
          </w:rPr>
          <w:t>https://doi.org/10.1787/5jrxhgfqx3mv-en</w:t>
        </w:r>
      </w:hyperlink>
    </w:p>
  </w:footnote>
  <w:footnote w:id="34">
    <w:p w:rsidR="00BA5274" w:rsidRPr="00081992" w:rsidRDefault="00BA5274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Caldera Sánchez A., Gori F. Can Reforms Promoting Growth Increase Financial Fragility? // OECD Economics Department Working Papers. 2016. No. 1340. DOI: </w:t>
      </w:r>
      <w:hyperlink r:id="rId32" w:history="1">
        <w:r w:rsidRPr="00081992">
          <w:rPr>
            <w:rStyle w:val="a5"/>
            <w:rFonts w:ascii="Times New Roman" w:hAnsi="Times New Roman" w:cs="Times New Roman"/>
          </w:rPr>
          <w:t>https://doi.org/10.1787/5jln0421ld25-en</w:t>
        </w:r>
      </w:hyperlink>
    </w:p>
  </w:footnote>
  <w:footnote w:id="35">
    <w:p w:rsidR="00BA5274" w:rsidRPr="00081992" w:rsidRDefault="00BA5274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Education Estonia. How it all began? From Tiger Leap to digital society. 2023. URL: </w:t>
      </w:r>
      <w:hyperlink r:id="rId33" w:tgtFrame="_new" w:history="1">
        <w:r w:rsidRPr="00081992">
          <w:rPr>
            <w:rStyle w:val="a5"/>
            <w:rFonts w:ascii="Times New Roman" w:hAnsi="Times New Roman" w:cs="Times New Roman"/>
          </w:rPr>
          <w:t>https://www.educationest</w:t>
        </w:r>
        <w:r w:rsidRPr="00081992">
          <w:rPr>
            <w:rStyle w:val="a5"/>
            <w:rFonts w:ascii="Times New Roman" w:hAnsi="Times New Roman" w:cs="Times New Roman"/>
          </w:rPr>
          <w:t>o</w:t>
        </w:r>
        <w:r w:rsidRPr="00081992">
          <w:rPr>
            <w:rStyle w:val="a5"/>
            <w:rFonts w:ascii="Times New Roman" w:hAnsi="Times New Roman" w:cs="Times New Roman"/>
          </w:rPr>
          <w:t>nia.org/tiger-leap/</w:t>
        </w:r>
      </w:hyperlink>
    </w:p>
  </w:footnote>
  <w:footnote w:id="36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Tambur</w:t>
      </w:r>
      <w:proofErr w:type="spellEnd"/>
      <w:r w:rsidRPr="00081992">
        <w:rPr>
          <w:rFonts w:ascii="Times New Roman" w:hAnsi="Times New Roman" w:cs="Times New Roman"/>
        </w:rPr>
        <w:t xml:space="preserve"> S. Estonia’s Tiger Leap: The Schools Project That Wired a Nation for the Digital Age // Estonian World. 21.02.2026. URL: </w:t>
      </w:r>
      <w:hyperlink r:id="rId34" w:history="1">
        <w:r w:rsidRPr="00081992">
          <w:rPr>
            <w:rStyle w:val="a5"/>
            <w:rFonts w:ascii="Times New Roman" w:hAnsi="Times New Roman" w:cs="Times New Roman"/>
          </w:rPr>
          <w:t>https://estonianworld.com/technology/estonias-tiger-leap-the-schools-project-that-wired-a-nation-for-the-digital-age/</w:t>
        </w:r>
      </w:hyperlink>
    </w:p>
  </w:footnote>
  <w:footnote w:id="37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X-Road Global. X-Road History. URL: </w:t>
      </w:r>
      <w:hyperlink r:id="rId35" w:tgtFrame="_new" w:history="1">
        <w:r w:rsidRPr="00081992">
          <w:rPr>
            <w:rStyle w:val="a5"/>
            <w:rFonts w:ascii="Times New Roman" w:hAnsi="Times New Roman" w:cs="Times New Roman"/>
          </w:rPr>
          <w:t>https://x-road.global/xroad-history</w:t>
        </w:r>
      </w:hyperlink>
    </w:p>
  </w:footnote>
  <w:footnote w:id="38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Cybernetica</w:t>
      </w:r>
      <w:proofErr w:type="spellEnd"/>
      <w:r w:rsidRPr="00081992">
        <w:rPr>
          <w:rFonts w:ascii="Times New Roman" w:hAnsi="Times New Roman" w:cs="Times New Roman"/>
        </w:rPr>
        <w:t xml:space="preserve">. Estonian Interoperability Framework X-Road. 2021. URL: </w:t>
      </w:r>
      <w:hyperlink r:id="rId36" w:tgtFrame="_new" w:history="1">
        <w:r w:rsidRPr="00081992">
          <w:rPr>
            <w:rStyle w:val="a5"/>
            <w:rFonts w:ascii="Times New Roman" w:hAnsi="Times New Roman" w:cs="Times New Roman"/>
          </w:rPr>
          <w:t>https://cyber.ee/resources/case-studies/estonian-interoperability-framework-x-road/</w:t>
        </w:r>
      </w:hyperlink>
    </w:p>
  </w:footnote>
  <w:footnote w:id="39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Invest in Estonia. E-Residency Brings Record Revenue in First Half of 2025. August 2025. URL: </w:t>
      </w:r>
      <w:hyperlink r:id="rId37" w:tgtFrame="_new" w:history="1">
        <w:r w:rsidRPr="00081992">
          <w:rPr>
            <w:rStyle w:val="a5"/>
            <w:rFonts w:ascii="Times New Roman" w:hAnsi="Times New Roman" w:cs="Times New Roman"/>
          </w:rPr>
          <w:t>https://investinestonia.com/e-residency-brings-record-revenue-in-first-half-of-2025/</w:t>
        </w:r>
      </w:hyperlink>
    </w:p>
  </w:footnote>
  <w:footnote w:id="40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The Baltic Times. New Milestone for e-Residency with Record Number of Companies Founded in 2024. January 2025. URL: </w:t>
      </w:r>
      <w:hyperlink r:id="rId38" w:tgtFrame="_new" w:history="1">
        <w:r w:rsidRPr="00081992">
          <w:rPr>
            <w:rStyle w:val="a5"/>
            <w:rFonts w:ascii="Times New Roman" w:hAnsi="Times New Roman" w:cs="Times New Roman"/>
          </w:rPr>
          <w:t>https://www.baltictimes.com/new_milestone_for_e-residency_with_record_number_of_companies_founded_in_2024/</w:t>
        </w:r>
      </w:hyperlink>
    </w:p>
  </w:footnote>
  <w:footnote w:id="41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UN DESA. UN E-Government Survey 2024. New York: United Nations, 2024. URL: </w:t>
      </w:r>
      <w:hyperlink r:id="rId39" w:tgtFrame="_new" w:history="1">
        <w:r w:rsidRPr="00081992">
          <w:rPr>
            <w:rStyle w:val="a5"/>
            <w:rFonts w:ascii="Times New Roman" w:hAnsi="Times New Roman" w:cs="Times New Roman"/>
          </w:rPr>
          <w:t>https://publicadministration.un.org/egovkb/</w:t>
        </w:r>
      </w:hyperlink>
    </w:p>
  </w:footnote>
  <w:footnote w:id="42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IEA. Korean New Deal - Digital New Deal, Green New Deal and Stronger Safety Net. 2021. URL: </w:t>
      </w:r>
      <w:hyperlink r:id="rId40" w:tgtFrame="_new" w:history="1">
        <w:r w:rsidRPr="00081992">
          <w:rPr>
            <w:rStyle w:val="a5"/>
            <w:rFonts w:ascii="Times New Roman" w:hAnsi="Times New Roman" w:cs="Times New Roman"/>
          </w:rPr>
          <w:t>https://www.iea.org/policies/11514-korean-new-deal-digital-new-deal-green-new-deal-and-stronger-safety-net</w:t>
        </w:r>
      </w:hyperlink>
    </w:p>
  </w:footnote>
  <w:footnote w:id="43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Lee J.-H., Woo J. Discourse of the Post-COVID 19 New Deal in South Korea // Sustainability. 2021. Vol. 13, No. 15. Article 8493. DOI: </w:t>
      </w:r>
      <w:hyperlink r:id="rId41" w:tgtFrame="_new" w:history="1">
        <w:r w:rsidRPr="00081992">
          <w:rPr>
            <w:rStyle w:val="a5"/>
            <w:rFonts w:ascii="Times New Roman" w:hAnsi="Times New Roman" w:cs="Times New Roman"/>
          </w:rPr>
          <w:t>https://doi.org/10.3390/su13158493</w:t>
        </w:r>
      </w:hyperlink>
    </w:p>
  </w:footnote>
  <w:footnote w:id="44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KEIA. The Korean New Deal // The Peninsula. July 2021. URL: </w:t>
      </w:r>
      <w:hyperlink r:id="rId42" w:tgtFrame="_new" w:history="1">
        <w:r w:rsidRPr="00081992">
          <w:rPr>
            <w:rStyle w:val="a5"/>
            <w:rFonts w:ascii="Times New Roman" w:hAnsi="Times New Roman" w:cs="Times New Roman"/>
          </w:rPr>
          <w:t>https://keia.org/the-peninsula/the-korean-new-deal/</w:t>
        </w:r>
      </w:hyperlink>
    </w:p>
  </w:footnote>
  <w:footnote w:id="45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MSIT Korea. Digital New Deal Secures Future Growth Engine. August 2021. URL: </w:t>
      </w:r>
      <w:hyperlink r:id="rId43" w:tgtFrame="_new" w:history="1">
        <w:r w:rsidRPr="00081992">
          <w:rPr>
            <w:rStyle w:val="a5"/>
            <w:rFonts w:ascii="Times New Roman" w:hAnsi="Times New Roman" w:cs="Times New Roman"/>
          </w:rPr>
          <w:t>https://www.prnewswire.com/news-releases/digital-new-deal-secures-future-growth-engine-301346790.html</w:t>
        </w:r>
      </w:hyperlink>
    </w:p>
  </w:footnote>
  <w:footnote w:id="46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The Diplomat. South Korea’s Digital New Deal. June 2020. URL: </w:t>
      </w:r>
      <w:hyperlink r:id="rId44" w:tgtFrame="_new" w:history="1">
        <w:r w:rsidRPr="00081992">
          <w:rPr>
            <w:rStyle w:val="a5"/>
            <w:rFonts w:ascii="Times New Roman" w:hAnsi="Times New Roman" w:cs="Times New Roman"/>
          </w:rPr>
          <w:t>https://thediplomat.com/2020/06/south-koreas-digital-new-deal/</w:t>
        </w:r>
      </w:hyperlink>
    </w:p>
  </w:footnote>
  <w:footnote w:id="47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UN DESA. Republic of Korea: Country Information. E-Government Development Index 2024. URL: </w:t>
      </w:r>
      <w:hyperlink r:id="rId45" w:tgtFrame="_new" w:history="1">
        <w:r w:rsidRPr="00081992">
          <w:rPr>
            <w:rStyle w:val="a5"/>
            <w:rFonts w:ascii="Times New Roman" w:hAnsi="Times New Roman" w:cs="Times New Roman"/>
          </w:rPr>
          <w:t>https://publicadministration.un.org/egovkb/en-us/Data/Country-Information/id/138-Republic-of-Korea</w:t>
        </w:r>
      </w:hyperlink>
    </w:p>
  </w:footnote>
  <w:footnote w:id="48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GovInsider</w:t>
      </w:r>
      <w:proofErr w:type="spellEnd"/>
      <w:r w:rsidRPr="00081992">
        <w:rPr>
          <w:rFonts w:ascii="Times New Roman" w:hAnsi="Times New Roman" w:cs="Times New Roman"/>
        </w:rPr>
        <w:t xml:space="preserve">. Leaving </w:t>
      </w:r>
      <w:proofErr w:type="gramStart"/>
      <w:r w:rsidRPr="00081992">
        <w:rPr>
          <w:rFonts w:ascii="Times New Roman" w:hAnsi="Times New Roman" w:cs="Times New Roman"/>
        </w:rPr>
        <w:t>No</w:t>
      </w:r>
      <w:proofErr w:type="gramEnd"/>
      <w:r w:rsidRPr="00081992">
        <w:rPr>
          <w:rFonts w:ascii="Times New Roman" w:hAnsi="Times New Roman" w:cs="Times New Roman"/>
        </w:rPr>
        <w:t xml:space="preserve"> One Behind Will Determine Success of Smart Nation 2.0. 2024. URL: </w:t>
      </w:r>
      <w:hyperlink r:id="rId46" w:tgtFrame="_new" w:history="1">
        <w:r w:rsidRPr="00081992">
          <w:rPr>
            <w:rStyle w:val="a5"/>
            <w:rFonts w:ascii="Times New Roman" w:hAnsi="Times New Roman" w:cs="Times New Roman"/>
          </w:rPr>
          <w:t>https://govinsider.asia/intl-en/article/leaving-no-one-behind-will-determine-success-of-smart-nation-20</w:t>
        </w:r>
      </w:hyperlink>
    </w:p>
  </w:footnote>
  <w:footnote w:id="49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Southeast Asia Infrastructure. Digital Leap: Singapore’s Blueprint for Smart Nation 2.0. 2025. URL: </w:t>
      </w:r>
      <w:hyperlink r:id="rId47" w:tgtFrame="_new" w:history="1">
        <w:r w:rsidRPr="00081992">
          <w:rPr>
            <w:rStyle w:val="a5"/>
            <w:rFonts w:ascii="Times New Roman" w:hAnsi="Times New Roman" w:cs="Times New Roman"/>
          </w:rPr>
          <w:t>https://southeastasiainfra.com/digital-leap-singapores-blueprint-for-smart-nation-2-0/</w:t>
        </w:r>
      </w:hyperlink>
    </w:p>
  </w:footnote>
  <w:footnote w:id="50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GovTech</w:t>
      </w:r>
      <w:proofErr w:type="spellEnd"/>
      <w:r w:rsidRPr="00081992">
        <w:rPr>
          <w:rFonts w:ascii="Times New Roman" w:hAnsi="Times New Roman" w:cs="Times New Roman"/>
        </w:rPr>
        <w:t xml:space="preserve"> Singapore. Smart Nation 2.0: Initiatives in Singapore. 2024. URL: </w:t>
      </w:r>
      <w:hyperlink r:id="rId48" w:tgtFrame="_new" w:history="1">
        <w:r w:rsidRPr="00081992">
          <w:rPr>
            <w:rStyle w:val="a5"/>
            <w:rFonts w:ascii="Times New Roman" w:hAnsi="Times New Roman" w:cs="Times New Roman"/>
          </w:rPr>
          <w:t>https://www.tech.gov.sg/technews/our-enhanced-smart-nation-vision-paving-the-way-for-a-new-digital-era/</w:t>
        </w:r>
      </w:hyperlink>
    </w:p>
  </w:footnote>
  <w:footnote w:id="51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OpenGov</w:t>
      </w:r>
      <w:proofErr w:type="spellEnd"/>
      <w:r w:rsidRPr="00081992">
        <w:rPr>
          <w:rFonts w:ascii="Times New Roman" w:hAnsi="Times New Roman" w:cs="Times New Roman"/>
        </w:rPr>
        <w:t xml:space="preserve"> Asia. Singapore: Milestones and Momentum of a Smart Nation. December 2025. URL: </w:t>
      </w:r>
      <w:hyperlink r:id="rId49" w:tgtFrame="_new" w:history="1">
        <w:r w:rsidRPr="00081992">
          <w:rPr>
            <w:rStyle w:val="a5"/>
            <w:rFonts w:ascii="Times New Roman" w:hAnsi="Times New Roman" w:cs="Times New Roman"/>
          </w:rPr>
          <w:t>https://opengovasia.com/singapore-milestones-and-momentum-of-a-smart-nation/</w:t>
        </w:r>
      </w:hyperlink>
    </w:p>
  </w:footnote>
  <w:footnote w:id="52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MD. World Digital Competitiveness Ranking 2024; </w:t>
      </w:r>
      <w:proofErr w:type="spellStart"/>
      <w:r w:rsidRPr="00081992">
        <w:rPr>
          <w:rFonts w:ascii="Times New Roman" w:hAnsi="Times New Roman" w:cs="Times New Roman"/>
        </w:rPr>
        <w:t>Portulans</w:t>
      </w:r>
      <w:proofErr w:type="spellEnd"/>
      <w:r w:rsidRPr="00081992">
        <w:rPr>
          <w:rFonts w:ascii="Times New Roman" w:hAnsi="Times New Roman" w:cs="Times New Roman"/>
        </w:rPr>
        <w:t xml:space="preserve"> Institute. Network Readiness Index 2024; UN DESA. Singapore: EGDI 2024. URL: </w:t>
      </w:r>
      <w:hyperlink r:id="rId50" w:history="1">
        <w:r w:rsidRPr="00081992">
          <w:rPr>
            <w:rStyle w:val="a5"/>
            <w:rFonts w:ascii="Times New Roman" w:hAnsi="Times New Roman" w:cs="Times New Roman"/>
          </w:rPr>
          <w:t>https://publicadministration.un.org/egovkb/en-us/Data/Country-Information/id/156-Singapore</w:t>
        </w:r>
      </w:hyperlink>
    </w:p>
  </w:footnote>
  <w:footnote w:id="53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Przepióra</w:t>
      </w:r>
      <w:proofErr w:type="spellEnd"/>
      <w:r w:rsidRPr="00081992">
        <w:rPr>
          <w:rFonts w:ascii="Times New Roman" w:hAnsi="Times New Roman" w:cs="Times New Roman"/>
        </w:rPr>
        <w:t xml:space="preserve"> P. Digital State: How Poland Became a European Leader in </w:t>
      </w:r>
      <w:proofErr w:type="spellStart"/>
      <w:r w:rsidRPr="00081992">
        <w:rPr>
          <w:rFonts w:ascii="Times New Roman" w:hAnsi="Times New Roman" w:cs="Times New Roman"/>
        </w:rPr>
        <w:t>Digitalisation</w:t>
      </w:r>
      <w:proofErr w:type="spellEnd"/>
      <w:r w:rsidRPr="00081992">
        <w:rPr>
          <w:rFonts w:ascii="Times New Roman" w:hAnsi="Times New Roman" w:cs="Times New Roman"/>
        </w:rPr>
        <w:t xml:space="preserve"> // Warsaw Institute. 09.10.2025. URL: </w:t>
      </w:r>
      <w:hyperlink r:id="rId51" w:history="1">
        <w:r w:rsidRPr="00081992">
          <w:rPr>
            <w:rStyle w:val="a5"/>
            <w:rFonts w:ascii="Times New Roman" w:hAnsi="Times New Roman" w:cs="Times New Roman"/>
          </w:rPr>
          <w:t xml:space="preserve">Digital State: How Poland Became a European Leader in 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Digitalisation</w:t>
        </w:r>
        <w:proofErr w:type="spellEnd"/>
        <w:r w:rsidRPr="00081992">
          <w:rPr>
            <w:rStyle w:val="a5"/>
            <w:rFonts w:ascii="Times New Roman" w:hAnsi="Times New Roman" w:cs="Times New Roman"/>
          </w:rPr>
          <w:t xml:space="preserve"> | Warsaw Institute</w:t>
        </w:r>
      </w:hyperlink>
    </w:p>
  </w:footnote>
  <w:footnote w:id="54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European Commission. Digital Connectivity in Poland // Shaping Europe’s Digital Future. Last update: 04.02.2026. URL: </w:t>
      </w:r>
      <w:hyperlink r:id="rId52" w:history="1">
        <w:r w:rsidRPr="00081992">
          <w:rPr>
            <w:rStyle w:val="a5"/>
            <w:rFonts w:ascii="Times New Roman" w:hAnsi="Times New Roman" w:cs="Times New Roman"/>
          </w:rPr>
          <w:t>Digital connectivity in Poland | Shaping Europe’s digital future</w:t>
        </w:r>
      </w:hyperlink>
    </w:p>
  </w:footnote>
  <w:footnote w:id="55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AIN. </w:t>
      </w:r>
      <w:proofErr w:type="spellStart"/>
      <w:r w:rsidRPr="00081992">
        <w:rPr>
          <w:rFonts w:ascii="Times New Roman" w:hAnsi="Times New Roman" w:cs="Times New Roman"/>
        </w:rPr>
        <w:t>mObywatel</w:t>
      </w:r>
      <w:proofErr w:type="spellEnd"/>
      <w:r w:rsidRPr="00081992">
        <w:rPr>
          <w:rFonts w:ascii="Times New Roman" w:hAnsi="Times New Roman" w:cs="Times New Roman"/>
        </w:rPr>
        <w:t xml:space="preserve"> 2.0: Digital ID Became Equal to Plastic Document in Poland. 14.07.2023. URL: </w:t>
      </w:r>
      <w:hyperlink r:id="rId53" w:tgtFrame="_new" w:history="1">
        <w:r w:rsidRPr="00081992">
          <w:rPr>
            <w:rStyle w:val="a5"/>
            <w:rFonts w:ascii="Times New Roman" w:hAnsi="Times New Roman" w:cs="Times New Roman"/>
          </w:rPr>
          <w:t>https://en.ain.ua/2023/07/14/poland-digital-ids-equal-traditional-documents/</w:t>
        </w:r>
      </w:hyperlink>
    </w:p>
  </w:footnote>
  <w:footnote w:id="56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Biometric Update. Poland Campaigns to Boost the Use of Its Digital ID Platform </w:t>
      </w:r>
      <w:proofErr w:type="spellStart"/>
      <w:r w:rsidRPr="00081992">
        <w:rPr>
          <w:rFonts w:ascii="Times New Roman" w:hAnsi="Times New Roman" w:cs="Times New Roman"/>
        </w:rPr>
        <w:t>mObywatel</w:t>
      </w:r>
      <w:proofErr w:type="spellEnd"/>
      <w:r w:rsidRPr="00081992">
        <w:rPr>
          <w:rFonts w:ascii="Times New Roman" w:hAnsi="Times New Roman" w:cs="Times New Roman"/>
        </w:rPr>
        <w:t xml:space="preserve">. August 2025. URL: </w:t>
      </w:r>
      <w:hyperlink r:id="rId54" w:tgtFrame="_new" w:history="1">
        <w:r w:rsidRPr="00081992">
          <w:rPr>
            <w:rStyle w:val="a5"/>
            <w:rFonts w:ascii="Times New Roman" w:hAnsi="Times New Roman" w:cs="Times New Roman"/>
          </w:rPr>
          <w:t>https://www.biometricupdate.com/202508/poland-campaigns-to-boost-the-use-of-its-digital-id-platform-mobywatel</w:t>
        </w:r>
      </w:hyperlink>
    </w:p>
  </w:footnote>
  <w:footnote w:id="57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U.S. International Trade Administration. Poland - Digital Economy // Country Commercial Guides. 2026. URL: </w:t>
      </w:r>
      <w:hyperlink r:id="rId55" w:tgtFrame="_new" w:history="1">
        <w:r w:rsidRPr="00081992">
          <w:rPr>
            <w:rStyle w:val="a5"/>
            <w:rFonts w:ascii="Times New Roman" w:hAnsi="Times New Roman" w:cs="Times New Roman"/>
          </w:rPr>
          <w:t>https://www.trade.gov/country-commercial-guides/poland-digital-economy</w:t>
        </w:r>
      </w:hyperlink>
    </w:p>
  </w:footnote>
  <w:footnote w:id="58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OECD Digital Economy Outlook 2024. Vol. 1. P. 24-25. DOI: </w:t>
      </w:r>
      <w:hyperlink r:id="rId56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https://doi.org/10.1787/a1689dc5-en</w:t>
        </w:r>
      </w:hyperlink>
    </w:p>
  </w:footnote>
  <w:footnote w:id="59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IMDA. Singapore Digital Economy Report 2024. 2024. P. 8. URL: </w:t>
      </w:r>
      <w:hyperlink r:id="rId57" w:history="1">
        <w:r w:rsidRPr="00081992">
          <w:rPr>
            <w:rStyle w:val="a5"/>
            <w:rFonts w:ascii="Times New Roman" w:hAnsi="Times New Roman" w:cs="Times New Roman"/>
          </w:rPr>
          <w:t>singapore-digital-economy-report-2024.pdf</w:t>
        </w:r>
      </w:hyperlink>
    </w:p>
  </w:footnote>
  <w:footnote w:id="60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Eurostat. Real GDP Growth Rate - Volume: Estonia, Annual Data 2020-2022. URL: </w:t>
      </w:r>
      <w:hyperlink r:id="rId58" w:tgtFrame="_new" w:history="1">
        <w:r w:rsidRPr="00081992">
          <w:rPr>
            <w:rStyle w:val="a5"/>
            <w:rFonts w:ascii="Times New Roman" w:hAnsi="Times New Roman" w:cs="Times New Roman"/>
          </w:rPr>
          <w:t>https://ec.europa.eu/eurostat/databrowser/view/tec00115/</w:t>
        </w:r>
      </w:hyperlink>
    </w:p>
  </w:footnote>
  <w:footnote w:id="61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The CSR Universe. Estonia: A Fine Model of E-governance for the World. January 2025. URL: </w:t>
      </w:r>
      <w:hyperlink r:id="rId59" w:tgtFrame="_new" w:history="1">
        <w:r w:rsidRPr="00081992">
          <w:rPr>
            <w:rStyle w:val="a5"/>
            <w:rFonts w:ascii="Times New Roman" w:hAnsi="Times New Roman" w:cs="Times New Roman"/>
          </w:rPr>
          <w:t>https://thecsruniverse.com/articles/estonia-a-fine-model-of-e-governance-for-the-world</w:t>
        </w:r>
      </w:hyperlink>
    </w:p>
  </w:footnote>
  <w:footnote w:id="62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IMF. World Economic Outlook Database, April 2024: Estonia - Real GDP Growth. Washington, DC: International Monetary Fund, 2024. URL: </w:t>
      </w:r>
      <w:hyperlink r:id="rId60" w:tgtFrame="_new" w:history="1">
        <w:r w:rsidRPr="00081992">
          <w:rPr>
            <w:rStyle w:val="a5"/>
            <w:rFonts w:ascii="Times New Roman" w:hAnsi="Times New Roman" w:cs="Times New Roman"/>
          </w:rPr>
          <w:t>https://www.imf.org/en/Publications/WEO/weo-database/2024/April</w:t>
        </w:r>
      </w:hyperlink>
    </w:p>
  </w:footnote>
  <w:footnote w:id="63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European Parliament. Estonia’s National Recovery and Resilience Plan: Latest State of Play // EPRS Briefing. 2023. URL: </w:t>
      </w:r>
      <w:hyperlink r:id="rId61" w:tgtFrame="_new" w:history="1">
        <w:r w:rsidRPr="00081992">
          <w:rPr>
            <w:rStyle w:val="a5"/>
            <w:rFonts w:ascii="Times New Roman" w:hAnsi="Times New Roman" w:cs="Times New Roman"/>
          </w:rPr>
          <w:t>https://www.europarl.europa.eu/thinktank/en/document/EPRS_BRI(2022)698886</w:t>
        </w:r>
      </w:hyperlink>
    </w:p>
  </w:footnote>
  <w:footnote w:id="64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Stangarone</w:t>
      </w:r>
      <w:proofErr w:type="spellEnd"/>
      <w:r w:rsidRPr="00081992">
        <w:rPr>
          <w:rFonts w:ascii="Times New Roman" w:hAnsi="Times New Roman" w:cs="Times New Roman"/>
        </w:rPr>
        <w:t xml:space="preserve"> T. South Korea’s Strong Economic Performance Faces Post-Pandemic Challenges // East Asia Forum. 04.02.2022. URL: </w:t>
      </w:r>
      <w:hyperlink r:id="rId62" w:tgtFrame="_new" w:history="1">
        <w:r w:rsidRPr="00081992">
          <w:rPr>
            <w:rStyle w:val="a5"/>
            <w:rFonts w:ascii="Times New Roman" w:hAnsi="Times New Roman" w:cs="Times New Roman"/>
          </w:rPr>
          <w:t>https://eastasiaforum.org/2022/02/04/south-koreas-strong-economic-performance-faces-post-pandemic-challenges/</w:t>
        </w:r>
      </w:hyperlink>
    </w:p>
  </w:footnote>
  <w:footnote w:id="65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Korean Re. Bulletin No. 180: Economic Outlook 2021. URL: </w:t>
      </w:r>
      <w:hyperlink r:id="rId63" w:tgtFrame="_new" w:history="1">
        <w:r w:rsidRPr="00081992">
          <w:rPr>
            <w:rStyle w:val="a5"/>
            <w:rFonts w:ascii="Times New Roman" w:hAnsi="Times New Roman" w:cs="Times New Roman"/>
          </w:rPr>
          <w:t>http://eng.koreanre.co.kr/webzine/Bulletin_180/bull1.html</w:t>
        </w:r>
      </w:hyperlink>
    </w:p>
  </w:footnote>
  <w:footnote w:id="66">
    <w:p w:rsidR="00BA5274" w:rsidRPr="00081992" w:rsidRDefault="00BA5274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Bank of Korea. Consumer Price Index: July 2022. Seoul: Bank of Korea, 2022. URL: </w:t>
      </w:r>
      <w:hyperlink r:id="rId64" w:tgtFrame="_new" w:history="1">
        <w:r w:rsidRPr="00081992">
          <w:rPr>
            <w:rStyle w:val="a5"/>
            <w:rFonts w:ascii="Times New Roman" w:hAnsi="Times New Roman" w:cs="Times New Roman"/>
          </w:rPr>
          <w:t>https://www.bok.or.kr/eng/main/main.do</w:t>
        </w:r>
      </w:hyperlink>
    </w:p>
  </w:footnote>
  <w:footnote w:id="67">
    <w:p w:rsidR="00BA5274" w:rsidRPr="00081992" w:rsidRDefault="00BA5274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Lee J.-H., Woo J. Discourse of the Post-COVID 19 New Deal in South Korea // Sustainability. 2021. Vol. 13, No. 15. Article 8493. DOI: </w:t>
      </w:r>
      <w:hyperlink r:id="rId65" w:tgtFrame="_new" w:history="1">
        <w:r w:rsidRPr="00081992">
          <w:rPr>
            <w:rStyle w:val="a5"/>
            <w:rFonts w:ascii="Times New Roman" w:hAnsi="Times New Roman" w:cs="Times New Roman"/>
          </w:rPr>
          <w:t>https://doi.org/10.3390/su13158493</w:t>
        </w:r>
      </w:hyperlink>
    </w:p>
  </w:footnote>
  <w:footnote w:id="68">
    <w:p w:rsidR="00BA5274" w:rsidRPr="00081992" w:rsidRDefault="00BA5274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S&amp;P Global Market Intelligence. Singapore Economy Continues on Road to Recovery. July 2022. URL: </w:t>
      </w:r>
      <w:hyperlink r:id="rId66" w:tgtFrame="_new" w:history="1">
        <w:r w:rsidRPr="00081992">
          <w:rPr>
            <w:rStyle w:val="a5"/>
            <w:rFonts w:ascii="Times New Roman" w:hAnsi="Times New Roman" w:cs="Times New Roman"/>
          </w:rPr>
          <w:t>https://www.spglobal.com/marketintelligence/en/mi/research-analysis/singapore-economy-continues-on-road-to-recovery-july22.html</w:t>
        </w:r>
      </w:hyperlink>
    </w:p>
  </w:footnote>
  <w:footnote w:id="69">
    <w:p w:rsidR="00BA5274" w:rsidRPr="00081992" w:rsidRDefault="00BA5274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ip</w:t>
      </w:r>
      <w:proofErr w:type="spellEnd"/>
      <w:r w:rsidRPr="00081992">
        <w:rPr>
          <w:rFonts w:ascii="Times New Roman" w:hAnsi="Times New Roman" w:cs="Times New Roman"/>
        </w:rPr>
        <w:t xml:space="preserve"> H. </w:t>
      </w:r>
      <w:proofErr w:type="gramStart"/>
      <w:r w:rsidRPr="00081992">
        <w:rPr>
          <w:rFonts w:ascii="Times New Roman" w:hAnsi="Times New Roman" w:cs="Times New Roman"/>
        </w:rPr>
        <w:t>et al.</w:t>
      </w:r>
      <w:proofErr w:type="gramEnd"/>
      <w:r w:rsidRPr="00081992">
        <w:rPr>
          <w:rFonts w:ascii="Times New Roman" w:hAnsi="Times New Roman" w:cs="Times New Roman"/>
        </w:rPr>
        <w:t xml:space="preserve"> Digital Government to Counter the Effects of COVID-19: The Case of Singapore // ERIA Research Project Report. 2022. URL: </w:t>
      </w:r>
      <w:hyperlink r:id="rId67" w:tgtFrame="_new" w:history="1">
        <w:r w:rsidRPr="00081992">
          <w:rPr>
            <w:rStyle w:val="a5"/>
            <w:rFonts w:ascii="Times New Roman" w:hAnsi="Times New Roman" w:cs="Times New Roman"/>
          </w:rPr>
          <w:t>https://www.eria.org/uploads/04_Chapter-3-The-Case-of-Singapore.pdf</w:t>
        </w:r>
      </w:hyperlink>
    </w:p>
  </w:footnote>
  <w:footnote w:id="70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Smart Nation Singapore. </w:t>
      </w:r>
      <w:proofErr w:type="spellStart"/>
      <w:r w:rsidRPr="00081992">
        <w:rPr>
          <w:rFonts w:ascii="Times New Roman" w:hAnsi="Times New Roman" w:cs="Times New Roman"/>
        </w:rPr>
        <w:t>TraceTogether</w:t>
      </w:r>
      <w:proofErr w:type="spellEnd"/>
      <w:r w:rsidRPr="00081992">
        <w:rPr>
          <w:rFonts w:ascii="Times New Roman" w:hAnsi="Times New Roman" w:cs="Times New Roman"/>
        </w:rPr>
        <w:t xml:space="preserve"> reduced contact tracing time from 4 days to less than 1.5 days. 2021. </w:t>
      </w:r>
      <w:proofErr w:type="spellStart"/>
      <w:r w:rsidRPr="00081992">
        <w:rPr>
          <w:rFonts w:ascii="Times New Roman" w:hAnsi="Times New Roman" w:cs="Times New Roman"/>
        </w:rPr>
        <w:t>Цит</w:t>
      </w:r>
      <w:proofErr w:type="spellEnd"/>
      <w:r w:rsidRPr="00081992">
        <w:rPr>
          <w:rFonts w:ascii="Times New Roman" w:hAnsi="Times New Roman" w:cs="Times New Roman"/>
        </w:rPr>
        <w:t xml:space="preserve">. </w:t>
      </w:r>
      <w:proofErr w:type="spellStart"/>
      <w:r w:rsidRPr="00081992">
        <w:rPr>
          <w:rFonts w:ascii="Times New Roman" w:hAnsi="Times New Roman" w:cs="Times New Roman"/>
        </w:rPr>
        <w:t>по</w:t>
      </w:r>
      <w:proofErr w:type="spellEnd"/>
      <w:r w:rsidRPr="00081992">
        <w:rPr>
          <w:rFonts w:ascii="Times New Roman" w:hAnsi="Times New Roman" w:cs="Times New Roman"/>
        </w:rPr>
        <w:t xml:space="preserve">: Yip H. </w:t>
      </w:r>
      <w:proofErr w:type="gramStart"/>
      <w:r w:rsidRPr="00081992">
        <w:rPr>
          <w:rFonts w:ascii="Times New Roman" w:hAnsi="Times New Roman" w:cs="Times New Roman"/>
        </w:rPr>
        <w:t>et al.</w:t>
      </w:r>
      <w:proofErr w:type="gramEnd"/>
      <w:r w:rsidRPr="00081992">
        <w:rPr>
          <w:rFonts w:ascii="Times New Roman" w:hAnsi="Times New Roman" w:cs="Times New Roman"/>
        </w:rPr>
        <w:t xml:space="preserve"> Digital Government to Counter the Effects of COVID-19: The Case of Singapore // ERIA Research Project Report. 2022. URL: </w:t>
      </w:r>
      <w:hyperlink r:id="rId68" w:tgtFrame="_new" w:history="1">
        <w:r w:rsidRPr="00081992">
          <w:rPr>
            <w:rStyle w:val="a5"/>
            <w:rFonts w:ascii="Times New Roman" w:hAnsi="Times New Roman" w:cs="Times New Roman"/>
          </w:rPr>
          <w:t>https://www.eria.org/uploads/04_Chapter-3-The-Case-of-Singapore.pdf</w:t>
        </w:r>
      </w:hyperlink>
    </w:p>
  </w:footnote>
  <w:footnote w:id="71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Ministry of Finance of Singapore. Ministerial Statement on COVID-19 Strategy. 2020. URL: </w:t>
      </w:r>
      <w:hyperlink r:id="rId69" w:tgtFrame="_new" w:history="1">
        <w:r w:rsidRPr="00081992">
          <w:rPr>
            <w:rStyle w:val="a5"/>
            <w:rFonts w:ascii="Times New Roman" w:hAnsi="Times New Roman" w:cs="Times New Roman"/>
          </w:rPr>
          <w:t>https://www.mof.gov.sg/news-resources/newsroom/ministerial-statement-on-overview-of-government-s-strategy-to-emerge-stronger-from-the-covid-19-pandemic/</w:t>
        </w:r>
      </w:hyperlink>
    </w:p>
  </w:footnote>
  <w:footnote w:id="72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World Bank. Polish Economy Returns to Growth Amidst Pandemic-Related Setbacks. 31.03.2021. URL: </w:t>
      </w:r>
      <w:hyperlink r:id="rId70" w:tgtFrame="_new" w:history="1">
        <w:r w:rsidRPr="00081992">
          <w:rPr>
            <w:rStyle w:val="a5"/>
            <w:rFonts w:ascii="Times New Roman" w:hAnsi="Times New Roman" w:cs="Times New Roman"/>
          </w:rPr>
          <w:t>https://www.worldbank.org/en/news/press-release/2021/03/31/polish-economy-returns-to-growth-amidst-pandemic-related-setbacks</w:t>
        </w:r>
      </w:hyperlink>
    </w:p>
  </w:footnote>
  <w:footnote w:id="73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U.S. Department of State. 2023 Investment Climate Statements: Poland. URL: </w:t>
      </w:r>
      <w:hyperlink r:id="rId71" w:tgtFrame="_new" w:history="1">
        <w:r w:rsidRPr="00081992">
          <w:rPr>
            <w:rStyle w:val="a5"/>
            <w:rFonts w:ascii="Times New Roman" w:hAnsi="Times New Roman" w:cs="Times New Roman"/>
          </w:rPr>
          <w:t>https://www.state.gov/reports/2023-investment-climate-statements/poland</w:t>
        </w:r>
      </w:hyperlink>
    </w:p>
  </w:footnote>
  <w:footnote w:id="74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International Energy Agency. Poland 2022 - Energy Policy Review: Executive Summary. URL: </w:t>
      </w:r>
      <w:hyperlink r:id="rId72" w:tgtFrame="_new" w:history="1">
        <w:r w:rsidRPr="00081992">
          <w:rPr>
            <w:rStyle w:val="a5"/>
            <w:rFonts w:ascii="Times New Roman" w:hAnsi="Times New Roman" w:cs="Times New Roman"/>
          </w:rPr>
          <w:t>https://www.iea.org/reports/poland-2022/executive-summary</w:t>
        </w:r>
      </w:hyperlink>
    </w:p>
  </w:footnote>
  <w:footnote w:id="75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Friedrich-Ebert-</w:t>
      </w:r>
      <w:proofErr w:type="spellStart"/>
      <w:r w:rsidRPr="00081992">
        <w:rPr>
          <w:rFonts w:ascii="Times New Roman" w:hAnsi="Times New Roman" w:cs="Times New Roman"/>
        </w:rPr>
        <w:t>Stiftung</w:t>
      </w:r>
      <w:proofErr w:type="spellEnd"/>
      <w:r w:rsidRPr="00081992">
        <w:rPr>
          <w:rFonts w:ascii="Times New Roman" w:hAnsi="Times New Roman" w:cs="Times New Roman"/>
        </w:rPr>
        <w:t xml:space="preserve">. What to Do About Inflation? Poland. 2022. URL: </w:t>
      </w:r>
      <w:hyperlink r:id="rId73" w:tgtFrame="_new" w:history="1">
        <w:r w:rsidRPr="00081992">
          <w:rPr>
            <w:rStyle w:val="a5"/>
            <w:rFonts w:ascii="Times New Roman" w:hAnsi="Times New Roman" w:cs="Times New Roman"/>
          </w:rPr>
          <w:t>https://www.fes.de/en/progressive-fiscal-policy/inflation/what-to-do-about-inflation/what-to-do-about-inflation-poland</w:t>
        </w:r>
      </w:hyperlink>
    </w:p>
  </w:footnote>
  <w:footnote w:id="76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IMF. World Economic Outlook Database, April 2024. Washington, DC: International Monetary Fund, 2024; Eurostat. Real GDP Growth Rate - Volume. URL: </w:t>
      </w:r>
      <w:hyperlink r:id="rId74" w:tgtFrame="_new" w:history="1">
        <w:r w:rsidRPr="00081992">
          <w:rPr>
            <w:rStyle w:val="a5"/>
            <w:rFonts w:ascii="Times New Roman" w:hAnsi="Times New Roman" w:cs="Times New Roman"/>
          </w:rPr>
          <w:t>https://ec.europa.eu/eurostat/databrowser/view/tec00115/</w:t>
        </w:r>
      </w:hyperlink>
    </w:p>
  </w:footnote>
  <w:footnote w:id="77">
    <w:p w:rsidR="00BA5274" w:rsidRPr="00081992" w:rsidRDefault="00BA5274" w:rsidP="00C02A16">
      <w:pPr>
        <w:rPr>
          <w:rFonts w:ascii="Times New Roman" w:hAnsi="Times New Roman" w:cs="Times New Roman"/>
          <w:sz w:val="20"/>
          <w:szCs w:val="20"/>
        </w:rPr>
      </w:pPr>
      <w:r w:rsidRPr="00081992">
        <w:rPr>
          <w:rStyle w:val="a4"/>
          <w:rFonts w:ascii="Times New Roman" w:hAnsi="Times New Roman" w:cs="Times New Roman"/>
          <w:sz w:val="20"/>
          <w:szCs w:val="20"/>
        </w:rPr>
        <w:footnoteRef/>
      </w:r>
      <w:r w:rsidRPr="00081992">
        <w:rPr>
          <w:rFonts w:ascii="Times New Roman" w:hAnsi="Times New Roman" w:cs="Times New Roman"/>
          <w:sz w:val="20"/>
          <w:szCs w:val="20"/>
        </w:rPr>
        <w:t xml:space="preserve">World Bank. World Development Indicators (WDI). URL: </w:t>
      </w:r>
      <w:hyperlink r:id="rId75" w:history="1">
        <w:r w:rsidRPr="00081992">
          <w:rPr>
            <w:rStyle w:val="a5"/>
            <w:rFonts w:ascii="Times New Roman" w:hAnsi="Times New Roman" w:cs="Times New Roman"/>
            <w:sz w:val="20"/>
            <w:szCs w:val="20"/>
          </w:rPr>
          <w:t>https://databank.worldbank.org/source/world-development-indicators</w:t>
        </w:r>
      </w:hyperlink>
    </w:p>
  </w:footnote>
  <w:footnote w:id="78">
    <w:p w:rsidR="00BA5274" w:rsidRPr="00081992" w:rsidRDefault="00BA5274" w:rsidP="00C02A16">
      <w:pPr>
        <w:rPr>
          <w:rFonts w:ascii="Times New Roman" w:hAnsi="Times New Roman" w:cs="Times New Roman"/>
          <w:sz w:val="20"/>
          <w:szCs w:val="20"/>
        </w:rPr>
      </w:pPr>
      <w:r w:rsidRPr="00081992">
        <w:rPr>
          <w:rStyle w:val="a4"/>
          <w:rFonts w:ascii="Times New Roman" w:hAnsi="Times New Roman" w:cs="Times New Roman"/>
          <w:sz w:val="20"/>
          <w:szCs w:val="20"/>
        </w:rPr>
        <w:footnoteRef/>
      </w:r>
      <w:r w:rsidRPr="00081992">
        <w:rPr>
          <w:rFonts w:ascii="Times New Roman" w:hAnsi="Times New Roman" w:cs="Times New Roman"/>
          <w:sz w:val="20"/>
          <w:szCs w:val="20"/>
        </w:rPr>
        <w:t xml:space="preserve">World Bank. World Bank Country and Lending Groups. URL: </w:t>
      </w:r>
      <w:hyperlink r:id="rId76" w:history="1">
        <w:r w:rsidRPr="00081992">
          <w:rPr>
            <w:rStyle w:val="a5"/>
            <w:rFonts w:ascii="Times New Roman" w:hAnsi="Times New Roman" w:cs="Times New Roman"/>
            <w:sz w:val="20"/>
            <w:szCs w:val="20"/>
          </w:rPr>
          <w:t>https://datahelpdesk.worldbank.org/knowledgebase/articles/906519</w:t>
        </w:r>
      </w:hyperlink>
    </w:p>
  </w:footnote>
  <w:footnote w:id="79">
    <w:p w:rsidR="00BA5274" w:rsidRPr="00081992" w:rsidRDefault="00BA5274" w:rsidP="00C02A16">
      <w:pPr>
        <w:rPr>
          <w:rFonts w:ascii="Times New Roman" w:hAnsi="Times New Roman" w:cs="Times New Roman"/>
          <w:sz w:val="20"/>
          <w:szCs w:val="20"/>
        </w:rPr>
      </w:pPr>
      <w:r w:rsidRPr="00081992">
        <w:rPr>
          <w:rStyle w:val="a4"/>
          <w:rFonts w:ascii="Times New Roman" w:hAnsi="Times New Roman" w:cs="Times New Roman"/>
          <w:sz w:val="20"/>
          <w:szCs w:val="20"/>
        </w:rPr>
        <w:footnoteRef/>
      </w:r>
      <w:r w:rsidRPr="00081992">
        <w:rPr>
          <w:rFonts w:ascii="Times New Roman" w:hAnsi="Times New Roman" w:cs="Times New Roman"/>
          <w:sz w:val="20"/>
          <w:szCs w:val="20"/>
        </w:rPr>
        <w:t xml:space="preserve">UNCTAD. World Investment Report 2023. Geneva: United Nations, 2023. URL: </w:t>
      </w:r>
      <w:hyperlink r:id="rId77" w:history="1">
        <w:r w:rsidRPr="00081992">
          <w:rPr>
            <w:rStyle w:val="a5"/>
            <w:rFonts w:ascii="Times New Roman" w:hAnsi="Times New Roman" w:cs="Times New Roman"/>
            <w:sz w:val="20"/>
            <w:szCs w:val="20"/>
          </w:rPr>
          <w:t>https://unctad.org/publication/world-investment-report-2023</w:t>
        </w:r>
      </w:hyperlink>
    </w:p>
  </w:footnote>
  <w:footnote w:id="80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Wooldridge J. M. Econometric Analysis of Cross Section and Panel Data. 2nd ed. MIT Press, 2010. P. 286-288.</w:t>
      </w:r>
    </w:p>
  </w:footnote>
  <w:footnote w:id="81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ru-RU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Czernich</w:t>
      </w:r>
      <w:proofErr w:type="spellEnd"/>
      <w:r w:rsidRPr="00081992">
        <w:rPr>
          <w:rFonts w:ascii="Times New Roman" w:hAnsi="Times New Roman" w:cs="Times New Roman"/>
        </w:rPr>
        <w:t xml:space="preserve"> N. </w:t>
      </w:r>
      <w:proofErr w:type="gramStart"/>
      <w:r w:rsidRPr="00081992">
        <w:rPr>
          <w:rFonts w:ascii="Times New Roman" w:hAnsi="Times New Roman" w:cs="Times New Roman"/>
        </w:rPr>
        <w:t>et al.</w:t>
      </w:r>
      <w:proofErr w:type="gramEnd"/>
      <w:r w:rsidRPr="00081992">
        <w:rPr>
          <w:rFonts w:ascii="Times New Roman" w:hAnsi="Times New Roman" w:cs="Times New Roman"/>
        </w:rPr>
        <w:t xml:space="preserve"> Broadband Infrastructure and Economic Growth // The Economic Journal. </w:t>
      </w:r>
      <w:r w:rsidRPr="00081992">
        <w:rPr>
          <w:rFonts w:ascii="Times New Roman" w:hAnsi="Times New Roman" w:cs="Times New Roman"/>
          <w:lang w:val="ru-RU"/>
        </w:rPr>
        <w:t xml:space="preserve">2011. </w:t>
      </w:r>
      <w:r w:rsidRPr="00081992">
        <w:rPr>
          <w:rFonts w:ascii="Times New Roman" w:hAnsi="Times New Roman" w:cs="Times New Roman"/>
        </w:rPr>
        <w:t>Vol</w:t>
      </w:r>
      <w:r w:rsidRPr="00081992">
        <w:rPr>
          <w:rFonts w:ascii="Times New Roman" w:hAnsi="Times New Roman" w:cs="Times New Roman"/>
          <w:lang w:val="ru-RU"/>
        </w:rPr>
        <w:t xml:space="preserve">. 121, </w:t>
      </w:r>
      <w:r w:rsidRPr="00081992">
        <w:rPr>
          <w:rFonts w:ascii="Times New Roman" w:hAnsi="Times New Roman" w:cs="Times New Roman"/>
        </w:rPr>
        <w:t>No</w:t>
      </w:r>
      <w:r w:rsidRPr="00081992">
        <w:rPr>
          <w:rFonts w:ascii="Times New Roman" w:hAnsi="Times New Roman" w:cs="Times New Roman"/>
          <w:lang w:val="ru-RU"/>
        </w:rPr>
        <w:t xml:space="preserve">. 552. </w:t>
      </w:r>
      <w:r w:rsidRPr="00081992">
        <w:rPr>
          <w:rFonts w:ascii="Times New Roman" w:hAnsi="Times New Roman" w:cs="Times New Roman"/>
        </w:rPr>
        <w:t>P</w:t>
      </w:r>
      <w:r w:rsidRPr="00081992">
        <w:rPr>
          <w:rFonts w:ascii="Times New Roman" w:hAnsi="Times New Roman" w:cs="Times New Roman"/>
          <w:lang w:val="ru-RU"/>
        </w:rPr>
        <w:t xml:space="preserve">. 505-532. </w:t>
      </w:r>
      <w:r w:rsidRPr="00081992">
        <w:rPr>
          <w:rFonts w:ascii="Times New Roman" w:hAnsi="Times New Roman" w:cs="Times New Roman"/>
        </w:rPr>
        <w:t>DOI</w:t>
      </w:r>
      <w:r w:rsidRPr="00081992">
        <w:rPr>
          <w:rFonts w:ascii="Times New Roman" w:hAnsi="Times New Roman" w:cs="Times New Roman"/>
          <w:lang w:val="ru-RU"/>
        </w:rPr>
        <w:t xml:space="preserve">: </w:t>
      </w:r>
      <w:hyperlink r:id="rId78" w:tgtFrame="_new" w:history="1">
        <w:r w:rsidRPr="00081992">
          <w:rPr>
            <w:rStyle w:val="a5"/>
            <w:rFonts w:ascii="Times New Roman" w:hAnsi="Times New Roman" w:cs="Times New Roman"/>
          </w:rPr>
          <w:t>https</w:t>
        </w:r>
        <w:r w:rsidRPr="00081992">
          <w:rPr>
            <w:rStyle w:val="a5"/>
            <w:rFonts w:ascii="Times New Roman" w:hAnsi="Times New Roman" w:cs="Times New Roman"/>
            <w:lang w:val="ru-RU"/>
          </w:rPr>
          <w:t>://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doi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.</w:t>
        </w:r>
        <w:r w:rsidRPr="00081992">
          <w:rPr>
            <w:rStyle w:val="a5"/>
            <w:rFonts w:ascii="Times New Roman" w:hAnsi="Times New Roman" w:cs="Times New Roman"/>
          </w:rPr>
          <w:t>org</w:t>
        </w:r>
        <w:r w:rsidRPr="00081992">
          <w:rPr>
            <w:rStyle w:val="a5"/>
            <w:rFonts w:ascii="Times New Roman" w:hAnsi="Times New Roman" w:cs="Times New Roman"/>
            <w:lang w:val="ru-RU"/>
          </w:rPr>
          <w:t>/10.1111/</w:t>
        </w:r>
        <w:r w:rsidRPr="00081992">
          <w:rPr>
            <w:rStyle w:val="a5"/>
            <w:rFonts w:ascii="Times New Roman" w:hAnsi="Times New Roman" w:cs="Times New Roman"/>
          </w:rPr>
          <w:t>j</w:t>
        </w:r>
        <w:r w:rsidRPr="00081992">
          <w:rPr>
            <w:rStyle w:val="a5"/>
            <w:rFonts w:ascii="Times New Roman" w:hAnsi="Times New Roman" w:cs="Times New Roman"/>
            <w:lang w:val="ru-RU"/>
          </w:rPr>
          <w:t>.1468-0297.2011.02420.</w:t>
        </w:r>
        <w:r w:rsidRPr="00081992">
          <w:rPr>
            <w:rStyle w:val="a5"/>
            <w:rFonts w:ascii="Times New Roman" w:hAnsi="Times New Roman" w:cs="Times New Roman"/>
          </w:rPr>
          <w:t>x</w:t>
        </w:r>
      </w:hyperlink>
    </w:p>
  </w:footnote>
  <w:footnote w:id="82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  <w:lang w:val="ru-RU"/>
        </w:rPr>
        <w:t xml:space="preserve"> Указ Президента Республики Узбекистан № УП-6079 от 05.10.2020 «Об утверждении Стратегии “Цифровой Узбекистан - 2030”». </w:t>
      </w:r>
      <w:r w:rsidRPr="00081992">
        <w:rPr>
          <w:rFonts w:ascii="Times New Roman" w:hAnsi="Times New Roman" w:cs="Times New Roman"/>
        </w:rPr>
        <w:t xml:space="preserve">URL: </w:t>
      </w:r>
      <w:hyperlink r:id="rId79" w:history="1">
        <w:r w:rsidRPr="00081992">
          <w:rPr>
            <w:rStyle w:val="a5"/>
            <w:rFonts w:ascii="Times New Roman" w:hAnsi="Times New Roman" w:cs="Times New Roman"/>
          </w:rPr>
          <w:t>https://lex.uz/ru/docs/5031048</w:t>
        </w:r>
      </w:hyperlink>
    </w:p>
  </w:footnote>
  <w:footnote w:id="83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Embassy of the Republic of Uzbekistan in Ukraine. Digital Transformation of Uzbekistan Promotes Regional Integration in Central Asia. URL: </w:t>
      </w:r>
      <w:hyperlink r:id="rId80" w:tgtFrame="_new" w:history="1">
        <w:r w:rsidRPr="00081992">
          <w:rPr>
            <w:rStyle w:val="a5"/>
            <w:rFonts w:ascii="Times New Roman" w:hAnsi="Times New Roman" w:cs="Times New Roman"/>
          </w:rPr>
          <w:t>https://www.uzbekistan.org.ua/en/news/7390-digital-transformation-of-uzbekistan-promotes-regional-integration-in-central-asia.html</w:t>
        </w:r>
      </w:hyperlink>
    </w:p>
  </w:footnote>
  <w:footnote w:id="84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  <w:lang w:val="ru-RU"/>
        </w:rPr>
        <w:t xml:space="preserve"> Указ Президента Республики Узбекистан № УП-6079 от 5 октября 2020 г. «Об утверждении Стратегии "Цифровой Узбекистан — 2030" и мерах по её эффективной реализации»; </w:t>
      </w:r>
      <w:r w:rsidRPr="00081992">
        <w:rPr>
          <w:rFonts w:ascii="Times New Roman" w:hAnsi="Times New Roman" w:cs="Times New Roman"/>
        </w:rPr>
        <w:t>Beyond</w:t>
      </w:r>
      <w:r w:rsidRPr="00081992">
        <w:rPr>
          <w:rFonts w:ascii="Times New Roman" w:hAnsi="Times New Roman" w:cs="Times New Roman"/>
          <w:lang w:val="ru-RU"/>
        </w:rPr>
        <w:t xml:space="preserve"> </w:t>
      </w:r>
      <w:r w:rsidRPr="00081992">
        <w:rPr>
          <w:rFonts w:ascii="Times New Roman" w:hAnsi="Times New Roman" w:cs="Times New Roman"/>
        </w:rPr>
        <w:t>Investments</w:t>
      </w:r>
      <w:r w:rsidRPr="00081992">
        <w:rPr>
          <w:rFonts w:ascii="Times New Roman" w:hAnsi="Times New Roman" w:cs="Times New Roman"/>
          <w:lang w:val="ru-RU"/>
        </w:rPr>
        <w:t xml:space="preserve"> </w:t>
      </w:r>
      <w:r w:rsidRPr="00081992">
        <w:rPr>
          <w:rFonts w:ascii="Times New Roman" w:hAnsi="Times New Roman" w:cs="Times New Roman"/>
        </w:rPr>
        <w:t>Group</w:t>
      </w:r>
      <w:r w:rsidRPr="00081992">
        <w:rPr>
          <w:rFonts w:ascii="Times New Roman" w:hAnsi="Times New Roman" w:cs="Times New Roman"/>
          <w:lang w:val="ru-RU"/>
        </w:rPr>
        <w:t xml:space="preserve">. </w:t>
      </w:r>
      <w:r w:rsidRPr="00081992">
        <w:rPr>
          <w:rFonts w:ascii="Times New Roman" w:hAnsi="Times New Roman" w:cs="Times New Roman"/>
        </w:rPr>
        <w:t>Industry &amp; ICT — The Investor Uzbekistan 2023. URL</w:t>
      </w:r>
      <w:hyperlink r:id="rId81" w:history="1">
        <w:r w:rsidRPr="00081992">
          <w:rPr>
            <w:rStyle w:val="a5"/>
            <w:rFonts w:ascii="Times New Roman" w:hAnsi="Times New Roman" w:cs="Times New Roman"/>
          </w:rPr>
          <w:t>: https://www.beyondinvestmentsgroup.com/uzbekistan2023-industryandict</w:t>
        </w:r>
      </w:hyperlink>
    </w:p>
  </w:footnote>
  <w:footnote w:id="85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UN DESA. UN E-Government Survey 2024: Accelerating Digital Transformation for Sustainable Development. New York: United Nations, 2024. URL: </w:t>
      </w:r>
      <w:hyperlink r:id="rId82" w:tgtFrame="_new" w:history="1">
        <w:r w:rsidRPr="00081992">
          <w:rPr>
            <w:rStyle w:val="a5"/>
            <w:rFonts w:ascii="Times New Roman" w:hAnsi="Times New Roman" w:cs="Times New Roman"/>
          </w:rPr>
          <w:t>https://publicadministration.un.org/egovkb/en-us/Reports/UN-E-Government-Survey-2024</w:t>
        </w:r>
      </w:hyperlink>
    </w:p>
  </w:footnote>
  <w:footnote w:id="86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Digital Watch Observatory. Uzbekistan: Country Profile. URL: </w:t>
      </w:r>
      <w:hyperlink r:id="rId83" w:tgtFrame="_new" w:history="1">
        <w:r w:rsidRPr="00081992">
          <w:rPr>
            <w:rStyle w:val="a5"/>
            <w:rFonts w:ascii="Times New Roman" w:hAnsi="Times New Roman" w:cs="Times New Roman"/>
          </w:rPr>
          <w:t>https://dig.watch/countries/uzbekistan</w:t>
        </w:r>
      </w:hyperlink>
    </w:p>
  </w:footnote>
  <w:footnote w:id="87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Oxford Insights. Government AI Readiness Index 2023, 2024, 2025. URL: </w:t>
      </w:r>
      <w:hyperlink r:id="rId84" w:tgtFrame="_new" w:history="1">
        <w:r w:rsidRPr="00081992">
          <w:rPr>
            <w:rStyle w:val="a5"/>
            <w:rFonts w:ascii="Times New Roman" w:hAnsi="Times New Roman" w:cs="Times New Roman"/>
          </w:rPr>
          <w:t>https://oxfordinsights.com/ai-readiness/ai-readiness-index/</w:t>
        </w:r>
      </w:hyperlink>
    </w:p>
  </w:footnote>
  <w:footnote w:id="88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Digital Watch Observatory. Uzbekistan: Country Profile. URL: </w:t>
      </w:r>
      <w:hyperlink r:id="rId85" w:tgtFrame="_new" w:history="1">
        <w:r w:rsidRPr="00081992">
          <w:rPr>
            <w:rStyle w:val="a5"/>
            <w:rFonts w:ascii="Times New Roman" w:hAnsi="Times New Roman" w:cs="Times New Roman"/>
          </w:rPr>
          <w:t>https://dig.watch/countries/uzbekistan</w:t>
        </w:r>
      </w:hyperlink>
    </w:p>
  </w:footnote>
  <w:footnote w:id="89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Worlddata.info. Telecommunications in Uzbekistan. URL: </w:t>
      </w:r>
      <w:hyperlink r:id="rId86" w:tgtFrame="_new" w:history="1">
        <w:r w:rsidRPr="00081992">
          <w:rPr>
            <w:rStyle w:val="a5"/>
            <w:rFonts w:ascii="Times New Roman" w:hAnsi="Times New Roman" w:cs="Times New Roman"/>
          </w:rPr>
          <w:t>https://www.worlddata.info/asia/uzbekistan/telecommunication.php</w:t>
        </w:r>
      </w:hyperlink>
    </w:p>
  </w:footnote>
  <w:footnote w:id="90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The Global Economy. Uzbekistan: Internet Users. URL: </w:t>
      </w:r>
      <w:hyperlink r:id="rId87" w:tgtFrame="_new" w:history="1">
        <w:r w:rsidRPr="00081992">
          <w:rPr>
            <w:rStyle w:val="a5"/>
            <w:rFonts w:ascii="Times New Roman" w:hAnsi="Times New Roman" w:cs="Times New Roman"/>
          </w:rPr>
          <w:t>https://www.theglobaleconomy.com/Uzbekistan/Internet_users/</w:t>
        </w:r>
      </w:hyperlink>
    </w:p>
  </w:footnote>
  <w:footnote w:id="91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Freedom House. Freedom on the Net 2024 - Uzbekistan. URL: </w:t>
      </w:r>
      <w:hyperlink r:id="rId88" w:tgtFrame="_new" w:history="1">
        <w:r w:rsidRPr="00081992">
          <w:rPr>
            <w:rStyle w:val="a5"/>
            <w:rFonts w:ascii="Times New Roman" w:hAnsi="Times New Roman" w:cs="Times New Roman"/>
          </w:rPr>
          <w:t>https://freedomhouse.org/country/uzbekistan/freedom-net/2024</w:t>
        </w:r>
      </w:hyperlink>
    </w:p>
  </w:footnote>
  <w:footnote w:id="92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Ookla</w:t>
      </w:r>
      <w:proofErr w:type="spellEnd"/>
      <w:r w:rsidRPr="00081992">
        <w:rPr>
          <w:rFonts w:ascii="Times New Roman" w:hAnsi="Times New Roman" w:cs="Times New Roman"/>
        </w:rPr>
        <w:t xml:space="preserve">. </w:t>
      </w:r>
      <w:proofErr w:type="spellStart"/>
      <w:r w:rsidRPr="00081992">
        <w:rPr>
          <w:rFonts w:ascii="Times New Roman" w:hAnsi="Times New Roman" w:cs="Times New Roman"/>
        </w:rPr>
        <w:t>Speedtest</w:t>
      </w:r>
      <w:proofErr w:type="spellEnd"/>
      <w:r w:rsidRPr="00081992">
        <w:rPr>
          <w:rFonts w:ascii="Times New Roman" w:hAnsi="Times New Roman" w:cs="Times New Roman"/>
        </w:rPr>
        <w:t xml:space="preserve"> Global Index - Uzbekistan, January 2025. URL: https://www.speedtest.net/global-index/uzbekistan</w:t>
      </w:r>
    </w:p>
  </w:footnote>
  <w:footnote w:id="93">
    <w:p w:rsidR="00BA5274" w:rsidRPr="00081992" w:rsidRDefault="00BA5274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Statistics Agency under the President of the Republic of Uzbekistan, cited in </w:t>
      </w:r>
      <w:proofErr w:type="spellStart"/>
      <w:r w:rsidRPr="00081992">
        <w:rPr>
          <w:rFonts w:ascii="Times New Roman" w:hAnsi="Times New Roman" w:cs="Times New Roman"/>
        </w:rPr>
        <w:t>UzDaily</w:t>
      </w:r>
      <w:proofErr w:type="spellEnd"/>
      <w:r w:rsidRPr="00081992">
        <w:rPr>
          <w:rFonts w:ascii="Times New Roman" w:hAnsi="Times New Roman" w:cs="Times New Roman"/>
        </w:rPr>
        <w:t xml:space="preserve">. Uzbekistan’s GDP amounted to US$114.96 billion in 2024. February 2025. URL: </w:t>
      </w:r>
      <w:hyperlink r:id="rId89" w:tgtFrame="_new" w:history="1">
        <w:r w:rsidRPr="00081992">
          <w:rPr>
            <w:rStyle w:val="a5"/>
            <w:rFonts w:ascii="Times New Roman" w:hAnsi="Times New Roman" w:cs="Times New Roman"/>
          </w:rPr>
          <w:t>https://www.uzdaily.uz/en/uzbekistans-gdp-amounted-to-us11496-billion-in-2024/</w:t>
        </w:r>
      </w:hyperlink>
    </w:p>
  </w:footnote>
  <w:footnote w:id="94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Statistics Agency under the President of the Republic of Uzbekistan, cited in </w:t>
      </w:r>
      <w:proofErr w:type="spellStart"/>
      <w:r w:rsidRPr="00081992">
        <w:rPr>
          <w:rFonts w:ascii="Times New Roman" w:hAnsi="Times New Roman" w:cs="Times New Roman"/>
        </w:rPr>
        <w:t>UzDaily</w:t>
      </w:r>
      <w:proofErr w:type="spellEnd"/>
      <w:r w:rsidRPr="00081992">
        <w:rPr>
          <w:rFonts w:ascii="Times New Roman" w:hAnsi="Times New Roman" w:cs="Times New Roman"/>
        </w:rPr>
        <w:t>. Uzbekistan’s GDP amounted to US$114.96 billion in 2024. February 2025.</w:t>
      </w:r>
    </w:p>
  </w:footnote>
  <w:footnote w:id="95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Digital Watch Observatory. Uzbekistan: Country Profile. б. г. URL: </w:t>
      </w:r>
      <w:hyperlink r:id="rId90" w:tgtFrame="_new" w:history="1">
        <w:r w:rsidRPr="00081992">
          <w:rPr>
            <w:rStyle w:val="a5"/>
            <w:rFonts w:ascii="Times New Roman" w:hAnsi="Times New Roman" w:cs="Times New Roman"/>
          </w:rPr>
          <w:t>https://dig.watch/countries/uzbekistan</w:t>
        </w:r>
      </w:hyperlink>
      <w:r w:rsidRPr="00081992">
        <w:rPr>
          <w:rFonts w:ascii="Times New Roman" w:hAnsi="Times New Roman" w:cs="Times New Roman"/>
        </w:rPr>
        <w:t>; Beyond Investments Group. Industry &amp; ICT // The Investor Uzbekistan 2023.</w:t>
      </w:r>
    </w:p>
  </w:footnote>
  <w:footnote w:id="96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TAdviser</w:t>
      </w:r>
      <w:proofErr w:type="spellEnd"/>
      <w:r w:rsidRPr="00081992">
        <w:rPr>
          <w:rFonts w:ascii="Times New Roman" w:hAnsi="Times New Roman" w:cs="Times New Roman"/>
        </w:rPr>
        <w:t xml:space="preserve">. ICT Market of Uzbekistan. 2024. URL: </w:t>
      </w:r>
      <w:hyperlink r:id="rId91" w:tgtFrame="_new" w:history="1">
        <w:r w:rsidRPr="00081992">
          <w:rPr>
            <w:rStyle w:val="a5"/>
            <w:rFonts w:ascii="Times New Roman" w:hAnsi="Times New Roman" w:cs="Times New Roman"/>
          </w:rPr>
          <w:t>https://tadviser.com/index.php/Article:ICT_market_of_Uzbekistan</w:t>
        </w:r>
      </w:hyperlink>
      <w:r w:rsidRPr="00081992">
        <w:rPr>
          <w:rFonts w:ascii="Times New Roman" w:hAnsi="Times New Roman" w:cs="Times New Roman"/>
        </w:rPr>
        <w:t>; Ministry of Digital Technologies of the Republic of Uzbekistan. Annual Report on IT Services Exports.</w:t>
      </w:r>
    </w:p>
  </w:footnote>
  <w:footnote w:id="97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Samadkulov</w:t>
      </w:r>
      <w:proofErr w:type="spellEnd"/>
      <w:r w:rsidRPr="00081992">
        <w:rPr>
          <w:rFonts w:ascii="Times New Roman" w:hAnsi="Times New Roman" w:cs="Times New Roman"/>
        </w:rPr>
        <w:t xml:space="preserve"> M., </w:t>
      </w:r>
      <w:proofErr w:type="spellStart"/>
      <w:r w:rsidRPr="00081992">
        <w:rPr>
          <w:rFonts w:ascii="Times New Roman" w:hAnsi="Times New Roman" w:cs="Times New Roman"/>
        </w:rPr>
        <w:t>Allanazarov</w:t>
      </w:r>
      <w:proofErr w:type="spellEnd"/>
      <w:r w:rsidRPr="00081992">
        <w:rPr>
          <w:rFonts w:ascii="Times New Roman" w:hAnsi="Times New Roman" w:cs="Times New Roman"/>
        </w:rPr>
        <w:t xml:space="preserve"> R. Economy of the Services Sector: The Share of Tourism and IT Services in GDP. 2024. URL: </w:t>
      </w:r>
      <w:hyperlink r:id="rId92" w:tgtFrame="_new" w:history="1">
        <w:r w:rsidRPr="00081992">
          <w:rPr>
            <w:rStyle w:val="a5"/>
            <w:rFonts w:ascii="Times New Roman" w:hAnsi="Times New Roman" w:cs="Times New Roman"/>
          </w:rPr>
          <w:t>https://interspp.com/index.php/sft/article/download/1696/1293/2524</w:t>
        </w:r>
      </w:hyperlink>
      <w:r w:rsidRPr="00081992">
        <w:rPr>
          <w:rFonts w:ascii="Times New Roman" w:hAnsi="Times New Roman" w:cs="Times New Roman"/>
        </w:rPr>
        <w:t>.</w:t>
      </w:r>
    </w:p>
  </w:footnote>
  <w:footnote w:id="98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Mastercard</w:t>
      </w:r>
      <w:proofErr w:type="spellEnd"/>
      <w:r w:rsidRPr="00081992">
        <w:rPr>
          <w:rFonts w:ascii="Times New Roman" w:hAnsi="Times New Roman" w:cs="Times New Roman"/>
        </w:rPr>
        <w:t xml:space="preserve">. Fintech Market Uzbekistan. 2023, cited in: </w:t>
      </w:r>
      <w:proofErr w:type="spellStart"/>
      <w:r w:rsidRPr="00081992">
        <w:rPr>
          <w:rFonts w:ascii="Times New Roman" w:hAnsi="Times New Roman" w:cs="Times New Roman"/>
        </w:rPr>
        <w:t>FintechNews</w:t>
      </w:r>
      <w:proofErr w:type="spellEnd"/>
      <w:r w:rsidRPr="00081992">
        <w:rPr>
          <w:rFonts w:ascii="Times New Roman" w:hAnsi="Times New Roman" w:cs="Times New Roman"/>
        </w:rPr>
        <w:t xml:space="preserve"> Switzerland. Fintech on the Rise in Uzbekistan: A Short Overview. 2024. URL: </w:t>
      </w:r>
      <w:hyperlink r:id="rId93" w:tgtFrame="_new" w:history="1">
        <w:r w:rsidRPr="00081992">
          <w:rPr>
            <w:rStyle w:val="a5"/>
            <w:rFonts w:ascii="Times New Roman" w:hAnsi="Times New Roman" w:cs="Times New Roman"/>
          </w:rPr>
          <w:t>https://fintechnews.ch/fintech/fintech-on-the-rise-in-uzbekistan-a-short-overview/69023/</w:t>
        </w:r>
      </w:hyperlink>
    </w:p>
  </w:footnote>
  <w:footnote w:id="99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Mastercard</w:t>
      </w:r>
      <w:proofErr w:type="spellEnd"/>
      <w:r w:rsidRPr="00081992">
        <w:rPr>
          <w:rFonts w:ascii="Times New Roman" w:hAnsi="Times New Roman" w:cs="Times New Roman"/>
        </w:rPr>
        <w:t>. Fintech Market Uzbekistan. 2023</w:t>
      </w:r>
    </w:p>
  </w:footnote>
  <w:footnote w:id="100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Evolution of </w:t>
      </w:r>
      <w:proofErr w:type="spellStart"/>
      <w:r w:rsidRPr="00081992">
        <w:rPr>
          <w:rFonts w:ascii="Times New Roman" w:hAnsi="Times New Roman" w:cs="Times New Roman"/>
        </w:rPr>
        <w:t>FinTech</w:t>
      </w:r>
      <w:proofErr w:type="spellEnd"/>
      <w:r w:rsidRPr="00081992">
        <w:rPr>
          <w:rFonts w:ascii="Times New Roman" w:hAnsi="Times New Roman" w:cs="Times New Roman"/>
        </w:rPr>
        <w:t xml:space="preserve"> in Central Asian Countries and Implications for the Region’s Economy // </w:t>
      </w:r>
      <w:proofErr w:type="spellStart"/>
      <w:r w:rsidRPr="00081992">
        <w:rPr>
          <w:rFonts w:ascii="Times New Roman" w:hAnsi="Times New Roman" w:cs="Times New Roman"/>
        </w:rPr>
        <w:t>FinTech</w:t>
      </w:r>
      <w:proofErr w:type="spellEnd"/>
      <w:r w:rsidRPr="00081992">
        <w:rPr>
          <w:rFonts w:ascii="Times New Roman" w:hAnsi="Times New Roman" w:cs="Times New Roman"/>
        </w:rPr>
        <w:t xml:space="preserve">. 2025. Vol. 4, No. 4. URL: </w:t>
      </w:r>
      <w:hyperlink r:id="rId94" w:tgtFrame="_new" w:history="1">
        <w:r w:rsidRPr="00081992">
          <w:rPr>
            <w:rStyle w:val="a5"/>
            <w:rFonts w:ascii="Times New Roman" w:hAnsi="Times New Roman" w:cs="Times New Roman"/>
          </w:rPr>
          <w:t>https://www.mdpi.com/2674-1032/4/4/69</w:t>
        </w:r>
      </w:hyperlink>
    </w:p>
  </w:footnote>
  <w:footnote w:id="101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Abdukadirova</w:t>
      </w:r>
      <w:proofErr w:type="spellEnd"/>
      <w:r w:rsidRPr="00081992">
        <w:rPr>
          <w:rFonts w:ascii="Times New Roman" w:hAnsi="Times New Roman" w:cs="Times New Roman"/>
        </w:rPr>
        <w:t xml:space="preserve"> N.A. Statistical Analysis of the Dynamics of Non-Cash Payments in Uzbekistan Over the Past Five Years // Journal of Applied Science and Social Science. 2026. Vol. 16, No. 5. P. 320–323. URL: </w:t>
      </w:r>
      <w:hyperlink r:id="rId95" w:tgtFrame="_new" w:history="1">
        <w:r w:rsidRPr="00081992">
          <w:rPr>
            <w:rStyle w:val="a5"/>
            <w:rFonts w:ascii="Times New Roman" w:hAnsi="Times New Roman" w:cs="Times New Roman"/>
          </w:rPr>
          <w:t>https://www.internationaljournal.co.in/index.php/jasass/article/view/4320</w:t>
        </w:r>
      </w:hyperlink>
    </w:p>
  </w:footnote>
  <w:footnote w:id="102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World Bank Country and Lending Groups: Country Classification. URL: </w:t>
      </w:r>
      <w:hyperlink r:id="rId96" w:tgtFrame="_new" w:history="1">
        <w:r w:rsidRPr="00081992">
          <w:rPr>
            <w:rStyle w:val="a5"/>
            <w:rFonts w:ascii="Times New Roman" w:hAnsi="Times New Roman" w:cs="Times New Roman"/>
          </w:rPr>
          <w:t>https://datahelpdesk.worldbank.org/knowledgebase/articles/906519-world-bank-country-and-lending-groups</w:t>
        </w:r>
      </w:hyperlink>
    </w:p>
  </w:footnote>
  <w:footnote w:id="103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UNCTAD. World Investment Report 2023: Investing in Sustainable Energy for All. Geneva: United Nations, 2023. URL: </w:t>
      </w:r>
      <w:hyperlink r:id="rId97" w:tgtFrame="_new" w:history="1">
        <w:r w:rsidRPr="00081992">
          <w:rPr>
            <w:rStyle w:val="a5"/>
            <w:rFonts w:ascii="Times New Roman" w:hAnsi="Times New Roman" w:cs="Times New Roman"/>
          </w:rPr>
          <w:t>https://unctad.org/publication/world-investment-report-2023</w:t>
        </w:r>
      </w:hyperlink>
    </w:p>
  </w:footnote>
  <w:footnote w:id="104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e-Estonia. X-Road: Data Exchange Layer. б. г. URL: </w:t>
      </w:r>
      <w:hyperlink r:id="rId98" w:tgtFrame="_new" w:history="1">
        <w:r w:rsidRPr="00081992">
          <w:rPr>
            <w:rStyle w:val="a5"/>
            <w:rFonts w:ascii="Times New Roman" w:hAnsi="Times New Roman" w:cs="Times New Roman"/>
          </w:rPr>
          <w:t>https://e-estonia.com/solutions/interoperability-services/x-road/</w:t>
        </w:r>
      </w:hyperlink>
    </w:p>
  </w:footnote>
  <w:footnote w:id="105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X-Road. Open-Source Software. б. г. URL: </w:t>
      </w:r>
      <w:hyperlink r:id="rId99" w:tgtFrame="_new" w:history="1">
        <w:r w:rsidRPr="00081992">
          <w:rPr>
            <w:rStyle w:val="a5"/>
            <w:rFonts w:ascii="Times New Roman" w:hAnsi="Times New Roman" w:cs="Times New Roman"/>
          </w:rPr>
          <w:t>https://x-road.global/xroad-open-source</w:t>
        </w:r>
      </w:hyperlink>
    </w:p>
  </w:footnote>
  <w:footnote w:id="106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Statistics Estonia. Population of Estonia, 1 January 2024. 2024. URL: </w:t>
      </w:r>
      <w:hyperlink r:id="rId100" w:tgtFrame="_new" w:history="1">
        <w:r w:rsidRPr="00081992">
          <w:rPr>
            <w:rStyle w:val="a5"/>
            <w:rFonts w:ascii="Times New Roman" w:hAnsi="Times New Roman" w:cs="Times New Roman"/>
          </w:rPr>
          <w:t>https://www.stat.ee/en/find-statistics/statistics-theme/population</w:t>
        </w:r>
      </w:hyperlink>
    </w:p>
  </w:footnote>
  <w:footnote w:id="107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Statistics Agency under the President of the Republic of Uzbekistan. Demographic situation in Uzbekistan, 2024. 2024. URL: </w:t>
      </w:r>
      <w:hyperlink r:id="rId101" w:tgtFrame="_new" w:history="1">
        <w:r w:rsidRPr="00081992">
          <w:rPr>
            <w:rStyle w:val="a5"/>
            <w:rFonts w:ascii="Times New Roman" w:hAnsi="Times New Roman" w:cs="Times New Roman"/>
          </w:rPr>
          <w:t>https://stat.uz/en/</w:t>
        </w:r>
      </w:hyperlink>
    </w:p>
  </w:footnote>
  <w:footnote w:id="108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Government of the Republic of Korea. Korean New Deal: National Strategy for a Great Transformation. Seoul, 2020. P. 14–18. URL: </w:t>
      </w:r>
      <w:hyperlink r:id="rId102" w:tgtFrame="_new" w:history="1">
        <w:r w:rsidRPr="00081992">
          <w:rPr>
            <w:rStyle w:val="a5"/>
            <w:rFonts w:ascii="Times New Roman" w:hAnsi="Times New Roman" w:cs="Times New Roman"/>
          </w:rPr>
          <w:t>https://english.moef.go.kr/</w:t>
        </w:r>
      </w:hyperlink>
    </w:p>
  </w:footnote>
  <w:footnote w:id="109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European Commission. Operational </w:t>
      </w:r>
      <w:proofErr w:type="spellStart"/>
      <w:r w:rsidRPr="00081992">
        <w:rPr>
          <w:rFonts w:ascii="Times New Roman" w:hAnsi="Times New Roman" w:cs="Times New Roman"/>
        </w:rPr>
        <w:t>Programme</w:t>
      </w:r>
      <w:proofErr w:type="spellEnd"/>
      <w:r w:rsidRPr="00081992">
        <w:rPr>
          <w:rFonts w:ascii="Times New Roman" w:hAnsi="Times New Roman" w:cs="Times New Roman"/>
        </w:rPr>
        <w:t xml:space="preserve"> Digital Poland 2014–2020 (POPC). 2014–2020. URL: </w:t>
      </w:r>
      <w:hyperlink r:id="rId103" w:tgtFrame="_new" w:history="1">
        <w:r w:rsidRPr="00081992">
          <w:rPr>
            <w:rStyle w:val="a5"/>
            <w:rFonts w:ascii="Times New Roman" w:hAnsi="Times New Roman" w:cs="Times New Roman"/>
          </w:rPr>
          <w:t>https://ec.europa.eu/regional_policy/en/atlas/programmes/2014-2020/poland/2014pl16rfop002</w:t>
        </w:r>
      </w:hyperlink>
    </w:p>
  </w:footnote>
  <w:footnote w:id="110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Asian Development Bank. Uzbekistan: Country Partnership Strategy 2019–2023. Manila: ADB, 2019. URL: </w:t>
      </w:r>
      <w:hyperlink r:id="rId104" w:tgtFrame="_new" w:history="1">
        <w:r w:rsidRPr="00081992">
          <w:rPr>
            <w:rStyle w:val="a5"/>
            <w:rFonts w:ascii="Times New Roman" w:hAnsi="Times New Roman" w:cs="Times New Roman"/>
          </w:rPr>
          <w:t>https://www.adb.org/documents/uzbekistan-country-partnership-strategy-2019-2023</w:t>
        </w:r>
      </w:hyperlink>
    </w:p>
  </w:footnote>
  <w:footnote w:id="111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EBRD. Uzbekistan Country Strategy 2018–2023. London: EBRD, 2018. URL: </w:t>
      </w:r>
      <w:hyperlink r:id="rId105" w:tgtFrame="_new" w:history="1">
        <w:r w:rsidRPr="00081992">
          <w:rPr>
            <w:rStyle w:val="a5"/>
            <w:rFonts w:ascii="Times New Roman" w:hAnsi="Times New Roman" w:cs="Times New Roman"/>
          </w:rPr>
          <w:t>https://www.ebrd.com/uzbekistan.html</w:t>
        </w:r>
      </w:hyperlink>
    </w:p>
  </w:footnote>
  <w:footnote w:id="112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GovTech</w:t>
      </w:r>
      <w:proofErr w:type="spellEnd"/>
      <w:r w:rsidRPr="00081992">
        <w:rPr>
          <w:rFonts w:ascii="Times New Roman" w:hAnsi="Times New Roman" w:cs="Times New Roman"/>
        </w:rPr>
        <w:t xml:space="preserve"> Singapore. </w:t>
      </w:r>
      <w:proofErr w:type="spellStart"/>
      <w:r w:rsidRPr="00081992">
        <w:rPr>
          <w:rFonts w:ascii="Times New Roman" w:hAnsi="Times New Roman" w:cs="Times New Roman"/>
        </w:rPr>
        <w:t>SingPass</w:t>
      </w:r>
      <w:proofErr w:type="spellEnd"/>
      <w:r w:rsidRPr="00081992">
        <w:rPr>
          <w:rFonts w:ascii="Times New Roman" w:hAnsi="Times New Roman" w:cs="Times New Roman"/>
        </w:rPr>
        <w:t xml:space="preserve">: National Digital Identity. б. г. URL: </w:t>
      </w:r>
      <w:hyperlink r:id="rId106" w:tgtFrame="_new" w:history="1">
        <w:r w:rsidRPr="00081992">
          <w:rPr>
            <w:rStyle w:val="a5"/>
            <w:rFonts w:ascii="Times New Roman" w:hAnsi="Times New Roman" w:cs="Times New Roman"/>
          </w:rPr>
          <w:t>https://www.singpass.gov.sg/</w:t>
        </w:r>
      </w:hyperlink>
      <w:r w:rsidRPr="00081992">
        <w:rPr>
          <w:rFonts w:ascii="Times New Roman" w:hAnsi="Times New Roman" w:cs="Times New Roman"/>
        </w:rPr>
        <w:t xml:space="preserve"> (</w:t>
      </w:r>
      <w:proofErr w:type="spellStart"/>
      <w:r w:rsidRPr="00081992">
        <w:rPr>
          <w:rFonts w:ascii="Times New Roman" w:hAnsi="Times New Roman" w:cs="Times New Roman"/>
        </w:rPr>
        <w:t>дата</w:t>
      </w:r>
      <w:proofErr w:type="spellEnd"/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обращения</w:t>
      </w:r>
      <w:proofErr w:type="spellEnd"/>
      <w:r w:rsidRPr="00081992">
        <w:rPr>
          <w:rFonts w:ascii="Times New Roman" w:hAnsi="Times New Roman" w:cs="Times New Roman"/>
        </w:rPr>
        <w:t>: 10.05.2026).</w:t>
      </w:r>
    </w:p>
  </w:footnote>
  <w:footnote w:id="113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Ministry of Digital Technologies of the Republic of Uzbekistan. </w:t>
      </w:r>
      <w:proofErr w:type="spellStart"/>
      <w:r w:rsidRPr="00081992">
        <w:rPr>
          <w:rFonts w:ascii="Times New Roman" w:hAnsi="Times New Roman" w:cs="Times New Roman"/>
        </w:rPr>
        <w:t>MyID</w:t>
      </w:r>
      <w:proofErr w:type="spellEnd"/>
      <w:r w:rsidRPr="00081992">
        <w:rPr>
          <w:rFonts w:ascii="Times New Roman" w:hAnsi="Times New Roman" w:cs="Times New Roman"/>
        </w:rPr>
        <w:t xml:space="preserve">: National Digital Identification System. б. г. URL: </w:t>
      </w:r>
      <w:hyperlink r:id="rId107" w:tgtFrame="_new" w:history="1">
        <w:r w:rsidRPr="00081992">
          <w:rPr>
            <w:rStyle w:val="a5"/>
            <w:rFonts w:ascii="Times New Roman" w:hAnsi="Times New Roman" w:cs="Times New Roman"/>
          </w:rPr>
          <w:t>https://myid.uz/</w:t>
        </w:r>
      </w:hyperlink>
    </w:p>
  </w:footnote>
  <w:footnote w:id="114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Strengthening Economic Resilience: Insights from the Post-1970 Record of Severe Recessions and Financial Crises // OECD Economic Policy Papers. 2017. No. 20. P. 8–12. DOI: </w:t>
      </w:r>
      <w:hyperlink r:id="rId108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https://doi.org/10.1787/6b748a4b-en</w:t>
        </w:r>
      </w:hyperlink>
    </w:p>
  </w:footnote>
  <w:footnote w:id="115">
    <w:p w:rsidR="00BA5274" w:rsidRPr="00081992" w:rsidRDefault="00BA5274" w:rsidP="00C02A1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81992">
        <w:rPr>
          <w:rStyle w:val="a4"/>
          <w:rFonts w:ascii="Times New Roman" w:hAnsi="Times New Roman" w:cs="Times New Roman"/>
          <w:sz w:val="20"/>
          <w:szCs w:val="20"/>
        </w:rPr>
        <w:footnoteRef/>
      </w:r>
      <w:r w:rsidRPr="00081992">
        <w:rPr>
          <w:rFonts w:ascii="Times New Roman" w:hAnsi="Times New Roman" w:cs="Times New Roman"/>
          <w:sz w:val="20"/>
          <w:szCs w:val="20"/>
        </w:rPr>
        <w:t xml:space="preserve">International Telecommunication Union (ITU). ICT Indicators Database: Individual internet usage, Uzbekistan. 2023. URL: </w:t>
      </w:r>
      <w:hyperlink r:id="rId109" w:tgtFrame="_new" w:history="1">
        <w:r w:rsidRPr="00081992">
          <w:rPr>
            <w:rStyle w:val="a5"/>
            <w:rFonts w:ascii="Times New Roman" w:hAnsi="Times New Roman" w:cs="Times New Roman"/>
            <w:sz w:val="20"/>
            <w:szCs w:val="20"/>
          </w:rPr>
          <w:t>https://datahub.itu.int/</w:t>
        </w:r>
      </w:hyperlink>
    </w:p>
  </w:footnote>
  <w:footnote w:id="116">
    <w:p w:rsidR="00BA5274" w:rsidRPr="00081992" w:rsidRDefault="00BA5274" w:rsidP="00C02A16">
      <w:pPr>
        <w:rPr>
          <w:rFonts w:ascii="Times New Roman" w:hAnsi="Times New Roman" w:cs="Times New Roman"/>
          <w:sz w:val="20"/>
          <w:szCs w:val="20"/>
        </w:rPr>
      </w:pPr>
      <w:r w:rsidRPr="00081992">
        <w:rPr>
          <w:rStyle w:val="a4"/>
          <w:rFonts w:ascii="Times New Roman" w:hAnsi="Times New Roman" w:cs="Times New Roman"/>
          <w:sz w:val="20"/>
          <w:szCs w:val="20"/>
        </w:rPr>
        <w:footnoteRef/>
      </w:r>
      <w:r w:rsidRPr="00081992">
        <w:rPr>
          <w:rFonts w:ascii="Times New Roman" w:hAnsi="Times New Roman" w:cs="Times New Roman"/>
          <w:sz w:val="20"/>
          <w:szCs w:val="20"/>
        </w:rPr>
        <w:t xml:space="preserve">IT Park Uzbekistan. Annual Report 2024. 2024. URL: </w:t>
      </w:r>
      <w:hyperlink r:id="rId110" w:tgtFrame="_new" w:history="1">
        <w:r w:rsidRPr="00081992">
          <w:rPr>
            <w:rStyle w:val="a5"/>
            <w:rFonts w:ascii="Times New Roman" w:hAnsi="Times New Roman" w:cs="Times New Roman"/>
            <w:sz w:val="20"/>
            <w:szCs w:val="20"/>
          </w:rPr>
          <w:t>https://it-park.uz/en</w:t>
        </w:r>
      </w:hyperlink>
    </w:p>
  </w:footnote>
  <w:footnote w:id="117">
    <w:p w:rsidR="00BA5274" w:rsidRPr="00081992" w:rsidRDefault="00BA5274" w:rsidP="00C02A16">
      <w:pPr>
        <w:rPr>
          <w:rFonts w:ascii="Times New Roman" w:hAnsi="Times New Roman" w:cs="Times New Roman"/>
          <w:sz w:val="20"/>
          <w:szCs w:val="20"/>
        </w:rPr>
      </w:pPr>
      <w:r w:rsidRPr="00081992">
        <w:rPr>
          <w:rStyle w:val="a4"/>
          <w:rFonts w:ascii="Times New Roman" w:hAnsi="Times New Roman" w:cs="Times New Roman"/>
          <w:sz w:val="20"/>
          <w:szCs w:val="20"/>
        </w:rPr>
        <w:footnoteRef/>
      </w:r>
      <w:proofErr w:type="spellStart"/>
      <w:r w:rsidRPr="00081992">
        <w:rPr>
          <w:rFonts w:ascii="Times New Roman" w:hAnsi="Times New Roman" w:cs="Times New Roman"/>
          <w:sz w:val="20"/>
          <w:szCs w:val="20"/>
        </w:rPr>
        <w:t>Mastercard</w:t>
      </w:r>
      <w:proofErr w:type="spellEnd"/>
      <w:r w:rsidRPr="00081992">
        <w:rPr>
          <w:rFonts w:ascii="Times New Roman" w:hAnsi="Times New Roman" w:cs="Times New Roman"/>
          <w:sz w:val="20"/>
          <w:szCs w:val="20"/>
        </w:rPr>
        <w:t xml:space="preserve">. Fintech Market Uzbekistan. 2023, cited in: </w:t>
      </w:r>
      <w:proofErr w:type="spellStart"/>
      <w:r w:rsidRPr="00081992">
        <w:rPr>
          <w:rFonts w:ascii="Times New Roman" w:hAnsi="Times New Roman" w:cs="Times New Roman"/>
          <w:sz w:val="20"/>
          <w:szCs w:val="20"/>
        </w:rPr>
        <w:t>FintechNews</w:t>
      </w:r>
      <w:proofErr w:type="spellEnd"/>
      <w:r w:rsidRPr="00081992">
        <w:rPr>
          <w:rFonts w:ascii="Times New Roman" w:hAnsi="Times New Roman" w:cs="Times New Roman"/>
          <w:sz w:val="20"/>
          <w:szCs w:val="20"/>
        </w:rPr>
        <w:t xml:space="preserve"> Switzerland. Fintech on the Rise in Uzbekistan: A Short Overview. 2024. URL: </w:t>
      </w:r>
      <w:hyperlink r:id="rId111" w:tgtFrame="_new" w:history="1">
        <w:r w:rsidRPr="00081992">
          <w:rPr>
            <w:rStyle w:val="a5"/>
            <w:rFonts w:ascii="Times New Roman" w:hAnsi="Times New Roman" w:cs="Times New Roman"/>
            <w:sz w:val="20"/>
            <w:szCs w:val="20"/>
          </w:rPr>
          <w:t>https://fintechnews.ch/fintech/fintech-on-the-rise-in-uzbekistan-a-short-overview/69023/</w:t>
        </w:r>
      </w:hyperlink>
    </w:p>
  </w:footnote>
  <w:footnote w:id="118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e-Estonia. X-Road: Data Exchange Layer. б. г. URL: </w:t>
      </w:r>
      <w:hyperlink r:id="rId112" w:tgtFrame="_new" w:history="1">
        <w:r w:rsidRPr="00081992">
          <w:rPr>
            <w:rStyle w:val="a5"/>
            <w:rFonts w:ascii="Times New Roman" w:hAnsi="Times New Roman" w:cs="Times New Roman"/>
          </w:rPr>
          <w:t>https://e-estonia.com/solutions/interoperability-services/x-road/</w:t>
        </w:r>
      </w:hyperlink>
    </w:p>
  </w:footnote>
  <w:footnote w:id="119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ru-RU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  <w:lang w:val="ru-RU"/>
        </w:rPr>
        <w:t xml:space="preserve"> Указ Президента Республики Узбекистан № УП-6079 от 5 октября 2020 г. «Об утверждении Стратегии “Цифровой Узбекистан - 2030” и мерах по её эффективной реализации». </w:t>
      </w:r>
      <w:r w:rsidRPr="00081992">
        <w:rPr>
          <w:rFonts w:ascii="Times New Roman" w:hAnsi="Times New Roman" w:cs="Times New Roman"/>
        </w:rPr>
        <w:t>URL</w:t>
      </w:r>
      <w:r w:rsidRPr="00081992">
        <w:rPr>
          <w:rFonts w:ascii="Times New Roman" w:hAnsi="Times New Roman" w:cs="Times New Roman"/>
          <w:lang w:val="ru-RU"/>
        </w:rPr>
        <w:t xml:space="preserve">: </w:t>
      </w:r>
      <w:hyperlink r:id="rId113" w:history="1">
        <w:r w:rsidRPr="00081992">
          <w:rPr>
            <w:rStyle w:val="a5"/>
            <w:rFonts w:ascii="Times New Roman" w:hAnsi="Times New Roman" w:cs="Times New Roman"/>
          </w:rPr>
          <w:t>https</w:t>
        </w:r>
        <w:r w:rsidRPr="00081992">
          <w:rPr>
            <w:rStyle w:val="a5"/>
            <w:rFonts w:ascii="Times New Roman" w:hAnsi="Times New Roman" w:cs="Times New Roman"/>
            <w:lang w:val="ru-RU"/>
          </w:rPr>
          <w:t>://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lex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.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uz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/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ru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/</w:t>
        </w:r>
        <w:r w:rsidRPr="00081992">
          <w:rPr>
            <w:rStyle w:val="a5"/>
            <w:rFonts w:ascii="Times New Roman" w:hAnsi="Times New Roman" w:cs="Times New Roman"/>
          </w:rPr>
          <w:t>docs</w:t>
        </w:r>
        <w:r w:rsidRPr="00081992">
          <w:rPr>
            <w:rStyle w:val="a5"/>
            <w:rFonts w:ascii="Times New Roman" w:hAnsi="Times New Roman" w:cs="Times New Roman"/>
            <w:lang w:val="ru-RU"/>
          </w:rPr>
          <w:t>/5031048</w:t>
        </w:r>
      </w:hyperlink>
    </w:p>
  </w:footnote>
  <w:footnote w:id="120">
    <w:p w:rsidR="00BA5274" w:rsidRPr="00081992" w:rsidRDefault="00BA5274" w:rsidP="00C02A16">
      <w:pPr>
        <w:pStyle w:val="a6"/>
        <w:rPr>
          <w:rFonts w:ascii="Times New Roman" w:hAnsi="Times New Roman" w:cs="Times New Roman"/>
          <w:lang w:val="ru-RU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  <w:lang w:val="ru-RU"/>
        </w:rPr>
        <w:t xml:space="preserve"> Указ Президента Республики Узбекистан от 5 октября 2020 г. № УП-6079 «Об утверждении Стратегии “Цифровой Узбекистан - 2030” и мерах по её эффективной реализации». Национальная база данных законодательства Республики Узбекистан. 2020. </w:t>
      </w:r>
      <w:r w:rsidRPr="00081992">
        <w:rPr>
          <w:rFonts w:ascii="Times New Roman" w:hAnsi="Times New Roman" w:cs="Times New Roman"/>
        </w:rPr>
        <w:t>URL</w:t>
      </w:r>
      <w:r w:rsidRPr="00081992">
        <w:rPr>
          <w:rFonts w:ascii="Times New Roman" w:hAnsi="Times New Roman" w:cs="Times New Roman"/>
          <w:lang w:val="ru-RU"/>
        </w:rPr>
        <w:t xml:space="preserve">: </w:t>
      </w:r>
      <w:hyperlink r:id="rId114" w:history="1">
        <w:r w:rsidRPr="00081992">
          <w:rPr>
            <w:rStyle w:val="a5"/>
            <w:rFonts w:ascii="Times New Roman" w:hAnsi="Times New Roman" w:cs="Times New Roman"/>
          </w:rPr>
          <w:t>https</w:t>
        </w:r>
        <w:r w:rsidRPr="00081992">
          <w:rPr>
            <w:rStyle w:val="a5"/>
            <w:rFonts w:ascii="Times New Roman" w:hAnsi="Times New Roman" w:cs="Times New Roman"/>
            <w:lang w:val="ru-RU"/>
          </w:rPr>
          <w:t>://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lex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.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uz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/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ru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/</w:t>
        </w:r>
        <w:r w:rsidRPr="00081992">
          <w:rPr>
            <w:rStyle w:val="a5"/>
            <w:rFonts w:ascii="Times New Roman" w:hAnsi="Times New Roman" w:cs="Times New Roman"/>
          </w:rPr>
          <w:t>docs</w:t>
        </w:r>
        <w:r w:rsidRPr="00081992">
          <w:rPr>
            <w:rStyle w:val="a5"/>
            <w:rFonts w:ascii="Times New Roman" w:hAnsi="Times New Roman" w:cs="Times New Roman"/>
            <w:lang w:val="ru-RU"/>
          </w:rPr>
          <w:t>/5031048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CF00D5"/>
    <w:multiLevelType w:val="hybridMultilevel"/>
    <w:tmpl w:val="F468ED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677"/>
    <w:rsid w:val="00081992"/>
    <w:rsid w:val="00114EA1"/>
    <w:rsid w:val="001D4A97"/>
    <w:rsid w:val="001E7D4B"/>
    <w:rsid w:val="0022556C"/>
    <w:rsid w:val="00302040"/>
    <w:rsid w:val="00390488"/>
    <w:rsid w:val="004007C3"/>
    <w:rsid w:val="004B1E76"/>
    <w:rsid w:val="004B3C97"/>
    <w:rsid w:val="004F305F"/>
    <w:rsid w:val="00627AAF"/>
    <w:rsid w:val="006E5A5E"/>
    <w:rsid w:val="007200F4"/>
    <w:rsid w:val="007638E3"/>
    <w:rsid w:val="007F6B0F"/>
    <w:rsid w:val="00807BBC"/>
    <w:rsid w:val="00915457"/>
    <w:rsid w:val="0093678C"/>
    <w:rsid w:val="00990EE6"/>
    <w:rsid w:val="009C4BB1"/>
    <w:rsid w:val="009F154E"/>
    <w:rsid w:val="00BA5274"/>
    <w:rsid w:val="00BA6504"/>
    <w:rsid w:val="00C02A16"/>
    <w:rsid w:val="00C70677"/>
    <w:rsid w:val="00D43AEC"/>
    <w:rsid w:val="00E23D01"/>
    <w:rsid w:val="00E872C1"/>
    <w:rsid w:val="00FB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E4D6F"/>
  <w15:chartTrackingRefBased/>
  <w15:docId w15:val="{3F5E550F-EB95-4A64-A445-D070FACA1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2A16"/>
    <w:pPr>
      <w:spacing w:line="278" w:lineRule="auto"/>
    </w:pPr>
    <w:rPr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2A1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C02A16"/>
    <w:rPr>
      <w:rFonts w:eastAsiaTheme="majorEastAsia" w:cstheme="majorBidi"/>
      <w:color w:val="2E74B5" w:themeColor="accent1" w:themeShade="BF"/>
      <w:sz w:val="28"/>
      <w:szCs w:val="28"/>
      <w14:ligatures w14:val="standardContextual"/>
    </w:rPr>
  </w:style>
  <w:style w:type="paragraph" w:styleId="a3">
    <w:name w:val="List Paragraph"/>
    <w:basedOn w:val="a"/>
    <w:uiPriority w:val="34"/>
    <w:qFormat/>
    <w:rsid w:val="00C02A16"/>
    <w:pPr>
      <w:ind w:left="720"/>
      <w:contextualSpacing/>
    </w:pPr>
  </w:style>
  <w:style w:type="character" w:styleId="a4">
    <w:name w:val="footnote reference"/>
    <w:uiPriority w:val="99"/>
    <w:semiHidden/>
    <w:unhideWhenUsed/>
    <w:rsid w:val="00C02A16"/>
    <w:rPr>
      <w:vertAlign w:val="superscript"/>
    </w:rPr>
  </w:style>
  <w:style w:type="character" w:styleId="a5">
    <w:name w:val="Hyperlink"/>
    <w:basedOn w:val="a0"/>
    <w:uiPriority w:val="99"/>
    <w:unhideWhenUsed/>
    <w:rsid w:val="00C02A16"/>
    <w:rPr>
      <w:color w:val="0000FF"/>
      <w:u w:val="single"/>
    </w:rPr>
  </w:style>
  <w:style w:type="paragraph" w:styleId="a6">
    <w:name w:val="footnote text"/>
    <w:basedOn w:val="a"/>
    <w:link w:val="a7"/>
    <w:uiPriority w:val="99"/>
    <w:semiHidden/>
    <w:unhideWhenUsed/>
    <w:rsid w:val="00C02A16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C02A16"/>
    <w:rPr>
      <w:sz w:val="20"/>
      <w:szCs w:val="20"/>
      <w14:ligatures w14:val="standardContextual"/>
    </w:rPr>
  </w:style>
  <w:style w:type="paragraph" w:styleId="a8">
    <w:name w:val="footer"/>
    <w:basedOn w:val="a"/>
    <w:link w:val="a9"/>
    <w:uiPriority w:val="99"/>
    <w:unhideWhenUsed/>
    <w:rsid w:val="00C02A1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02A16"/>
    <w:rPr>
      <w14:ligatures w14:val="standardContextual"/>
    </w:rPr>
  </w:style>
  <w:style w:type="character" w:styleId="aa">
    <w:name w:val="FollowedHyperlink"/>
    <w:basedOn w:val="a0"/>
    <w:uiPriority w:val="99"/>
    <w:semiHidden/>
    <w:unhideWhenUsed/>
    <w:rsid w:val="004B3C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10.1016/j.labeco.2023.102330" TargetMode="External"/><Relationship Id="rId21" Type="http://schemas.openxmlformats.org/officeDocument/2006/relationships/hyperlink" Target="https://doi.org/10.1787/6b748a4b-en" TargetMode="External"/><Relationship Id="rId42" Type="http://schemas.openxmlformats.org/officeDocument/2006/relationships/hyperlink" Target="https://keia.org/the-peninsula/the-korean-new-deal/" TargetMode="External"/><Relationship Id="rId47" Type="http://schemas.openxmlformats.org/officeDocument/2006/relationships/hyperlink" Target="https://southeastasiainfra.com/digital-leap-singapores-blueprint-for-smart-nation-2-0/" TargetMode="External"/><Relationship Id="rId63" Type="http://schemas.openxmlformats.org/officeDocument/2006/relationships/hyperlink" Target="http://eng.koreanre.co.kr/webzine/Bulletin_180/bull1.html" TargetMode="External"/><Relationship Id="rId68" Type="http://schemas.openxmlformats.org/officeDocument/2006/relationships/hyperlink" Target="https://www.eria.org/uploads/04_Chapter-3-The-Case-of-Singapore.pdf" TargetMode="External"/><Relationship Id="rId84" Type="http://schemas.openxmlformats.org/officeDocument/2006/relationships/hyperlink" Target="https://oxfordinsights.com/ai-readiness/ai-readiness-index/" TargetMode="External"/><Relationship Id="rId89" Type="http://schemas.openxmlformats.org/officeDocument/2006/relationships/hyperlink" Target="https://www.uzdaily.uz/en/uzbekistans-gdp-amounted-to-us11496-billion-in-2024/" TargetMode="External"/><Relationship Id="rId112" Type="http://schemas.openxmlformats.org/officeDocument/2006/relationships/hyperlink" Target="https://e-estonia.com/solutions/interoperability-services/x-road/?utm_source=chatgpt.com" TargetMode="External"/><Relationship Id="rId2" Type="http://schemas.openxmlformats.org/officeDocument/2006/relationships/hyperlink" Target="https://doi.org/10.1016/j.labeco.2023.102330" TargetMode="External"/><Relationship Id="rId16" Type="http://schemas.openxmlformats.org/officeDocument/2006/relationships/hyperlink" Target="https://doi.org/10.1016/j.labeco.2023.102330" TargetMode="External"/><Relationship Id="rId29" Type="http://schemas.openxmlformats.org/officeDocument/2006/relationships/hyperlink" Target="https://doi.org/10.1787/a1689dc5-en" TargetMode="External"/><Relationship Id="rId107" Type="http://schemas.openxmlformats.org/officeDocument/2006/relationships/hyperlink" Target="https://myid.uz/" TargetMode="External"/><Relationship Id="rId11" Type="http://schemas.openxmlformats.org/officeDocument/2006/relationships/hyperlink" Target="https://ec.europa.eu/eurostat/statistics-explained/index.php?title=Cloud_computing_-_statistics_on_the_use_by_enterprises" TargetMode="External"/><Relationship Id="rId24" Type="http://schemas.openxmlformats.org/officeDocument/2006/relationships/hyperlink" Target="https://doi.org/10.1787/f6d42aa5-en" TargetMode="External"/><Relationship Id="rId32" Type="http://schemas.openxmlformats.org/officeDocument/2006/relationships/hyperlink" Target="https://doi.org/10.1787/5jln0421ld25-en" TargetMode="External"/><Relationship Id="rId37" Type="http://schemas.openxmlformats.org/officeDocument/2006/relationships/hyperlink" Target="https://investinestonia.com/e-residency-brings-record-revenue-in-first-half-of-2025/" TargetMode="External"/><Relationship Id="rId40" Type="http://schemas.openxmlformats.org/officeDocument/2006/relationships/hyperlink" Target="https://www.iea.org/policies/11514-korean-new-deal-digital-new-deal-green-new-deal-and-stronger-safety-net" TargetMode="External"/><Relationship Id="rId45" Type="http://schemas.openxmlformats.org/officeDocument/2006/relationships/hyperlink" Target="https://publicadministration.un.org/egovkb/en-us/Data/Country-Information/id/138-Republic-of-Korea?utm_source=chatgpt.com" TargetMode="External"/><Relationship Id="rId53" Type="http://schemas.openxmlformats.org/officeDocument/2006/relationships/hyperlink" Target="https://en.ain.ua/2023/07/14/poland-digital-ids-equal-traditional-documents/" TargetMode="External"/><Relationship Id="rId58" Type="http://schemas.openxmlformats.org/officeDocument/2006/relationships/hyperlink" Target="https://ec.europa.eu/eurostat/databrowser/view/tec00115/" TargetMode="External"/><Relationship Id="rId66" Type="http://schemas.openxmlformats.org/officeDocument/2006/relationships/hyperlink" Target="https://www.spglobal.com/marketintelligence/en/mi/research-analysis/singapore-economy-continues-on-road-to-recovery-july22.html" TargetMode="External"/><Relationship Id="rId74" Type="http://schemas.openxmlformats.org/officeDocument/2006/relationships/hyperlink" Target="https://ec.europa.eu/eurostat/databrowser/view/tec00115/" TargetMode="External"/><Relationship Id="rId79" Type="http://schemas.openxmlformats.org/officeDocument/2006/relationships/hyperlink" Target="https://lex.uz/ru/docs/5031048" TargetMode="External"/><Relationship Id="rId87" Type="http://schemas.openxmlformats.org/officeDocument/2006/relationships/hyperlink" Target="https://www.theglobaleconomy.com/Uzbekistan/Internet_users/" TargetMode="External"/><Relationship Id="rId102" Type="http://schemas.openxmlformats.org/officeDocument/2006/relationships/hyperlink" Target="https://english.moef.go.kr/" TargetMode="External"/><Relationship Id="rId110" Type="http://schemas.openxmlformats.org/officeDocument/2006/relationships/hyperlink" Target="https://it-park.uz/en" TargetMode="External"/><Relationship Id="rId5" Type="http://schemas.openxmlformats.org/officeDocument/2006/relationships/hyperlink" Target="https://publicadministration.un.org/egovkb/en-us/reports/un-e-government-survey-2024" TargetMode="External"/><Relationship Id="rId61" Type="http://schemas.openxmlformats.org/officeDocument/2006/relationships/hyperlink" Target="https://www.europarl.europa.eu/thinktank/en/document/EPRS_BRI(2022)698886" TargetMode="External"/><Relationship Id="rId82" Type="http://schemas.openxmlformats.org/officeDocument/2006/relationships/hyperlink" Target="https://publicadministration.un.org/egovkb/en-us/Reports/UN-E-Government-Survey-2024" TargetMode="External"/><Relationship Id="rId90" Type="http://schemas.openxmlformats.org/officeDocument/2006/relationships/hyperlink" Target="https://dig.watch/countries/uzbekistan" TargetMode="External"/><Relationship Id="rId95" Type="http://schemas.openxmlformats.org/officeDocument/2006/relationships/hyperlink" Target="https://www.internationaljournal.co.in/index.php/jasass/article/view/4320" TargetMode="External"/><Relationship Id="rId19" Type="http://schemas.openxmlformats.org/officeDocument/2006/relationships/hyperlink" Target="https://doi.org/10.1787/5jrxhgf61q5j-en" TargetMode="External"/><Relationship Id="rId14" Type="http://schemas.openxmlformats.org/officeDocument/2006/relationships/hyperlink" Target="https://doi.org/10.1787/a1689dc5-en" TargetMode="External"/><Relationship Id="rId22" Type="http://schemas.openxmlformats.org/officeDocument/2006/relationships/hyperlink" Target="https://doi.org/10.1787/5jrxhgfqx3mv-en" TargetMode="External"/><Relationship Id="rId27" Type="http://schemas.openxmlformats.org/officeDocument/2006/relationships/hyperlink" Target="https://doi.org/10.1787/a1689dc5-en" TargetMode="External"/><Relationship Id="rId30" Type="http://schemas.openxmlformats.org/officeDocument/2006/relationships/hyperlink" Target="https://unctad.org/webflyer/digital-economy-report-2021" TargetMode="External"/><Relationship Id="rId35" Type="http://schemas.openxmlformats.org/officeDocument/2006/relationships/hyperlink" Target="https://x-road.global/xroad-history" TargetMode="External"/><Relationship Id="rId43" Type="http://schemas.openxmlformats.org/officeDocument/2006/relationships/hyperlink" Target="https://www.prnewswire.com/news-releases/digital-new-deal-secures-future-growth-engine-301346790.html" TargetMode="External"/><Relationship Id="rId48" Type="http://schemas.openxmlformats.org/officeDocument/2006/relationships/hyperlink" Target="https://www.tech.gov.sg/technews/our-enhanced-smart-nation-vision-paving-the-way-for-a-new-digital-era/" TargetMode="External"/><Relationship Id="rId56" Type="http://schemas.openxmlformats.org/officeDocument/2006/relationships/hyperlink" Target="https://doi.org/10.1787/a1689dc5-en" TargetMode="External"/><Relationship Id="rId64" Type="http://schemas.openxmlformats.org/officeDocument/2006/relationships/hyperlink" Target="https://www.bok.or.kr/eng/main/main.do" TargetMode="External"/><Relationship Id="rId69" Type="http://schemas.openxmlformats.org/officeDocument/2006/relationships/hyperlink" Target="https://www.mof.gov.sg/news-resources/newsroom/ministerial-statement-on-overview-of-government-s-strategy-to-emerge-stronger-from-the-covid-19-pandemic/" TargetMode="External"/><Relationship Id="rId77" Type="http://schemas.openxmlformats.org/officeDocument/2006/relationships/hyperlink" Target="https://unctad.org/publication/world-investment-report-2023" TargetMode="External"/><Relationship Id="rId100" Type="http://schemas.openxmlformats.org/officeDocument/2006/relationships/hyperlink" Target="https://www.stat.ee/en/find-statistics/statistics-theme/population" TargetMode="External"/><Relationship Id="rId105" Type="http://schemas.openxmlformats.org/officeDocument/2006/relationships/hyperlink" Target="https://www.ebrd.com/uzbekistan.html" TargetMode="External"/><Relationship Id="rId113" Type="http://schemas.openxmlformats.org/officeDocument/2006/relationships/hyperlink" Target="https://lex.uz/ru/docs/5031048" TargetMode="External"/><Relationship Id="rId8" Type="http://schemas.openxmlformats.org/officeDocument/2006/relationships/hyperlink" Target="https://doi.org/10.1787/data-00037-en" TargetMode="External"/><Relationship Id="rId51" Type="http://schemas.openxmlformats.org/officeDocument/2006/relationships/hyperlink" Target="https://warsawinstitute.org/digital-state-how-poland-became-a-european-leader-in-digitalisation/" TargetMode="External"/><Relationship Id="rId72" Type="http://schemas.openxmlformats.org/officeDocument/2006/relationships/hyperlink" Target="https://www.iea.org/reports/poland-2022/executive-summary" TargetMode="External"/><Relationship Id="rId80" Type="http://schemas.openxmlformats.org/officeDocument/2006/relationships/hyperlink" Target="https://www.uzbekistan.org.ua/en/news/7390-digital-transformation-of-uzbekistan-promotes-regional-integration-in-central-asia.html" TargetMode="External"/><Relationship Id="rId85" Type="http://schemas.openxmlformats.org/officeDocument/2006/relationships/hyperlink" Target="https://dig.watch/countries/uzbekistan" TargetMode="External"/><Relationship Id="rId93" Type="http://schemas.openxmlformats.org/officeDocument/2006/relationships/hyperlink" Target="https://fintechnews.ch/fintech/fintech-on-the-rise-in-uzbekistan-a-short-overview/69023/" TargetMode="External"/><Relationship Id="rId98" Type="http://schemas.openxmlformats.org/officeDocument/2006/relationships/hyperlink" Target="https://e-estonia.com/solutions/interoperability-services/x-road/" TargetMode="External"/><Relationship Id="rId3" Type="http://schemas.openxmlformats.org/officeDocument/2006/relationships/hyperlink" Target="https://lex.uz/ru/docs/5031048" TargetMode="External"/><Relationship Id="rId12" Type="http://schemas.openxmlformats.org/officeDocument/2006/relationships/hyperlink" Target="https://doi.org/10.1787/a1689dc5-en" TargetMode="External"/><Relationship Id="rId17" Type="http://schemas.openxmlformats.org/officeDocument/2006/relationships/hyperlink" Target="https://doi.org/10.1787/5jrxhgf61q5j-en" TargetMode="External"/><Relationship Id="rId25" Type="http://schemas.openxmlformats.org/officeDocument/2006/relationships/hyperlink" Target="https://doi.org/10.1787/f6d42aa5-en" TargetMode="External"/><Relationship Id="rId33" Type="http://schemas.openxmlformats.org/officeDocument/2006/relationships/hyperlink" Target="https://www.educationestonia.org/tiger-leap/" TargetMode="External"/><Relationship Id="rId38" Type="http://schemas.openxmlformats.org/officeDocument/2006/relationships/hyperlink" Target="https://www.baltictimes.com/new_milestone_for_e-residency_with_record_number_of_companies_founded_in_2024/" TargetMode="External"/><Relationship Id="rId46" Type="http://schemas.openxmlformats.org/officeDocument/2006/relationships/hyperlink" Target="https://govinsider.asia/intl-en/article/leaving-no-one-behind-will-determine-success-of-smart-nation-20" TargetMode="External"/><Relationship Id="rId59" Type="http://schemas.openxmlformats.org/officeDocument/2006/relationships/hyperlink" Target="https://thecsruniverse.com/articles/estonia-a-fine-model-of-e-governance-for-the-world" TargetMode="External"/><Relationship Id="rId67" Type="http://schemas.openxmlformats.org/officeDocument/2006/relationships/hyperlink" Target="https://www.eria.org/uploads/04_Chapter-3-The-Case-of-Singapore.pdf" TargetMode="External"/><Relationship Id="rId103" Type="http://schemas.openxmlformats.org/officeDocument/2006/relationships/hyperlink" Target="https://ec.europa.eu/regional_policy/en/atlas/programmes/2014-2020/poland/2014pl16rfop002" TargetMode="External"/><Relationship Id="rId108" Type="http://schemas.openxmlformats.org/officeDocument/2006/relationships/hyperlink" Target="https://doi.org/10.1787/6b748a4b-en" TargetMode="External"/><Relationship Id="rId20" Type="http://schemas.openxmlformats.org/officeDocument/2006/relationships/hyperlink" Target="https://doi.org/10.1787/6b748a4b-en" TargetMode="External"/><Relationship Id="rId41" Type="http://schemas.openxmlformats.org/officeDocument/2006/relationships/hyperlink" Target="https://doi.org/10.3390/su13158493" TargetMode="External"/><Relationship Id="rId54" Type="http://schemas.openxmlformats.org/officeDocument/2006/relationships/hyperlink" Target="https://www.biometricupdate.com/202508/poland-campaigns-to-boost-the-use-of-its-digital-id-platform-mobywatel" TargetMode="External"/><Relationship Id="rId62" Type="http://schemas.openxmlformats.org/officeDocument/2006/relationships/hyperlink" Target="https://eastasiaforum.org/2022/02/04/south-koreas-strong-economic-performance-faces-post-pandemic-challenges/" TargetMode="External"/><Relationship Id="rId70" Type="http://schemas.openxmlformats.org/officeDocument/2006/relationships/hyperlink" Target="https://www.worldbank.org/en/news/press-release/2021/03/31/polish-economy-returns-to-growth-amidst-pandemic-related-setbacks" TargetMode="External"/><Relationship Id="rId75" Type="http://schemas.openxmlformats.org/officeDocument/2006/relationships/hyperlink" Target="https://databank.worldbank.org/source/world-development-indicators" TargetMode="External"/><Relationship Id="rId83" Type="http://schemas.openxmlformats.org/officeDocument/2006/relationships/hyperlink" Target="https://dig.watch/countries/uzbekistan" TargetMode="External"/><Relationship Id="rId88" Type="http://schemas.openxmlformats.org/officeDocument/2006/relationships/hyperlink" Target="https://freedomhouse.org/country/uzbekistan/freedom-net/2024" TargetMode="External"/><Relationship Id="rId91" Type="http://schemas.openxmlformats.org/officeDocument/2006/relationships/hyperlink" Target="https://tadviser.com/index.php/Article:ICT_market_of_Uzbekistan" TargetMode="External"/><Relationship Id="rId96" Type="http://schemas.openxmlformats.org/officeDocument/2006/relationships/hyperlink" Target="https://datahelpdesk.worldbank.org/knowledgebase/articles/906519-world-bank-country-and-lending-groups" TargetMode="External"/><Relationship Id="rId111" Type="http://schemas.openxmlformats.org/officeDocument/2006/relationships/hyperlink" Target="https://fintechnews.ch/fintech/fintech-on-the-rise-in-uzbekistan-a-short-overview/69023/" TargetMode="External"/><Relationship Id="rId1" Type="http://schemas.openxmlformats.org/officeDocument/2006/relationships/hyperlink" Target="https://doi.org/10.1787/6b748a4b-en" TargetMode="External"/><Relationship Id="rId6" Type="http://schemas.openxmlformats.org/officeDocument/2006/relationships/hyperlink" Target="https://databank.worldbank.org/source/world-development-indicators" TargetMode="External"/><Relationship Id="rId15" Type="http://schemas.openxmlformats.org/officeDocument/2006/relationships/hyperlink" Target="https://doi.org/10.1596/978-1-4648-0671-1" TargetMode="External"/><Relationship Id="rId23" Type="http://schemas.openxmlformats.org/officeDocument/2006/relationships/hyperlink" Target="https://doi.org/10.1787/f6d42aa5-en" TargetMode="External"/><Relationship Id="rId28" Type="http://schemas.openxmlformats.org/officeDocument/2006/relationships/hyperlink" Target="https://ec.europa.eu/eurostat/statistics-explained/index.php/E-commerce_statistics_for_individuals" TargetMode="External"/><Relationship Id="rId36" Type="http://schemas.openxmlformats.org/officeDocument/2006/relationships/hyperlink" Target="https://cyber.ee/resources/case-studies/estonian-interoperability-framework-x-road/" TargetMode="External"/><Relationship Id="rId49" Type="http://schemas.openxmlformats.org/officeDocument/2006/relationships/hyperlink" Target="https://opengovasia.com/singapore-milestones-and-momentum-of-a-smart-nation/" TargetMode="External"/><Relationship Id="rId57" Type="http://schemas.openxmlformats.org/officeDocument/2006/relationships/hyperlink" Target="https://www.imda.gov.sg/-/media/imda/files/infocomm-media-landscape/research-and-statistics/sgde-report/singapore-digital-economy-report-2024.pdf" TargetMode="External"/><Relationship Id="rId106" Type="http://schemas.openxmlformats.org/officeDocument/2006/relationships/hyperlink" Target="https://www.singpass.gov.sg/" TargetMode="External"/><Relationship Id="rId114" Type="http://schemas.openxmlformats.org/officeDocument/2006/relationships/hyperlink" Target="https://lex.uz/ru/docs/5031048" TargetMode="External"/><Relationship Id="rId10" Type="http://schemas.openxmlformats.org/officeDocument/2006/relationships/hyperlink" Target="https://doi.org/10.1787/a1689dc5-en" TargetMode="External"/><Relationship Id="rId31" Type="http://schemas.openxmlformats.org/officeDocument/2006/relationships/hyperlink" Target="https://doi.org/10.1787/5jrxhgfqx3mv-en" TargetMode="External"/><Relationship Id="rId44" Type="http://schemas.openxmlformats.org/officeDocument/2006/relationships/hyperlink" Target="https://thediplomat.com/2020/06/south-koreas-digital-new-deal/" TargetMode="External"/><Relationship Id="rId52" Type="http://schemas.openxmlformats.org/officeDocument/2006/relationships/hyperlink" Target="https://digital-strategy.ec.europa.eu/en/policies/digital-connectivity-poland" TargetMode="External"/><Relationship Id="rId60" Type="http://schemas.openxmlformats.org/officeDocument/2006/relationships/hyperlink" Target="https://www.imf.org/en/Publications/WEO/weo-database/2024/April" TargetMode="External"/><Relationship Id="rId65" Type="http://schemas.openxmlformats.org/officeDocument/2006/relationships/hyperlink" Target="https://doi.org/10.3390/su13158493" TargetMode="External"/><Relationship Id="rId73" Type="http://schemas.openxmlformats.org/officeDocument/2006/relationships/hyperlink" Target="https://www.fes.de/en/progressive-fiscal-policy/inflation/what-to-do-about-inflation/what-to-do-about-inflation-poland" TargetMode="External"/><Relationship Id="rId78" Type="http://schemas.openxmlformats.org/officeDocument/2006/relationships/hyperlink" Target="https://doi.org/10.1111/j.1468-0297.2011.02420.x" TargetMode="External"/><Relationship Id="rId81" Type="http://schemas.openxmlformats.org/officeDocument/2006/relationships/hyperlink" Target=":%20https:/www.beyondinvestmentsgroup.com/uzbekistan2023-industryandict" TargetMode="External"/><Relationship Id="rId86" Type="http://schemas.openxmlformats.org/officeDocument/2006/relationships/hyperlink" Target="https://www.worlddata.info/asia/uzbekistan/telecommunication.php" TargetMode="External"/><Relationship Id="rId94" Type="http://schemas.openxmlformats.org/officeDocument/2006/relationships/hyperlink" Target="https://www.mdpi.com/2674-1032/4/4/69" TargetMode="External"/><Relationship Id="rId99" Type="http://schemas.openxmlformats.org/officeDocument/2006/relationships/hyperlink" Target="https://x-road.global/xroad-open-source" TargetMode="External"/><Relationship Id="rId101" Type="http://schemas.openxmlformats.org/officeDocument/2006/relationships/hyperlink" Target="https://stat.uz/en/" TargetMode="External"/><Relationship Id="rId4" Type="http://schemas.openxmlformats.org/officeDocument/2006/relationships/hyperlink" Target="https://doi.org/10.1080/13600810903089893" TargetMode="External"/><Relationship Id="rId9" Type="http://schemas.openxmlformats.org/officeDocument/2006/relationships/hyperlink" Target="https://doi.org/10.1787/a1689dc5-en" TargetMode="External"/><Relationship Id="rId13" Type="http://schemas.openxmlformats.org/officeDocument/2006/relationships/hyperlink" Target="https://doi.org/10.1787/f6d42aa5-en" TargetMode="External"/><Relationship Id="rId18" Type="http://schemas.openxmlformats.org/officeDocument/2006/relationships/hyperlink" Target="https://doi.org/10.1787/5jrxhgf61q5j-en" TargetMode="External"/><Relationship Id="rId39" Type="http://schemas.openxmlformats.org/officeDocument/2006/relationships/hyperlink" Target="https://publicadministration.un.org/egovkb/" TargetMode="External"/><Relationship Id="rId109" Type="http://schemas.openxmlformats.org/officeDocument/2006/relationships/hyperlink" Target="https://datahub.itu.int/" TargetMode="External"/><Relationship Id="rId34" Type="http://schemas.openxmlformats.org/officeDocument/2006/relationships/hyperlink" Target="https://estonianworld.com/technology/estonias-tiger-leap-the-schools-project-that-wired-a-nation-for-the-digital-age/" TargetMode="External"/><Relationship Id="rId50" Type="http://schemas.openxmlformats.org/officeDocument/2006/relationships/hyperlink" Target="https://publicadministration.un.org/egovkb/en-us/Data/Country-Information/id/156-Singapore" TargetMode="External"/><Relationship Id="rId55" Type="http://schemas.openxmlformats.org/officeDocument/2006/relationships/hyperlink" Target="https://www.trade.gov/country-commercial-guides/poland-digital-economy" TargetMode="External"/><Relationship Id="rId76" Type="http://schemas.openxmlformats.org/officeDocument/2006/relationships/hyperlink" Target="https://datahelpdesk.worldbank.org/knowledgebase/articles/906519" TargetMode="External"/><Relationship Id="rId97" Type="http://schemas.openxmlformats.org/officeDocument/2006/relationships/hyperlink" Target="https://unctad.org/publication/world-investment-report-2023" TargetMode="External"/><Relationship Id="rId104" Type="http://schemas.openxmlformats.org/officeDocument/2006/relationships/hyperlink" Target="https://www.adb.org/documents/uzbekistan-country-partnership-strategy-2019-2023" TargetMode="External"/><Relationship Id="rId7" Type="http://schemas.openxmlformats.org/officeDocument/2006/relationships/hyperlink" Target="https://doi.org/10.1787/a1689dc5-en" TargetMode="External"/><Relationship Id="rId71" Type="http://schemas.openxmlformats.org/officeDocument/2006/relationships/hyperlink" Target="https://www.state.gov/reports/2023-investment-climate-statements/poland" TargetMode="External"/><Relationship Id="rId92" Type="http://schemas.openxmlformats.org/officeDocument/2006/relationships/hyperlink" Target="https://interspp.com/index.php/sft/article/download/1696/1293/2524?utm_source=chatgpt.com" TargetMode="External"/></Relationships>
</file>

<file path=word/charts/_rels/chart1.xml.rels><?xml version="1.0" encoding="UTF-8" standalone="yes"?>
<Relationships xmlns="http://schemas.openxmlformats.org/package/2006/relationships"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az-Cyrl-AZ"/>
              <a:t>Доля ИКТ-сектора в ВВП ОЭСР (%)</a:t>
            </a:r>
          </a:p>
        </c:rich>
      </c:tx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1"/>
        <c:ser>
          <c:idx val="0"/>
          <c:order val="0"/>
          <c:tx>
            <c:strRef>
              <c:f>[Графики_диплом_полный.xlsx]Рис1_ИКТ_доля_ВВП!$B$3</c:f>
              <c:strCache>
                <c:ptCount val="1"/>
                <c:pt idx="0">
                  <c:v>ИКТ-сектор, % ВВП</c:v>
                </c:pt>
              </c:strCache>
            </c:strRef>
          </c:tx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31750" cap="rnd">
                <a:solidFill>
                  <a:schemeClr val="accent1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50D2-4555-8FA9-8FC00A1F7BE3}"/>
              </c:ext>
            </c:extLst>
          </c:dPt>
          <c:dPt>
            <c:idx val="1"/>
            <c:marker>
              <c:symbol val="none"/>
            </c:marker>
            <c:bubble3D val="0"/>
            <c:spPr>
              <a:ln w="31750" cap="rnd">
                <a:solidFill>
                  <a:schemeClr val="accent2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50D2-4555-8FA9-8FC00A1F7BE3}"/>
              </c:ext>
            </c:extLst>
          </c:dPt>
          <c:dPt>
            <c:idx val="2"/>
            <c:marker>
              <c:symbol val="none"/>
            </c:marker>
            <c:bubble3D val="0"/>
            <c:spPr>
              <a:ln w="31750" cap="rnd">
                <a:solidFill>
                  <a:schemeClr val="accent3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50D2-4555-8FA9-8FC00A1F7BE3}"/>
              </c:ext>
            </c:extLst>
          </c:dPt>
          <c:dPt>
            <c:idx val="3"/>
            <c:marker>
              <c:symbol val="none"/>
            </c:marker>
            <c:bubble3D val="0"/>
            <c:spPr>
              <a:ln w="31750" cap="rnd">
                <a:solidFill>
                  <a:schemeClr val="accent4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7-50D2-4555-8FA9-8FC00A1F7BE3}"/>
              </c:ext>
            </c:extLst>
          </c:dPt>
          <c:dPt>
            <c:idx val="4"/>
            <c:marker>
              <c:symbol val="none"/>
            </c:marker>
            <c:bubble3D val="0"/>
            <c:spPr>
              <a:ln w="31750" cap="rnd">
                <a:solidFill>
                  <a:schemeClr val="accent5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9-50D2-4555-8FA9-8FC00A1F7BE3}"/>
              </c:ext>
            </c:extLst>
          </c:dPt>
          <c:dPt>
            <c:idx val="5"/>
            <c:marker>
              <c:symbol val="none"/>
            </c:marker>
            <c:bubble3D val="0"/>
            <c:spPr>
              <a:ln w="31750" cap="rnd">
                <a:solidFill>
                  <a:schemeClr val="accent6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B-50D2-4555-8FA9-8FC00A1F7BE3}"/>
              </c:ext>
            </c:extLst>
          </c:dPt>
          <c:dPt>
            <c:idx val="6"/>
            <c:marker>
              <c:symbol val="none"/>
            </c:marker>
            <c:bubble3D val="0"/>
            <c:spPr>
              <a:ln w="31750" cap="rnd">
                <a:solidFill>
                  <a:schemeClr val="accent1">
                    <a:lumMod val="6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D-50D2-4555-8FA9-8FC00A1F7BE3}"/>
              </c:ext>
            </c:extLst>
          </c:dPt>
          <c:dPt>
            <c:idx val="7"/>
            <c:marker>
              <c:symbol val="none"/>
            </c:marker>
            <c:bubble3D val="0"/>
            <c:spPr>
              <a:ln w="31750" cap="rnd">
                <a:solidFill>
                  <a:schemeClr val="accent2">
                    <a:lumMod val="6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F-50D2-4555-8FA9-8FC00A1F7BE3}"/>
              </c:ext>
            </c:extLst>
          </c:dPt>
          <c:dPt>
            <c:idx val="8"/>
            <c:marker>
              <c:symbol val="none"/>
            </c:marker>
            <c:bubble3D val="0"/>
            <c:spPr>
              <a:ln w="31750" cap="rnd">
                <a:solidFill>
                  <a:schemeClr val="accent3">
                    <a:lumMod val="6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1-50D2-4555-8FA9-8FC00A1F7BE3}"/>
              </c:ext>
            </c:extLst>
          </c:dPt>
          <c:dPt>
            <c:idx val="9"/>
            <c:marker>
              <c:symbol val="none"/>
            </c:marker>
            <c:bubble3D val="0"/>
            <c:spPr>
              <a:ln w="31750" cap="rnd">
                <a:solidFill>
                  <a:schemeClr val="accent4">
                    <a:lumMod val="6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3-50D2-4555-8FA9-8FC00A1F7BE3}"/>
              </c:ext>
            </c:extLst>
          </c:dPt>
          <c:dPt>
            <c:idx val="10"/>
            <c:marker>
              <c:symbol val="none"/>
            </c:marker>
            <c:bubble3D val="0"/>
            <c:spPr>
              <a:ln w="31750" cap="rnd">
                <a:solidFill>
                  <a:schemeClr val="accent5">
                    <a:lumMod val="6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5-50D2-4555-8FA9-8FC00A1F7BE3}"/>
              </c:ext>
            </c:extLst>
          </c:dPt>
          <c:dPt>
            <c:idx val="11"/>
            <c:marker>
              <c:symbol val="none"/>
            </c:marker>
            <c:bubble3D val="0"/>
            <c:spPr>
              <a:ln w="31750" cap="rnd">
                <a:solidFill>
                  <a:schemeClr val="accent6">
                    <a:lumMod val="6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7-50D2-4555-8FA9-8FC00A1F7BE3}"/>
              </c:ext>
            </c:extLst>
          </c:dPt>
          <c:dPt>
            <c:idx val="12"/>
            <c:marker>
              <c:symbol val="none"/>
            </c:marker>
            <c:bubble3D val="0"/>
            <c:spPr>
              <a:ln w="31750" cap="rnd">
                <a:solidFill>
                  <a:schemeClr val="accent1">
                    <a:lumMod val="80000"/>
                    <a:lumOff val="2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9-50D2-4555-8FA9-8FC00A1F7BE3}"/>
              </c:ext>
            </c:extLst>
          </c:dPt>
          <c:dPt>
            <c:idx val="13"/>
            <c:marker>
              <c:symbol val="none"/>
            </c:marker>
            <c:bubble3D val="0"/>
            <c:spPr>
              <a:ln w="31750" cap="rnd">
                <a:solidFill>
                  <a:schemeClr val="accent2">
                    <a:lumMod val="80000"/>
                    <a:lumOff val="2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B-50D2-4555-8FA9-8FC00A1F7BE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[Графики_диплом_полный.xlsx]Рис1_ИКТ_доля_ВВП!$A$4:$A$17</c:f>
              <c:numCache>
                <c:formatCode>General</c:formatCode>
                <c:ptCount val="14"/>
                <c:pt idx="0">
                  <c:v>2010</c:v>
                </c:pt>
                <c:pt idx="1">
                  <c:v>2011</c:v>
                </c:pt>
                <c:pt idx="2">
                  <c:v>2012</c:v>
                </c:pt>
                <c:pt idx="3">
                  <c:v>2013</c:v>
                </c:pt>
                <c:pt idx="4">
                  <c:v>2014</c:v>
                </c:pt>
                <c:pt idx="5">
                  <c:v>2015</c:v>
                </c:pt>
                <c:pt idx="6">
                  <c:v>2016</c:v>
                </c:pt>
                <c:pt idx="7">
                  <c:v>2017</c:v>
                </c:pt>
                <c:pt idx="8">
                  <c:v>2018</c:v>
                </c:pt>
                <c:pt idx="9">
                  <c:v>2019</c:v>
                </c:pt>
                <c:pt idx="10">
                  <c:v>2020</c:v>
                </c:pt>
                <c:pt idx="11">
                  <c:v>2021</c:v>
                </c:pt>
                <c:pt idx="12">
                  <c:v>2022</c:v>
                </c:pt>
                <c:pt idx="13">
                  <c:v>2023</c:v>
                </c:pt>
              </c:numCache>
            </c:numRef>
          </c:cat>
          <c:val>
            <c:numRef>
              <c:f>[Графики_диплом_полный.xlsx]Рис1_ИКТ_доля_ВВП!$B$4:$B$17</c:f>
              <c:numCache>
                <c:formatCode>General</c:formatCode>
                <c:ptCount val="14"/>
                <c:pt idx="0">
                  <c:v>3.9</c:v>
                </c:pt>
                <c:pt idx="1">
                  <c:v>4</c:v>
                </c:pt>
                <c:pt idx="2">
                  <c:v>4.0999999999999996</c:v>
                </c:pt>
                <c:pt idx="3">
                  <c:v>4.2</c:v>
                </c:pt>
                <c:pt idx="4">
                  <c:v>4.3</c:v>
                </c:pt>
                <c:pt idx="5">
                  <c:v>4.5999999999999996</c:v>
                </c:pt>
                <c:pt idx="6">
                  <c:v>4.7</c:v>
                </c:pt>
                <c:pt idx="7">
                  <c:v>4.9000000000000004</c:v>
                </c:pt>
                <c:pt idx="8">
                  <c:v>5.0999999999999996</c:v>
                </c:pt>
                <c:pt idx="9">
                  <c:v>5.4</c:v>
                </c:pt>
                <c:pt idx="10">
                  <c:v>5.6</c:v>
                </c:pt>
                <c:pt idx="11">
                  <c:v>5.8</c:v>
                </c:pt>
                <c:pt idx="12">
                  <c:v>6</c:v>
                </c:pt>
                <c:pt idx="13">
                  <c:v>6.2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1C-50D2-4555-8FA9-8FC00A1F7BE3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10"/>
        <c:axId val="100"/>
      </c:lineChart>
      <c:catAx>
        <c:axId val="1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az-Cyrl-AZ"/>
                  <a:t>Год</a:t>
                </a:r>
              </a:p>
            </c:rich>
          </c:tx>
          <c:layout>
            <c:manualLayout>
              <c:xMode val="edge"/>
              <c:yMode val="edge"/>
              <c:x val="0.49426056425660131"/>
              <c:y val="0.76715650369285238"/>
            </c:manualLayout>
          </c:layout>
          <c:overlay val="1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0"/>
        <c:crosses val="autoZero"/>
        <c:auto val="1"/>
        <c:lblAlgn val="ctr"/>
        <c:lblOffset val="100"/>
        <c:noMultiLvlLbl val="1"/>
      </c:catAx>
      <c:valAx>
        <c:axId val="1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%</a:t>
                </a:r>
              </a:p>
            </c:rich>
          </c:tx>
          <c:overlay val="1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3858497447118892"/>
          <c:y val="0.8437488555209669"/>
          <c:w val="0.71889132020423052"/>
          <c:h val="0.1562511444790331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1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65</Pages>
  <Words>14886</Words>
  <Characters>84855</Characters>
  <Application>Microsoft Office Word</Application>
  <DocSecurity>0</DocSecurity>
  <Lines>707</Lines>
  <Paragraphs>199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99542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Muhammadjon</dc:creator>
  <cp:keywords/>
  <dc:description/>
  <cp:lastModifiedBy>Muhammadjon</cp:lastModifiedBy>
  <cp:revision>16</cp:revision>
  <dcterms:created xsi:type="dcterms:W3CDTF">2026-06-07T09:28:00Z</dcterms:created>
  <dcterms:modified xsi:type="dcterms:W3CDTF">2026-06-07T15:07:00Z</dcterms:modified>
</cp:coreProperties>
</file>