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12A" w:rsidRDefault="00B4512A" w:rsidP="00B4512A">
      <w:r>
        <w:t>МИНИСТЕРСТВО ИНОСТРАННЫХ ДЕЛ РЕСПУБЛИКИ УЗБЕКИСТАН</w:t>
      </w:r>
    </w:p>
    <w:p w:rsidR="00B4512A" w:rsidRDefault="00B4512A" w:rsidP="00B4512A"/>
    <w:p w:rsidR="00B4512A" w:rsidRDefault="00B4512A" w:rsidP="00B4512A">
      <w:r>
        <w:t>Университет мировой экономики и дипломатии</w:t>
      </w:r>
    </w:p>
    <w:p w:rsidR="00B4512A" w:rsidRDefault="00B4512A" w:rsidP="00B4512A"/>
    <w:p w:rsidR="00B4512A" w:rsidRDefault="00B4512A" w:rsidP="00B4512A"/>
    <w:p w:rsidR="00B4512A" w:rsidRDefault="00B4512A" w:rsidP="00B4512A"/>
    <w:p w:rsidR="00B4512A" w:rsidRDefault="00B4512A" w:rsidP="00B4512A">
      <w:r>
        <w:t>Факультет «Международная экономика и менеджмент»</w:t>
      </w:r>
    </w:p>
    <w:p w:rsidR="00B4512A" w:rsidRDefault="00B4512A" w:rsidP="00B4512A"/>
    <w:p w:rsidR="00B4512A" w:rsidRDefault="00B4512A" w:rsidP="00B4512A"/>
    <w:p w:rsidR="00B4512A" w:rsidRDefault="00B4512A" w:rsidP="00B4512A"/>
    <w:p w:rsidR="00B4512A" w:rsidRDefault="00B4512A" w:rsidP="00B4512A">
      <w:r>
        <w:t>Кафедра «Международные финансы и инвестиции»</w:t>
      </w:r>
    </w:p>
    <w:p w:rsidR="00B4512A" w:rsidRDefault="00B4512A" w:rsidP="00B4512A"/>
    <w:p w:rsidR="00B4512A" w:rsidRDefault="00B4512A" w:rsidP="00B4512A"/>
    <w:p w:rsidR="00B4512A" w:rsidRDefault="00B4512A" w:rsidP="00B4512A"/>
    <w:p w:rsidR="00B4512A" w:rsidRDefault="00B4512A" w:rsidP="00B4512A">
      <w:r>
        <w:t>Эргашев Мир-Акбар Отабекович</w:t>
      </w:r>
    </w:p>
    <w:p w:rsidR="00B4512A" w:rsidRDefault="00B4512A" w:rsidP="00B4512A"/>
    <w:p w:rsidR="00B4512A" w:rsidRDefault="00B4512A" w:rsidP="00B4512A">
      <w:r>
        <w:t>Тема: «Формирование и особенности функционирования современной европейской валютной системы»</w:t>
      </w:r>
    </w:p>
    <w:p w:rsidR="00B4512A" w:rsidRDefault="00B4512A" w:rsidP="00B4512A"/>
    <w:p w:rsidR="00B4512A" w:rsidRDefault="00B4512A" w:rsidP="00B4512A"/>
    <w:p w:rsidR="00B4512A" w:rsidRDefault="00B4512A" w:rsidP="00B4512A"/>
    <w:p w:rsidR="00B4512A" w:rsidRDefault="00B4512A" w:rsidP="00B4512A">
      <w:r>
        <w:t xml:space="preserve">Выпускная квалификационная работа </w:t>
      </w:r>
    </w:p>
    <w:p w:rsidR="00B4512A" w:rsidRDefault="00B4512A" w:rsidP="00B4512A">
      <w:r>
        <w:t>для получения степени бакалавра по направлению 60412000 - «Международная экономика и менеджмент (по регионам и видам деятельности)»</w:t>
      </w:r>
    </w:p>
    <w:p w:rsidR="00B4512A" w:rsidRDefault="00B4512A" w:rsidP="00B4512A"/>
    <w:p w:rsidR="00B4512A" w:rsidRDefault="00B4512A" w:rsidP="00B4512A"/>
    <w:p w:rsidR="00B4512A" w:rsidRDefault="00B4512A" w:rsidP="00B4512A">
      <w:r>
        <w:t>Работа рассмотрена и рекомендована к защите:</w:t>
      </w:r>
      <w:r>
        <w:tab/>
      </w:r>
      <w:r>
        <w:tab/>
      </w:r>
    </w:p>
    <w:p w:rsidR="00B4512A" w:rsidRDefault="00B4512A" w:rsidP="00B4512A">
      <w:r>
        <w:tab/>
      </w:r>
      <w:r>
        <w:tab/>
      </w:r>
    </w:p>
    <w:p w:rsidR="00B4512A" w:rsidRDefault="00B4512A" w:rsidP="00B4512A">
      <w:r>
        <w:t xml:space="preserve">Научный руководитель: </w:t>
      </w:r>
      <w:r>
        <w:tab/>
        <w:t>Профессор, к.э.н.Гулямова Г.С.</w:t>
      </w:r>
      <w:r>
        <w:tab/>
      </w:r>
      <w:r>
        <w:tab/>
      </w:r>
      <w:r>
        <w:tab/>
      </w:r>
    </w:p>
    <w:p w:rsidR="00B4512A" w:rsidRDefault="00B4512A" w:rsidP="00B4512A">
      <w:r>
        <w:tab/>
      </w:r>
      <w:r>
        <w:tab/>
      </w:r>
    </w:p>
    <w:p w:rsidR="00B4512A" w:rsidRDefault="00B4512A" w:rsidP="00B4512A">
      <w:r>
        <w:t>Зав. Кафедрой</w:t>
      </w:r>
      <w:r>
        <w:tab/>
      </w:r>
      <w:r>
        <w:tab/>
      </w:r>
    </w:p>
    <w:p w:rsidR="00B4512A" w:rsidRDefault="00B4512A" w:rsidP="00B4512A">
      <w:r>
        <w:lastRenderedPageBreak/>
        <w:t>к.э.н. доцент, Шарипова У.А.</w:t>
      </w:r>
      <w:r>
        <w:tab/>
      </w:r>
      <w:r>
        <w:tab/>
      </w:r>
    </w:p>
    <w:p w:rsidR="00B4512A" w:rsidRDefault="00B4512A" w:rsidP="00B4512A">
      <w:r>
        <w:tab/>
      </w:r>
      <w:r>
        <w:tab/>
      </w:r>
      <w:r>
        <w:tab/>
      </w:r>
      <w:r>
        <w:tab/>
      </w:r>
      <w:r>
        <w:tab/>
        <w:t>«__» _________ 20__г.</w:t>
      </w:r>
    </w:p>
    <w:p w:rsidR="00B4512A" w:rsidRDefault="00B4512A" w:rsidP="00B4512A"/>
    <w:p w:rsidR="00B4512A" w:rsidRDefault="00B4512A" w:rsidP="00B4512A"/>
    <w:p w:rsidR="00B4512A" w:rsidRDefault="00B4512A" w:rsidP="00B4512A">
      <w:r>
        <w:t>Ташкент - 2026</w:t>
      </w:r>
    </w:p>
    <w:p w:rsidR="00B4512A" w:rsidRDefault="00B4512A" w:rsidP="00B4512A">
      <w:r>
        <w:t>СОДЕРЖАНИЕ</w:t>
      </w:r>
    </w:p>
    <w:p w:rsidR="00B4512A" w:rsidRDefault="00B4512A" w:rsidP="00B4512A">
      <w:r>
        <w:t>ВВЕДЕНИЕ</w:t>
      </w:r>
      <w:r>
        <w:tab/>
        <w:t xml:space="preserve">3 </w:t>
      </w:r>
    </w:p>
    <w:p w:rsidR="00B4512A" w:rsidRDefault="00B4512A" w:rsidP="00B4512A">
      <w:r>
        <w:t>ГЛАВАI.ТЕОРЕТИЧЕСКИЕ И МЕТОДОЛОГИЧЕСКИЕ ОСНОВЫ ЕВРОПЕЙСКОЙ ВАЛЮТНОЙ СИСТЕМЫ</w:t>
      </w:r>
      <w:r>
        <w:tab/>
        <w:t>8</w:t>
      </w:r>
    </w:p>
    <w:p w:rsidR="00B4512A" w:rsidRDefault="00B4512A" w:rsidP="00B4512A">
      <w:r>
        <w:t xml:space="preserve">1.1.Предпосылки образования и функционирования Европейской валютной системы </w:t>
      </w:r>
      <w:r>
        <w:tab/>
        <w:t>8</w:t>
      </w:r>
    </w:p>
    <w:p w:rsidR="00B4512A" w:rsidRDefault="00B4512A" w:rsidP="00B4512A">
      <w:r>
        <w:t>1.2.Сущность Европейской валютной системы: цели, понятие, механизмы регулирования и правовые догматы</w:t>
      </w:r>
      <w:r>
        <w:tab/>
        <w:t>15</w:t>
      </w:r>
    </w:p>
    <w:p w:rsidR="00B4512A" w:rsidRDefault="00B4512A" w:rsidP="00B4512A">
      <w:r>
        <w:t>1.3.Факторы, влияющие на Формирования и особенности функционирования современной Европейской валютной системы</w:t>
      </w:r>
      <w:r>
        <w:tab/>
        <w:t>21</w:t>
      </w:r>
    </w:p>
    <w:p w:rsidR="00B4512A" w:rsidRDefault="00B4512A" w:rsidP="00B4512A">
      <w:r>
        <w:t>ГЛАВАII.АНАЛИЗ ФУНКЦИОНИРОВАНИЯ СОВРЕМЕННОЙ ЕВРОПЕЙСКОЙ ВАЛЮТНОЙ СИСТЕМЫ В СТРАНАХ ЕС</w:t>
      </w:r>
      <w:r>
        <w:tab/>
        <w:t>26</w:t>
      </w:r>
    </w:p>
    <w:p w:rsidR="00B4512A" w:rsidRDefault="00B4512A" w:rsidP="00B4512A">
      <w:r>
        <w:t xml:space="preserve">2.1.Общее состояние валютной системы ЕС на современном этапе </w:t>
      </w:r>
      <w:r>
        <w:tab/>
        <w:t>26</w:t>
      </w:r>
    </w:p>
    <w:p w:rsidR="00B4512A" w:rsidRDefault="00B4512A" w:rsidP="00B4512A">
      <w:r>
        <w:t>2.2.Страновые особенности и внешние вызовы функционирования валютной системы ЕС в условиях глобальной турбулентности</w:t>
      </w:r>
      <w:r>
        <w:tab/>
        <w:t>46</w:t>
      </w:r>
    </w:p>
    <w:p w:rsidR="00B4512A" w:rsidRDefault="00B4512A" w:rsidP="00B4512A">
      <w:r>
        <w:t>2.3.Предложения по совершенствованию функционирования Европейского Союза в условиях цифровизации экономики</w:t>
      </w:r>
      <w:r>
        <w:tab/>
        <w:t>56</w:t>
      </w:r>
    </w:p>
    <w:p w:rsidR="00B4512A" w:rsidRDefault="00B4512A" w:rsidP="00B4512A">
      <w:r>
        <w:t>ГЛАВАIII.СОВЕРШЕНСТВОВАНИЯ ЕВРОПЕЙСКОЙ ВАЛЮТНОЙ СИСТЕМЫ И ИСПОЛЬЗОВАНИЕ ОПЫТА ДЛЯ УЗБЕКИСТАНА</w:t>
      </w:r>
      <w:r>
        <w:tab/>
        <w:t>65</w:t>
      </w:r>
    </w:p>
    <w:p w:rsidR="00B4512A" w:rsidRDefault="00B4512A" w:rsidP="00B4512A">
      <w:r>
        <w:t xml:space="preserve">3.1.Сравнительный анализ монетарных систем ЕС и Узбекистана </w:t>
      </w:r>
      <w:r>
        <w:tab/>
        <w:t>65</w:t>
      </w:r>
    </w:p>
    <w:p w:rsidR="00B4512A" w:rsidRDefault="00B4512A" w:rsidP="00B4512A">
      <w:r>
        <w:t>3.2.Возможности применения опыта ЕС для Узбекистана рекомендации интеграция в глобальные системы</w:t>
      </w:r>
      <w:r>
        <w:tab/>
        <w:t>72</w:t>
      </w:r>
    </w:p>
    <w:p w:rsidR="00B4512A" w:rsidRDefault="00B4512A" w:rsidP="00B4512A">
      <w:r>
        <w:t>ЗАКЛЮЧЕНИЕ</w:t>
      </w:r>
      <w:r>
        <w:tab/>
        <w:t>78</w:t>
      </w:r>
    </w:p>
    <w:p w:rsidR="00B4512A" w:rsidRDefault="00B4512A" w:rsidP="00B4512A">
      <w:r>
        <w:t>СПИСОК ИСПОЛЬЗОВАННЫХ ИСТОЧНИКОВ</w:t>
      </w:r>
      <w:r>
        <w:tab/>
        <w:t>82</w:t>
      </w:r>
    </w:p>
    <w:p w:rsidR="00B4512A" w:rsidRDefault="00B4512A" w:rsidP="00B4512A">
      <w:r>
        <w:t>ПРИЛОЖЕНИЯ</w:t>
      </w:r>
      <w:r>
        <w:tab/>
        <w:t>87</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lastRenderedPageBreak/>
        <w:t>ВВЕДЕНИЕ</w:t>
      </w:r>
    </w:p>
    <w:p w:rsidR="00B4512A" w:rsidRDefault="00B4512A" w:rsidP="00B4512A">
      <w:r>
        <w:t>Актуальность темы европейская валютная система является уникальным примером региональной экономической и политической интеграции государств. Однако Европейский Союз столкнулся с серьёзными вызовами, такими как выход Великобритании из его состава, последствия пандемии COVID-19, а также усиление волатильности на мировых финансовых рынках.</w:t>
      </w:r>
    </w:p>
    <w:p w:rsidR="00B4512A" w:rsidRDefault="00B4512A" w:rsidP="00B4512A">
      <w:r>
        <w:t xml:space="preserve">В современных условиях особую актуальность приобретает изучение механизмов обеспечения стабильности евро как одной из ведущих международных резервных валют.Несмотря на адаптивность институтов Экономического и валютного союза, остаются нерешёнными вопросы завершения формирования Банковского союза и углубления фискальной интеграции, что напрямую влияет на устойчивость Еврозоны. </w:t>
      </w:r>
    </w:p>
    <w:p w:rsidR="00B4512A" w:rsidRDefault="00B4512A" w:rsidP="00B4512A">
      <w:r>
        <w:t>Актуальность исследования усиливается тем, что Европейский Союз является одним из ключевых торгово-экономических партнёров Узбекистана.В этой связи возрастает необходимость анализа не только Европейской валютной системы, но и особенностей функционирования валютной системы Узбекистана, её устойчивости, а также степени готовности к интеграции в международные финансовые и валютные процессы.</w:t>
      </w:r>
    </w:p>
    <w:p w:rsidR="00B4512A" w:rsidRDefault="00B4512A" w:rsidP="00B4512A">
      <w:r>
        <w:t>Особое значение приобретает сравнительный анализ механизмов валютного регулирования в странах ЕС и Узбекистане, позволяющий выявить существующие различия, ограничения и потенциальные направления реформирования национальной валютной системы. Это создаёт основу для разработки практических рекомендаций по совершенствованию валютной политики Узбекистана с учётом Европейского опыта.</w:t>
      </w:r>
    </w:p>
    <w:p w:rsidR="00B4512A" w:rsidRDefault="00B4512A" w:rsidP="00B4512A">
      <w:r>
        <w:t>Проведение данного исследования обусловлено необходимостью глубокой адаптации национальной валютной политики к новым требованиям, закрепленным в нормативно-правовых актах Республики Узбекистан.Согласно данным национальной базы законодательства Lex.uz, за последние годы была проведена фундаментальная реформа финансового сектора:</w:t>
      </w:r>
    </w:p>
    <w:p w:rsidR="00B4512A" w:rsidRDefault="00B4512A" w:rsidP="00B4512A">
      <w:r>
        <w:t>Принятие новой редакции Закона «О валютном регулировании» (ЗРУ-573 от 22.10.2019 г.) заложило правовую основу для перехода к рыночным механизмам формирования валютного курса и либерализации операций движения капитала.</w:t>
      </w:r>
    </w:p>
    <w:p w:rsidR="00B4512A" w:rsidRDefault="00B4512A" w:rsidP="00B4512A">
      <w:r>
        <w:t>Обновленные Законы «О Центральном банке Республики Узбекистан» (ЗРУ-582) и «О банках и банковской деятельности» (ЗРУ-580) наделили регулятор необходимыми полномочиями для обеспечения ценовой и финансовой стабильности, что напрямую коррелирует с мандатом Европейского центрального банка.</w:t>
      </w:r>
    </w:p>
    <w:p w:rsidR="00B4512A" w:rsidRDefault="00B4512A" w:rsidP="00B4512A">
      <w:r>
        <w:t>Особую значимость в рамках данного анализа имеют последние изменения в Правила ведения открытой валютной позиции, зарегистрированные Министерством юстиции в сентябре 2025 года (рег. номер 3301-1). Данные изменения направлены на минимизацию валютных рисков коммерческих банков в условиях волатильности, что делает изучение европейского опыта по управлению рисками в рамках Банковского союза ЕС (SSM) и макропруденциального надзора крайне своевременным.</w:t>
      </w:r>
    </w:p>
    <w:p w:rsidR="00B4512A" w:rsidRDefault="00B4512A" w:rsidP="00B4512A">
      <w:r>
        <w:t>Таким образом, анализ ЕВС проводится не только как академическое исследование международного опыта, но и как необходимый этап выработки рекомендаций для исполнения задач, поставленных в вышеуказанных законах по укреплению монетарного суверенитета и интеграции Узбекистана в глобальную финансовую систему.</w:t>
      </w:r>
    </w:p>
    <w:p w:rsidR="00B4512A" w:rsidRDefault="00B4512A" w:rsidP="00B4512A">
      <w:r>
        <w:lastRenderedPageBreak/>
        <w:t>Значимость исследования заключается в возможности адаптации инструментов и механизмов, применяемых в Европейском Союзе, для повышения эффективности валютного регулирования, обеспечения макроэкономической стабильности и укрепления позиций Узбекистана в условиях глобализации мировой экономики.</w:t>
      </w:r>
    </w:p>
    <w:p w:rsidR="00B4512A" w:rsidRDefault="00B4512A" w:rsidP="00B4512A">
      <w:r>
        <w:t>Степень изученности проблемы Теоретический фундамент валютной интеграции и функционирования оптимальных валютных зон заложен в классических работах Роберта Манделла. Эволюция Экономического и валютного союза (ЭВС) и этапы перехода к единой валюте детально проанализированы в докладах комитета под руководством Жака Делора.Современные вызовы асимметрии и институциональной незавершенности системы исследуются в работах Марио Драги и Энрико Летты, которые акцентируют внимание на необходимости фискального единства и стра</w:t>
      </w:r>
      <w:bookmarkStart w:id="0" w:name="_GoBack"/>
      <w:bookmarkEnd w:id="0"/>
      <w:r>
        <w:t>тегической автономии Европы.Вопросы независимости регуляторов и риски «монетарного доминирования» раскрыты в трудах Майкла Вудфорда, а также Томаса Сарджента и Нила Уоллеса. Перспективы «многоскоростной» интеграции и адаптации к цифровой трансформации рассматриваются в исследованиях Жана Пизани-Ферри.Эмпирическую базу исследования составляют регулярные аналитические обзоры Европейского центрального банка (ЕЦБ), отчеты о конвергенции и статистические данные Евростата.</w:t>
      </w:r>
    </w:p>
    <w:p w:rsidR="00B4512A" w:rsidRDefault="00B4512A" w:rsidP="00B4512A">
      <w:r>
        <w:t>Среди узбекских учыных и экспертов следует выделить работы таких авторов, как Ш.А.Абдуллаевой, Б.Олимжонова, А.Омонова, З.Маматова, А.Рашидова, Д.Мустафакулова.Проблемы обеспечения стабильности национальной валюты и независимости регулятора в своих исследованиях и докладах поднимали действующие руководители и эксперты Центрального банка Республики Узбекистан, в частности М. Нурмуратов и Т. Ишметов, чья деятельность направлена на институциональное укрепление банковской системы и переход к инфляционному таргетированию.</w:t>
      </w:r>
    </w:p>
    <w:p w:rsidR="00B4512A" w:rsidRDefault="00B4512A" w:rsidP="00B4512A">
      <w:r>
        <w:t>Объектом исследования является Современная Европейская валютная система как единый механизм экономических, институциональных и правовых отношений между странами-участницами Европейского Союза.</w:t>
      </w:r>
    </w:p>
    <w:p w:rsidR="00B4512A" w:rsidRDefault="00B4512A" w:rsidP="00B4512A">
      <w:r>
        <w:t>Предметом исследования является Система экономических отношений, возникающих в ходе развития Современная Европейская валютная система.</w:t>
      </w:r>
    </w:p>
    <w:p w:rsidR="00B4512A" w:rsidRDefault="00B4512A" w:rsidP="00B4512A">
      <w:r>
        <w:t>Цель исследования является изучение развития и функционирования современной Европейской валютной системы (ЕВС) для выявления ключевых факторов её успеха и определения перспектив дальнейшего развития.В соответствии с этой целью в работе были реализованы следующие задачи исследования:</w:t>
      </w:r>
    </w:p>
    <w:p w:rsidR="00B4512A" w:rsidRDefault="00B4512A" w:rsidP="00B4512A">
      <w:r>
        <w:t xml:space="preserve">Для достижения поставленной цели в работе последовательно решаются следующие задачи: </w:t>
      </w:r>
    </w:p>
    <w:p w:rsidR="00B4512A" w:rsidRDefault="00B4512A" w:rsidP="00B4512A">
      <w:r>
        <w:t xml:space="preserve">-выявить предпосылки образования и функционирования Европейской валютной системы </w:t>
      </w:r>
    </w:p>
    <w:p w:rsidR="00B4512A" w:rsidRDefault="00B4512A" w:rsidP="00B4512A">
      <w:r>
        <w:t>-определить сущность Европейской валютной системы: цели, понятие, механизмы регулирования и правовые догматы</w:t>
      </w:r>
    </w:p>
    <w:p w:rsidR="00B4512A" w:rsidRDefault="00B4512A" w:rsidP="00B4512A">
      <w:r>
        <w:t>-изучить факторы, влияющие на Формирования и особенности функционирования современной Европейской валютной системы</w:t>
      </w:r>
    </w:p>
    <w:p w:rsidR="00B4512A" w:rsidRDefault="00B4512A" w:rsidP="00B4512A">
      <w:r>
        <w:t xml:space="preserve">-выявить общее состояние валютной системы ЕС на современном этапе </w:t>
      </w:r>
    </w:p>
    <w:p w:rsidR="00B4512A" w:rsidRDefault="00B4512A" w:rsidP="00B4512A">
      <w:r>
        <w:t>-определить страновые особенности и внешние вызовы функционирования валютной системы ЕС в условиях глобальной турбулентности</w:t>
      </w:r>
    </w:p>
    <w:p w:rsidR="00B4512A" w:rsidRDefault="00B4512A" w:rsidP="00B4512A">
      <w:r>
        <w:lastRenderedPageBreak/>
        <w:t>-исследовать предложения по совершенствованию функционирования Европейского Союза в условиях цифровизации экономики</w:t>
      </w:r>
    </w:p>
    <w:p w:rsidR="00B4512A" w:rsidRDefault="00B4512A" w:rsidP="00B4512A">
      <w:r>
        <w:t xml:space="preserve">- провести сравнительный анализ монетарных систем ЕС и Узбекистана </w:t>
      </w:r>
    </w:p>
    <w:p w:rsidR="00B4512A" w:rsidRDefault="00B4512A" w:rsidP="00B4512A">
      <w:r>
        <w:t>-выявить возможности применения опыта ЕС для Узбекистана рекомендации интеграция в глобальные системы</w:t>
      </w:r>
    </w:p>
    <w:p w:rsidR="00B4512A" w:rsidRDefault="00B4512A" w:rsidP="00B4512A">
      <w:r>
        <w:t xml:space="preserve">Практическая значимость исследования имеют значение для дальнейшей модернизации валютной политики Республики Узбекистан и её интеграции в глобальную финансовую систему. Особую практическую ценность представляет возможность адаптации европейского опыта по укреплению институциональной независимости Центрального банка, что является необходимым условием для эффективного инфляционного таргетирования.Рекомендации по совершенствованию механизмов управления открытой валютной позицией коммерческих банков, опирающиеся на последние изменения в законодательстве РУз (рег. номер 3301-1 от 2025 г.), направлены на минимизацию системных рисков. Также значимым является анализ проекта цифрового евро для разработки стратегии внедрения «цифрового сума» (CBDC) как фактора повышения прозрачности экономики. </w:t>
      </w:r>
    </w:p>
    <w:p w:rsidR="00B4512A" w:rsidRDefault="00B4512A" w:rsidP="00B4512A">
      <w:r>
        <w:t>Методология исследования составляет комплексный подход, сочетающий историко-логический метод при изучении генезиса европейской интеграции от системы «валютной змеи» до создания Евросистемы.В работе применен институциональный анализ для оценки полномочий ЕЦБ и национальных центральных банков.Сравнительно-правовой метод позволил сопоставить нормы Договора о функционировании ЕС (Статьи 123, 127, 130 TFEU) с положениями обновленного законодательства Узбекистана, представленного на портале Lex.uz.Кроме того, использовались статистические методы анализа макроэкономической динамики (инфляция HICP, рост ВВП, объем резервов) и экономико-математическое моделирование для оценки влияния геополитических рисков на финансовую стабильность.</w:t>
      </w:r>
    </w:p>
    <w:p w:rsidR="00B4512A" w:rsidRDefault="00B4512A" w:rsidP="00B4512A">
      <w:r>
        <w:t xml:space="preserve">Краткая характеристика структуры выпускной квалификационной работы соответствует поставленным целям и задачам. </w:t>
      </w:r>
    </w:p>
    <w:p w:rsidR="00B4512A" w:rsidRDefault="00B4512A" w:rsidP="00B4512A">
      <w:r>
        <w:t>В первой главе рассматриваются теоретические и методологические основы формирования ЕВС, включая исторический контекст и фундаментальные принципы её функционирования.</w:t>
      </w:r>
    </w:p>
    <w:p w:rsidR="00B4512A" w:rsidRDefault="00B4512A" w:rsidP="00B4512A">
      <w:r>
        <w:t>Вторая глава посвящена аналитическому обзору современного состояния валютной системы ЕС, страновым особенностям (на примере Германии, Франции и Греции) и оценке влияния внешних геоэкономических факторов.</w:t>
      </w:r>
    </w:p>
    <w:p w:rsidR="00B4512A" w:rsidRDefault="00B4512A" w:rsidP="00B4512A">
      <w:r>
        <w:t xml:space="preserve">В третьей главе проводится сравнительный анализ монетарных систем ЕС и Узбекистана, формулируются предложения по совершенствованию системы в условиях цифровизации и разрабатываются практические рекомендации для национальной экономики Узбекистана. </w:t>
      </w:r>
    </w:p>
    <w:p w:rsidR="00B4512A" w:rsidRDefault="00B4512A" w:rsidP="00B4512A">
      <w:r>
        <w:t>В заключении обобщаются основные выводы исследования и предлагаются направления дальнейшего развития.</w:t>
      </w:r>
    </w:p>
    <w:p w:rsidR="00B4512A" w:rsidRDefault="00B4512A" w:rsidP="00B4512A"/>
    <w:p w:rsidR="00B4512A" w:rsidRDefault="00B4512A" w:rsidP="00B4512A"/>
    <w:p w:rsidR="00B4512A" w:rsidRDefault="00B4512A" w:rsidP="00B4512A"/>
    <w:p w:rsidR="00B4512A" w:rsidRDefault="00B4512A" w:rsidP="00B4512A">
      <w:r>
        <w:t xml:space="preserve">ГЛАВА I.ТЕОРЕТИЧЕСКИЕ И МЕТОДОЛОГИЧЕСКИЕ ОСНОВЫ </w:t>
      </w:r>
    </w:p>
    <w:p w:rsidR="00B4512A" w:rsidRDefault="00B4512A" w:rsidP="00B4512A">
      <w:r>
        <w:lastRenderedPageBreak/>
        <w:t>ЕВРОПЕЙСКОЙ ВАЛЮТНОЙ СИСТЕМЫ</w:t>
      </w:r>
    </w:p>
    <w:p w:rsidR="00B4512A" w:rsidRDefault="00B4512A" w:rsidP="00B4512A">
      <w:r>
        <w:t>1.1.Предпосылки образования и функционирования Европейской валютной системы</w:t>
      </w:r>
    </w:p>
    <w:p w:rsidR="00B4512A" w:rsidRDefault="00B4512A" w:rsidP="00B4512A">
      <w:r>
        <w:t>Международная валютная система (МВС) представляет собой не просто механизм передвижения денег, а сложную форму организации и реализации валютных отношений, закрепленную межгосударственными соглашениями и формирующаяся благодаря экономическим отношениям страны со всем миром.Она обеспечивает платежи между странами, транснациональными компаниями и частными лицами, свободную международную торговлю, свободную конвертируемость валют, установление валютных паритетов и регулирование спроса и предложения валютного рынка.Европейская валютная система (ЕВС) является уникальным региональным воплощением этой глобальной системы.[1]</w:t>
      </w:r>
    </w:p>
    <w:p w:rsidR="00B4512A" w:rsidRDefault="00B4512A" w:rsidP="00B4512A">
      <w:r>
        <w:t>Формирование Европейской валютной системы не было изолированным историческим актом или результатом внезапного политического решения.Напротив, оно стало логическим завершением длительного процесса эволюции мировых валютных отношений и объективной необходимости защиты Европейской экономики от внешних дестабилизирующих факторов.Методологические предпосылки создания ЕВС можно разделить на три масштабных этапа: глобальный (эволюция мировых валютных систем), региональный (интеграционные процессы в Европе) и теоретический (поиск оптимальных экономических моделей).</w:t>
      </w:r>
    </w:p>
    <w:p w:rsidR="00B4512A" w:rsidRDefault="00B4512A" w:rsidP="00B4512A">
      <w:r>
        <w:t>Формирование ЕВС стало результатом длительного процесса экономической и политической интеграции стран Европы, начавшегося после Второй мировой войны.Основными предпосылками создания ЕВС выступили необходимость экономической стабилизации, расширение торгово-экономических связей между странами и стремление к углублению интеграционных процессов.Развитие ЕВС опирается на исторический опыт функционирования мировых валютных систем, которые закладывали элементы будущего Европейского Союза.</w:t>
      </w:r>
    </w:p>
    <w:p w:rsidR="00B4512A" w:rsidRDefault="00B4512A" w:rsidP="00B4512A">
      <w:r>
        <w:t>1.Парижская валютная система (с 1867 г.) базировалась на золотомонетном стандарте.В этот период золото выступало единственной формой мировых денег, а курсы валют колебались в крайне узких пределах так называемых «золотых точек», определяемых стоимостью транспортировки драгоценного метала между финансовыми центрами.Для Европы этот период остался в памяти как «золотой век» стабильности, к которой лидеры региона стремились вернуться на протяжении всего XX века.[2]</w:t>
      </w:r>
    </w:p>
    <w:p w:rsidR="00B4512A" w:rsidRDefault="00B4512A" w:rsidP="00B4512A">
      <w:r>
        <w:t>2.Генуэзская система (с 1922 г.) ввела золотодевизный стандарт, где наряду с золотом резервными активами стали фунт стерлингов и доллар.Однако отсутствие жесткой координации и разрушительные последствия Первой мировой войны привели к валютному хаосу и затяжным кризисам в 1929-1936 гг., что доказало невозможность обеспечения стабильности без глубокого межгосударственного сотрудничества.2</w:t>
      </w:r>
    </w:p>
    <w:p w:rsidR="00B4512A" w:rsidRDefault="00B4512A" w:rsidP="00B4512A">
      <w:r>
        <w:t>3.Корни создания Европейской валютной интеграции уходят в глубокую травму, нанесенную Европе Второй мировой войной.После 1945 года политические лидеры осознали, что национальное государство в его прежнем виде дискредитировано, а объединенная Европа является единственным способом избежать новых конфликтов и восстановить международное влияние в условиях холодной войны.</w:t>
      </w:r>
    </w:p>
    <w:p w:rsidR="00B4512A" w:rsidRDefault="00B4512A" w:rsidP="00B4512A">
      <w:r>
        <w:t xml:space="preserve">Постепенно возникло понимание, что экономическая мощь союза невозможна без стабильности валютных отношений.Римские договоры 1957 года, заложившие основу Европейского экономического сообщества, рассматривали макроэкономические вопросы прежде всего через </w:t>
      </w:r>
      <w:r>
        <w:lastRenderedPageBreak/>
        <w:t>призму функционирования общего рынка: дисбалансы платежных балансов могли подорвать свободу движения товаров.В то время валютная сфера оставалась прерогативой национального суверенитета, но росла необходимость в «эффективном сотрудничестве».</w:t>
      </w:r>
    </w:p>
    <w:p w:rsidR="00B4512A" w:rsidRDefault="00B4512A" w:rsidP="00B4512A">
      <w:r>
        <w:t>4.Бреттон-Вудская система (1944-1973 гг.) стала решающей предпосылкой. Она юридически закрепила лидерство доллара США как единственной валюты, конвертируемой в золото по фиксированной цене (35 долл. США за унцию).Однако к началу 1970-х годов система вошла в фазу «фундаментального неравновесия».Золотые запасы США перестали покрывать долларовую массу, находящуюся за границей, - к 1970 году авуары Европейских центробанков в долларах в четыре раза превышали золотой запас США.[3]</w:t>
      </w:r>
    </w:p>
    <w:p w:rsidR="00B4512A" w:rsidRDefault="00B4512A" w:rsidP="00B4512A"/>
    <w:p w:rsidR="00B4512A" w:rsidRDefault="00B4512A" w:rsidP="00B4512A">
      <w:r>
        <w:t>Рисунок 1.1.1. Золотой запас и внешние обязательства США</w:t>
      </w:r>
    </w:p>
    <w:p w:rsidR="00B4512A" w:rsidRDefault="00B4512A" w:rsidP="00B4512A">
      <w:r>
        <w:t>Источник: Banking and Monetary Statistics 1941-1970[4]</w:t>
      </w:r>
    </w:p>
    <w:p w:rsidR="00B4512A" w:rsidRDefault="00B4512A" w:rsidP="00B4512A"/>
    <w:p w:rsidR="00B4512A" w:rsidRDefault="00B4512A" w:rsidP="00B4512A">
      <w:r>
        <w:t>Первым фундаментальным проектом создания экономического и валютного союза стал доклад Вернера, представленный в октябре 1970 года.Группа под руководством премьер-министра Люксембурга Пьера Вернера предложила план реализации валютного союза в три этапа в течение десяти лет.План предусматривал полную конвертируемость валют, фиксацию обменных курсов и создание централизованной системы центральных банков, что послужило «чертежом» для будущего Маастрихтского договора.[5] Пьер Вернер в «Докладе Вернера» отмечает, что экономический и валютный союз является важным этапом политической интеграции, подчеркивая: «Economic and monetary union thus appears as a leaven for the development of political union».[6]</w:t>
      </w:r>
    </w:p>
    <w:p w:rsidR="00B4512A" w:rsidRDefault="00B4512A" w:rsidP="00B4512A">
      <w:r>
        <w:t>Крах Бреттон-Вудской системы в 1971 году, когда США официально прекратили размен долларов на золото, стал прямым катализатором Европейской интеграции.Европейские страны, чьи экономики были тесно переплетены взаимной торговлей, столкнулись с разрушительной волатильностью «плавающих» курсов.Именно осознание того, что национальные экономики Европы слишком малы, чтобы поодиночке противостоять колебаниям доллара, заставило лидеров Франции и ФРГ искать региональную альтернативу.[7]</w:t>
      </w:r>
    </w:p>
    <w:p w:rsidR="00B4512A" w:rsidRDefault="00B4512A" w:rsidP="00B4512A">
      <w:r>
        <w:t>Одним из ключевых факторов стало осознание ограниченности национальных валютных систем в условиях усиливающейся глобализации.Колебания валютных курсов негативно отражались на внешней торговле, инвестициях и экономической стабильности.Практическим ответом на эти вызовы стал механизм «валютной змеи» (1972 г.) - первая попытка Европы ограничить амплитуду колебаний национальных валютных курсов в узком коридоре.Хотя «змея» часто разрывалась из-за кризисов, она стала институциональной нормой, подготовившей центральные банки к созданию ЕВС в 1979 году.7</w:t>
      </w:r>
    </w:p>
    <w:p w:rsidR="00B4512A" w:rsidRDefault="00B4512A" w:rsidP="00B4512A">
      <w:r>
        <w:t>Важнейшей теоретической основой функционирования ЕВС стала теория оптимального валютного ареала.Исследователи анализировали степень синхронизации бизнес-циклов в Европе, выдвигая идею о том, что выгоды от введения единой валюты перевешивают издержки от утраты «монетарного суверенитета» только в том случае, если экономики стран достаточно схожи.Эти исследования позволили выделить группы стран по степени их готовности к валютному союзу: «быстро сближающееся ядро» (Германия, Австрия, Бенилюкс) и «постепенно сближающуюся периферию» (Италия, Греция, Испания, Португалия).[8]</w:t>
      </w:r>
    </w:p>
    <w:p w:rsidR="00B4512A" w:rsidRDefault="00B4512A" w:rsidP="00B4512A">
      <w:r>
        <w:lastRenderedPageBreak/>
        <w:t>Доклад Делора (1989): Решающий импульс, предложивший создание Экономического и валютного союза (ЭВС) в три этапа.Доклад был принят единогласно, что стало сигналом о готовности центральных банков пожертвовать частью суверенитета ради стабильности. [9]</w:t>
      </w:r>
    </w:p>
    <w:p w:rsidR="00B4512A" w:rsidRDefault="00B4512A" w:rsidP="00B4512A">
      <w:r>
        <w:t>Решающим фактором стала политическая воля к созданию «мощного супергосударства», способного конкурировать с США и Японией.Особую роль сыграло объединение Германии: евро рассматривалось Францией как способ «привязать» усилившуюся Германию к общеевропейским структурам.Ключевым этапом в развитии валютной интеграции стало подписание Маастрихтского договора в 1992 году, который заложил правовые основы Экономического и валютного союза.[10] Договор юридически закрепил план перехода к евро в три этапа:</w:t>
      </w:r>
    </w:p>
    <w:p w:rsidR="00B4512A" w:rsidRDefault="00B4512A" w:rsidP="00B4512A">
      <w:r>
        <w:t xml:space="preserve">-Первый этап (1990-1993 гг.): Полная свобода для движения капиталов. </w:t>
      </w:r>
    </w:p>
    <w:p w:rsidR="00B4512A" w:rsidRDefault="00B4512A" w:rsidP="00B4512A">
      <w:r>
        <w:t>-Второй этап (1994-1998 гг.): Создание Европейского валютного института для подготовки к работе единого Центрального банка.</w:t>
      </w:r>
    </w:p>
    <w:p w:rsidR="00B4512A" w:rsidRDefault="00B4512A" w:rsidP="00B4512A">
      <w:r>
        <w:t>-Третий этап (с 1999 г.): Безвозвратная фиксация курсов и введение евро как расчетной валютной единицы, начиная с 2002 года - в наличной форме.9</w:t>
      </w:r>
    </w:p>
    <w:p w:rsidR="00B4512A" w:rsidRDefault="00B4512A" w:rsidP="00B4512A">
      <w:r>
        <w:tab/>
        <w:t xml:space="preserve">Договор определил критерии конвергенции, обязательные для стран, стремящихся присоединиться к Еврозоне, включая требования к уровню инфляции, бюджетному дефициту, государственному долгу, процентным ставкам и стабильности валютного курса. После долгового кризиса в Еврозоне, начавшегося в 2010 году, были созданы дополнительные институциональные механизмы, включая Европейский механизм финансовой стабильности и Европейский стабилизационный механизм.Эти структуры обеспечили поддержку странам, столкнувшимся с долговыми и банковскими кризисами, а также усилили устойчивость всей валютной системы.Таким образом, предпосылками ЕВС стали десятилетия экономического поиска, уроки глобальных финансовых кризисов и стремление Европы к обретению стратегической автономии. </w:t>
      </w:r>
    </w:p>
    <w:p w:rsidR="00B4512A" w:rsidRDefault="00B4512A" w:rsidP="00B4512A"/>
    <w:p w:rsidR="00B4512A" w:rsidRDefault="00B4512A" w:rsidP="00B4512A">
      <w:r>
        <w:t>Рисунок 1.1.2. Правовая основа расширения Евросоюза</w:t>
      </w:r>
    </w:p>
    <w:p w:rsidR="00B4512A" w:rsidRDefault="00B4512A" w:rsidP="00B4512A">
      <w:r>
        <w:t>Источник: Создание Европейского союза[11]</w:t>
      </w:r>
    </w:p>
    <w:p w:rsidR="00B4512A" w:rsidRDefault="00B4512A" w:rsidP="00B4512A"/>
    <w:p w:rsidR="00B4512A" w:rsidRDefault="00B4512A" w:rsidP="00B4512A">
      <w:r>
        <w:t>При изучении предпосылок ЕВС прослеживается фундаментальное противоречие, которое определило все последующие кризисы системы.Создатели евро верили в теорию «оптимальных валютных зон» и надеялись, что единая валюта сама по себе станет стимулом для структурных реформ и сближения экономик.Однако реальность показала, что в отсутствие единого казначейства и политического центра система стала «системой без государства». [12]</w:t>
      </w:r>
    </w:p>
    <w:p w:rsidR="00B4512A" w:rsidRDefault="00B4512A" w:rsidP="00B4512A">
      <w:r>
        <w:t>Главной предпосылкой функционирования системы была не столько экономическая целесообразность, сколько политическая воля.Германия согласилась отказаться от дойчмарки (символа своего возрождения) в обмен на гарантии стабильности и поддержку объединения страны.Франция же стремилась «обуздать» германскую мощь через наднациональные институты.</w:t>
      </w:r>
    </w:p>
    <w:p w:rsidR="00B4512A" w:rsidRDefault="00B4512A" w:rsidP="00B4512A">
      <w:r>
        <w:t xml:space="preserve">В результате возникла «архитектура для хорошей погоды». Предполагалось, что дисциплина рынков и Пакта стабильности и роста заставит правительства быть ответственными. Но низкие процентные ставки после введения евро, напротив, позволили периферийным странам накапливать долги, маскируя структурные слабости.Это доказывает, что методологической ошибкой при создании ЕВС </w:t>
      </w:r>
      <w:r>
        <w:lastRenderedPageBreak/>
        <w:t>была недооценка важности банковского и фискального союзов как обязательных условий функционирования монетарного союза.</w:t>
      </w:r>
    </w:p>
    <w:p w:rsidR="00B4512A" w:rsidRDefault="00B4512A" w:rsidP="00B4512A">
      <w:r>
        <w:t xml:space="preserve">Таблица 1.1.1. </w:t>
      </w:r>
    </w:p>
    <w:p w:rsidR="00B4512A" w:rsidRDefault="00B4512A" w:rsidP="00B4512A">
      <w:r>
        <w:t>Ступени развития международной экономической интеграции ЕС</w:t>
      </w:r>
    </w:p>
    <w:p w:rsidR="00B4512A" w:rsidRDefault="00B4512A" w:rsidP="00B4512A">
      <w:r>
        <w:t>Ступень</w:t>
      </w:r>
      <w:r>
        <w:tab/>
        <w:t>Сущность</w:t>
      </w:r>
      <w:r>
        <w:tab/>
        <w:t>Период</w:t>
      </w:r>
    </w:p>
    <w:p w:rsidR="00B4512A" w:rsidRDefault="00B4512A" w:rsidP="00B4512A">
      <w:r>
        <w:t>1.Зона свободной торговли</w:t>
      </w:r>
      <w:r>
        <w:tab/>
        <w:t>Отмена таможенных пошлин между странами-участницами интеграционной группировки</w:t>
      </w:r>
      <w:r>
        <w:tab/>
        <w:t>1951 - 1968</w:t>
      </w:r>
    </w:p>
    <w:p w:rsidR="00B4512A" w:rsidRDefault="00B4512A" w:rsidP="00B4512A">
      <w:r>
        <w:t>2.Таможенный союз</w:t>
      </w:r>
      <w:r>
        <w:tab/>
        <w:t>Унификация таможенных пошлин в отношении третьих стран</w:t>
      </w:r>
      <w:r>
        <w:tab/>
        <w:t>1968 - 1986</w:t>
      </w:r>
    </w:p>
    <w:p w:rsidR="00B4512A" w:rsidRDefault="00B4512A" w:rsidP="00B4512A">
      <w:r>
        <w:t>3.Общий рынок</w:t>
      </w:r>
      <w:r>
        <w:tab/>
        <w:t>Либерализация движения факторов производства (капиталов, рабочей силы, информации) между странами - участницами интеграционной группировки</w:t>
      </w:r>
      <w:r>
        <w:tab/>
        <w:t>1987-1992</w:t>
      </w:r>
    </w:p>
    <w:p w:rsidR="00B4512A" w:rsidRDefault="00B4512A" w:rsidP="00B4512A">
      <w:r>
        <w:t>4.Экономический и валютный союз</w:t>
      </w:r>
      <w:r>
        <w:tab/>
        <w:t>Координация и унификация внутриэкономической политики стран-участниц, включая переход к единой валюте ЕС</w:t>
      </w:r>
      <w:r>
        <w:tab/>
        <w:t>с 1993</w:t>
      </w:r>
    </w:p>
    <w:p w:rsidR="00B4512A" w:rsidRDefault="00B4512A" w:rsidP="00B4512A"/>
    <w:p w:rsidR="00B4512A" w:rsidRDefault="00B4512A" w:rsidP="00B4512A"/>
    <w:p w:rsidR="00B4512A" w:rsidRDefault="00B4512A" w:rsidP="00B4512A"/>
    <w:p w:rsidR="00B4512A" w:rsidRDefault="00B4512A" w:rsidP="00B4512A">
      <w:r>
        <w:t>Ступень</w:t>
      </w:r>
      <w:r>
        <w:tab/>
        <w:t>Сущность</w:t>
      </w:r>
      <w:r>
        <w:tab/>
        <w:t>Период</w:t>
      </w:r>
    </w:p>
    <w:p w:rsidR="00B4512A" w:rsidRDefault="00B4512A" w:rsidP="00B4512A">
      <w:r>
        <w:t>5.Политический союз</w:t>
      </w:r>
      <w:r>
        <w:tab/>
        <w:t>Создание наднациональных органов управления, проведение единой внешней политики</w:t>
      </w:r>
      <w:r>
        <w:tab/>
        <w:t>-</w:t>
      </w:r>
    </w:p>
    <w:p w:rsidR="00B4512A" w:rsidRDefault="00B4512A" w:rsidP="00B4512A"/>
    <w:p w:rsidR="00B4512A" w:rsidRDefault="00B4512A" w:rsidP="00B4512A">
      <w:r>
        <w:t>Источник: составлено автором на основе: Создание Европейского союза[13]</w:t>
      </w:r>
    </w:p>
    <w:p w:rsidR="00B4512A" w:rsidRDefault="00B4512A" w:rsidP="00B4512A"/>
    <w:p w:rsidR="00B4512A" w:rsidRDefault="00B4512A" w:rsidP="00B4512A">
      <w:r>
        <w:t xml:space="preserve">Европейская валютная система родилась на стыке исторического страха перед войной и экономических амбиций единого рынка.В его основе лежит сочетание немецкого ордолиберализма (независимость центрального банка) и французского волюнтаризма (политическая интеграция). Нынешнее функционирование ЭМС представляет собой попытку адаптировать эту сложную, изначально асимметричную конструкцию к вызовам глобализации и внутренних дисбалансов, что требует перехода от простого координирования суверенитетов к их реальному разделению в рамках общих институтов. </w:t>
      </w:r>
    </w:p>
    <w:p w:rsidR="00B4512A" w:rsidRDefault="00B4512A" w:rsidP="00B4512A">
      <w:r>
        <w:t>- . Сущность Европейской валютной системы: цели, понятие, механизмы регулирования и правовые догматы</w:t>
      </w:r>
    </w:p>
    <w:p w:rsidR="00B4512A" w:rsidRDefault="00B4512A" w:rsidP="00B4512A">
      <w:r>
        <w:t xml:space="preserve">Европейская валютная система в её современном виде представляет собой высшую форму региональной экономической интеграции, закрепленную сложной системой межгосударственных соглашений, наднациональных институтов, механизмов и правил.Современная Европейская валютная система является ключевым элементом Экономического и валютного союза и основана на принципах интеграции, макроэкономической стабильности и финансовой устойчивости.[14] Роберт </w:t>
      </w:r>
      <w:r>
        <w:lastRenderedPageBreak/>
        <w:t>Манделл в своей научной работе «A Theory of Optimum Currency Areas» рассматривает оптимальные валютные зоны как основу валютной интеграции и утверждает, что «The optimum currency area is not the world».[15]</w:t>
      </w:r>
    </w:p>
    <w:p w:rsidR="00B4512A" w:rsidRDefault="00B4512A" w:rsidP="00B4512A"/>
    <w:p w:rsidR="00B4512A" w:rsidRDefault="00B4512A" w:rsidP="00B4512A">
      <w:r>
        <w:t>Рисунок 1.2.1. Структура управление Европейского союза</w:t>
      </w:r>
    </w:p>
    <w:p w:rsidR="00B4512A" w:rsidRDefault="00B4512A" w:rsidP="00B4512A">
      <w:r>
        <w:t>Источник: составлено автором на основе: Создание Европейского союза13</w:t>
      </w:r>
    </w:p>
    <w:p w:rsidR="00B4512A" w:rsidRDefault="00B4512A" w:rsidP="00B4512A"/>
    <w:p w:rsidR="00B4512A" w:rsidRDefault="00B4512A" w:rsidP="00B4512A">
      <w:r>
        <w:t>В широком смысле Европейская валютная система представляет собой институциональную структуру, обеспечивающую функционирование единой денежно-кредитной политики и обращение евро под управлением Европейского центрального банка. Ее деятельность основана на четком распределении полномочий: в то время как денежно-кредитная политика централизована на уровне ЕС, фискальная и экономическая политика остаются прерогативой национальных правительств, хотя и координируются в рамках Пакта стабильности и роста (ПСР).</w:t>
      </w:r>
    </w:p>
    <w:p w:rsidR="00B4512A" w:rsidRDefault="00B4512A" w:rsidP="00B4512A">
      <w:r>
        <w:t>Эта «асимметрия» является фундаментальной характеристикой системы: единая валюта требует высокой степени дисциплины, чтобы избежать «морального риска», когда безответственная финансовая политика одной страны ложится бременем на всю систему. Институционально система опирается на Европейскую систему центральных банков (ЕСЦБ).</w:t>
      </w:r>
    </w:p>
    <w:p w:rsidR="00B4512A" w:rsidRDefault="00B4512A" w:rsidP="00B4512A">
      <w:r>
        <w:t>С точки зрения теории международных валютных отношений это не просто технический способ организации расчетов, а финансовый механизм, предполагающий передачу значительной части национального суверенитета наднациональному органу - Европейскому центральному банку.Как отмечают исследователи, Европейская валютная система не является постоянной структурой; она прошла долгий путь от координации национальных обменных курсов («валютная змея») до создания полноценного центрального банка. Понятие ЕВС неразрывно связано с функционированием Европейской системы центральных банков.ЕСЦБ включает в себя ЕЦБ и Национальные центральные банки всех государств-членов Европейского Союза, независимо от того, приняли они единую валюту евро или нет.В свою очередь, Европейская система объединяет ЕЦБ и центральные банки только тех стран, которые ввели евро в качестве официального платежного средства.Такая дуалистическая структура сохранит свою актуальность до тех пор, пока существуют страны «периферии» ЕС (например, Дания), сохраняющие собственные валюты в качестве основного средства платежа. [16]</w:t>
      </w:r>
    </w:p>
    <w:p w:rsidR="00B4512A" w:rsidRDefault="00B4512A" w:rsidP="00B4512A">
      <w:r>
        <w:t>Основной и приоритетной целью функционирования современной ЕВС, согласно Статье 127(1) Договора о функционировании Европейского союза (TFEU), является поддержание ценовой стабильности.В Европейском обществе сложился общепринятое мнение относительно того, что стабильные цены - это «общественное благо» и лучший вклад, который монетарная политика может внести в долгосрочный экономический рост, создание рабочих мест и социальную сплоченность населения.[17] ЕВС ставит перед собой вторую иерархическую цель - содействие в реализации общей экономической политики Евросоюза для достижения устойчивого развития, сбалансированного роста и формирование высококонкурентной социальной рыночной экономики.Тем не менее, эта поддержка осуществляется только в том объеме, который не препятствует достижению главной задачи - поддержка стабильности цен.</w:t>
      </w:r>
    </w:p>
    <w:p w:rsidR="00B4512A" w:rsidRDefault="00B4512A" w:rsidP="00B4512A">
      <w:r>
        <w:t>Для реализации своих основных целей ЕВС придерживается к нескольким важным принципам:</w:t>
      </w:r>
    </w:p>
    <w:p w:rsidR="00B4512A" w:rsidRDefault="00B4512A" w:rsidP="00B4512A">
      <w:r>
        <w:lastRenderedPageBreak/>
        <w:t>Независимость - это фундаментальный принцип, лежащий в основе всей системы.Согласно Статье 130 TFEU, ни ЕЦБ, ни национальные центральные банки, ни члены их директивных органов не имеют права запрашивать или принимать инструкции от институтов ЕС, правительств стран-членов или любых других структур.[18] Чтобы обеспечить безопасность печатному станку для достижения краткосрочных политических целей, необходимо «броня» от политического влияния.Независимость дополняется финансовой автономностью: ЕЦБ имеет собственный бюджет, а его капитал сформирован взносами НЦБ Еврозоны.[19]</w:t>
      </w:r>
    </w:p>
    <w:p w:rsidR="00B4512A" w:rsidRDefault="00B4512A" w:rsidP="00B4512A">
      <w:r>
        <w:t>Запрет на денежное финансирование (Статья 123 TFEU) накладывает жесткое ограничение на предоставление кредитов или любых видов кредитных линий со стороны центральных банков государственным органам власти.Этот принцип разрывает историческую связь между дефицитом бюджета и денежной эмиссией, вынуждая правительства стран Еврозоны проводить ответственную фискальную политику.[20]</w:t>
      </w:r>
    </w:p>
    <w:p w:rsidR="00B4512A" w:rsidRDefault="00B4512A" w:rsidP="00B4512A">
      <w:r>
        <w:t>Единство денежно-кредитной политики при децентрализованном фискальном управлении - уникальная и наиболее сложная особенность ЕВС.В рамках зоны евро действует «одна валюта - одна политика», решения по которой принимаются Советом управляющих ЕЦБ исходя из интересов всей зоны в целом, а не отдельных регионов или стран.Это требует глубокой экономической конвергенции стран-участниц, критерии (стабильность цен, здоровые государственные финансы, устойчивый обменный курс и низкие процентные ставки) которые должны соблюдаться не только при вступлении в Евросоюз, но и на протяжении всего членства.Жак Делор в докладе «Report on Economic and Monetary Union in the European Community» подчеркивает, что «Eeconomic and monetary union would imply complete freedom of capital movements and full integration of financial markets».[21]</w:t>
      </w:r>
    </w:p>
    <w:p w:rsidR="00B4512A" w:rsidRDefault="00B4512A" w:rsidP="00B4512A">
      <w:r>
        <w:t>Принцип пропорциональности. При выборе инструментов (например, процентных ставок или программ выкупа активов) ЕЦБ обязан оценивать не только их эффективность для инфляции, но и побочные эффекты для финансовой системы и реальной экономики.Этот принцип стал особенно важен после судебных разбирательств (дело Weiss), подчеркнувших необходимость обоснования масштабов вмешательства регулятора.[22]</w:t>
      </w:r>
    </w:p>
    <w:p w:rsidR="00B4512A" w:rsidRDefault="00B4512A" w:rsidP="00B4512A">
      <w:r>
        <w:t>Среднесрочная ориентация. Денежно-кредитная политика не стремится мгновенно реагировать на любые шоки предложения, так как это может вызвать ненужную волатильность выпуска и занятости.Гибкость среднесрочного горизонта позволяет системе адаптироваться к характеру и длительности шока.</w:t>
      </w:r>
    </w:p>
    <w:p w:rsidR="00B4512A" w:rsidRDefault="00B4512A" w:rsidP="00B4512A">
      <w:r>
        <w:t>Важным современным принципом ЕВС является рыночная ориентация. Монетарная политика должна проводиться в соответствии с принципом открытой рыночной экономики с эффективным распределением ресурсов.Это подразумевает, что ЕЦБ не командует рынком напрямую, а подает сигналы через изменение стоимости денег, влияя на поведение инвесторов и потребителей.В условиях глобализации и цифровизации ЕВС расширяет свои принципы на сферу цифровой экономики, рассматривая возможность выпуска цифрового евро.Это должно стать инструментом укрепления стратегической автономии Европы и обеспечения доступа к безопасным «деньгам центрального банка» в эпоху развитых технологий.</w:t>
      </w:r>
    </w:p>
    <w:p w:rsidR="00B4512A" w:rsidRDefault="00B4512A" w:rsidP="00B4512A">
      <w:r>
        <w:t>В современной литературе обсуждается концепция «монетарного доминирования, которая возникла после 2008 года.Критики, такие как Анна-Лена Хёгенауэр и Джоана Мендес, отмечают, что расширение функций ЕЦБ (включая борьбу с изменением климата и участие в геополитических противостояниях) ведет к политизации регулятора, что может вступить в противоречие с его узким технократическим мандатом и требовать большей демократической легитимности.[23]</w:t>
      </w:r>
    </w:p>
    <w:p w:rsidR="00B4512A" w:rsidRDefault="00B4512A" w:rsidP="00B4512A">
      <w:r>
        <w:lastRenderedPageBreak/>
        <w:t xml:space="preserve">С другой стороны, исследователи подчеркивают, что финансовая стабильность стала фактически «сверхцелью» системы после долгового кризиса Еврозоны, часто доминируя над социальными правами. Традиционный взгляд на систему как на «оптимальную валютную зону» также подвергается сомнению из-за отсутствия полноценного фискального союза и единого рынка услуг. Марио Драги в своем выступлении в Лондоне заявил: «Within our mandate, the ECB is ready to do whatever it takes to preserve the euro»[24], обозначив готовность ЕЦБ поддерживать стабильность евро в условиях кризиса. </w:t>
      </w:r>
    </w:p>
    <w:p w:rsidR="00B4512A" w:rsidRDefault="00B4512A" w:rsidP="00B4512A">
      <w:r>
        <w:t>Анализ источников позволяет сделать вывод, что современная ЕВС находится в фазе «адаптивного консерватизма».С одной стороны, система остается верна догматам стабильности цен, заложенным в 1990-х годах.С другой стороны, обзор стратегии 2025 года показывает, что ЕЦБ больше не может игнорировать «немонетарные» факторы: климат, демографию и кибербезопасность.[25]</w:t>
      </w:r>
    </w:p>
    <w:p w:rsidR="00B4512A" w:rsidRDefault="00B4512A" w:rsidP="00B4512A">
      <w:r>
        <w:t>Главный парадокс ЕВС заключается в том, что она является «неполным союзом».Система успешно создала единый монетарный центр, но не имеет единого казначейства. Фабио Панетта в своих выступлениях о развитии Экономического и валютного союза отмечает: «Deepening Economic and Monetary Union is essential for Europe’s resilience».[26] Это порождает необходимость в таких инструментах, как TPI (Transmission Protection Instrument), введенный в 2022 году для борьбы с неоправданной фрагментацией рынков гособлигаций.Мышление регулятора эволюционировало от простого контроля денежной массы к управлению сложными макрофинансовыми связями.</w:t>
      </w:r>
    </w:p>
    <w:p w:rsidR="00B4512A" w:rsidRDefault="00B4512A" w:rsidP="00B4512A">
      <w:r>
        <w:t>Будущее системы во многом зависит от того, сможет ли она интегрировать цифровой евро не как угрозу коммерческим банкам, а как инструмент повышения ликвидности и прозрачности. В условиях «высокой неопределенности» и «нелинейности процессов», гибкость среднесрочной ориентации становится важнее жестких краткосрочных правил.</w:t>
      </w:r>
    </w:p>
    <w:p w:rsidR="00B4512A" w:rsidRDefault="00B4512A" w:rsidP="00B4512A">
      <w:r>
        <w:t>Таким образом, понятие Европейской валютной системы выходит далеко за рамки простого сотрудничества  центральных банков.Это сложная институциональная единая система, базирующаяся на приоритете стабильности, строгой независимости регулятора и жесткой дисциплине, что в совокупности делает евро второй по значимости резервной валютой мира после доллара.Опыт ЕВС демонстрирует, что успех валютной интеграции зависит не только от введения единой купюры, но и от создания наднациональной системы доверия, защищенной от политического влияния.Европейская валютная система - это сложная институциональная конструкция, созданная гарантировать стабильное функционирование валютного союза, экономическую устойчивость и продвижение интеграционного развития государств Европейского Союза.</w:t>
      </w:r>
    </w:p>
    <w:p w:rsidR="00B4512A" w:rsidRDefault="00B4512A" w:rsidP="00B4512A">
      <w:r>
        <w:t>1.3. Факторы, влияющие на формирование и особенности функционирования современной Европейской валютной системы</w:t>
      </w:r>
    </w:p>
    <w:p w:rsidR="00B4512A" w:rsidRDefault="00B4512A" w:rsidP="00B4512A">
      <w:r>
        <w:t>Функционирование современной Европейской валютной системы в рамках Экономического и валютного союза определяется комплексом факторов, которые можно классифицировать на внутренние структурные особенности, институциональные ограничения и внешние глобальные вызовы.Современная система функционирует под воздействием экономических, финансовых, институциональных и политических факторов.</w:t>
      </w:r>
    </w:p>
    <w:p w:rsidR="00B4512A" w:rsidRDefault="00B4512A" w:rsidP="00B4512A">
      <w:r>
        <w:t xml:space="preserve">К числу экономических факторов относится уровень экономического развития стран-участниц, различия в структуре национальных экономик, динамика инфляции, темпы экономического роста и состояние рынков труда.Одним из наиболее значимых внутренних факторов является экономическая асимметрия стран-участниц.Теоретической базой для анализа этого фактора служит концепция оптимального валютного ареала, согласно которой стабильность валютного союза напрямую зависит </w:t>
      </w:r>
      <w:r>
        <w:lastRenderedPageBreak/>
        <w:t>от степени синхронизации экономических циклов. Использование «индекса стержневости» позволяет выявить разделение зоны евро на «ядро» (Германия, Франция, страны Бенилюкса) и «периферию» (Греция, Испания, Португалия, Ирландия).</w:t>
      </w:r>
    </w:p>
    <w:p w:rsidR="00B4512A" w:rsidRDefault="00B4512A" w:rsidP="00B4512A">
      <w:r>
        <w:t>Существенные различия в экономическом потенциале стран Еврозоны создают сложности в проведении единой денежно-кредитной политики.Это порождает проблему «единой политики для всех»: ЕЦБ устанавливает единую процентную ставку для всей зоны евро, что может привести к перегреву в одних странах и усугублению рецессии в других. Например, в период долгового кризиса странам юга Европы требовалось снижение ставок для стимулирования роста, в то время как экономика севера нуждалась в более жесткой политике для сдерживания инфляции.[27]</w:t>
      </w:r>
    </w:p>
    <w:p w:rsidR="00B4512A" w:rsidRDefault="00B4512A" w:rsidP="00B4512A">
      <w:r>
        <w:t>Финансовые факторы включают состояние банковского сектора, уровень долговой нагрузки, устойчивость финансовых рынков и доступ к кредитным ресурсам.Банковские кризисы и рост государственного долга в отдельных странах могут создавать системные риски для всей валютной зоны.В этой связи особое значение приобретают механизмы банковского надзора, стресс-тестирования и антикризисного финансирования.</w:t>
      </w:r>
    </w:p>
    <w:p w:rsidR="00B4512A" w:rsidRDefault="00B4512A" w:rsidP="00B4512A">
      <w:r>
        <w:t>Институциональные факторы связаны с архитектурой управления Европейской валютной системой.Центральную роль играет Европейский центральный банк, отвечающий за формирование и реализацию денежно-кредитной политики.Наряду с ним важное значение имеют Европейская комиссия, Совет Европейского Союза, Европейский парламент и Европейский стабилизационный механизм.Эффективность взаимодействия между этими институтами определяет устойчивость функционирования валютного союза.</w:t>
      </w:r>
    </w:p>
    <w:p w:rsidR="00B4512A" w:rsidRDefault="00B4512A" w:rsidP="00B4512A">
      <w:r>
        <w:t>Политические факторы также оказывают существенное влияние на развитие Европейской валютной системы.Различия в национальных экономических интересах, уровень политической интеграции, общественное восприятие евро и внутриполитическая ситуация в странах-членах могут усиливать или ослаблять интеграционные процессы.</w:t>
      </w:r>
    </w:p>
    <w:p w:rsidR="00B4512A" w:rsidRDefault="00B4512A" w:rsidP="00B4512A">
      <w:r>
        <w:t>Глобальным фактором выступает конкуренция со стороны иностранных цифровых валют и частных платежных решений.Развитие зарубежных проектов и глобальных «стейблкоинов» создает угрозу замещения евро, что может ослабить трансмиссионный механизм монетарной политики.В ответ на этот вызов ЕЦБ активизировал разработку проекта цифрового евро. Цифровизация экономики в целом меняет потребительское поведение: спрос на наличные деньги падает, что вынуждает ЕЦБ адаптировать свои инструменты, внедряя такие системы, как TIPS (TARGET Instant Payment Settlement).[28]</w:t>
      </w:r>
    </w:p>
    <w:p w:rsidR="00B4512A" w:rsidRDefault="00B4512A" w:rsidP="00B4512A">
      <w:r>
        <w:t>Дополнительным фактором является глобальная экономическая конъюнктура, включая колебания мировых цен на сырьевые ресурсы, динамику международной торговли, изменения процентных ставок ведущих центральных банков и геополитические риски. Эти факторы способны оказывать значительное влияние на устойчивость евро и финансовую стабильность Еврозоны.</w:t>
      </w:r>
    </w:p>
    <w:p w:rsidR="00B4512A" w:rsidRDefault="00B4512A" w:rsidP="00B4512A">
      <w:r>
        <w:t xml:space="preserve">Главная особенность функционирования современной системы заключается в её вынужденной многозадачности.Если изначально ЕЦБ был сфокусирован исключительно на инфляции, то сегодня факторы внешней среды (климат, киберугрозы, социальное неравенство) де-факто расширяют его мандат.Это порождает парадокс: чем больше система берет на себя функций по спасению экономики, тем выше риск морального ущерба - когда национальные правительства теряют стимул к дисциплине, полагаясь на «защитный зонтик» наднационального регулятора. </w:t>
      </w:r>
    </w:p>
    <w:p w:rsidR="00B4512A" w:rsidRDefault="00B4512A" w:rsidP="00B4512A">
      <w:r>
        <w:lastRenderedPageBreak/>
        <w:t xml:space="preserve">Интересным фактором является «эффект масштаба». В условиях фрагментации глобальной торговли отдельная Европейская страна слишком мала, чтобы противостоять шокам.Таким образом, валютный союз превратился из инструмента чисто экономического удобства в инструмент выживания и геополитического влияния.Однако устойчивость этой конструкции в долгосрочной перспективе будет зависеть не от мастерства банкиров во Франкфурте, а от того, насколько глубоко граждане Европы разделяют общие «стабильные ценности», что является необходимым условием демократической легитимности системы. </w:t>
      </w:r>
    </w:p>
    <w:p w:rsidR="00B4512A" w:rsidRDefault="00B4512A" w:rsidP="00B4512A">
      <w:r>
        <w:t>В заключение параграфа следует отметить, формирование и функционирование современной Европейской валютной системы определяется сложным взаимодействием внутренних и внешних факторов, требующих гибкой институциональной архитектуры и постоянного совершенствования механизмов регулирования, что позволяет современной ЕВС функционировать в состоянии постоянного поиска баланса между наднациональным управлением и национальными интересами.Несмотря на наличие «дизайнерских дефектов», система демонстрирует высокую адаптивность, трансформируясь из простого механизма стабильности цен в сложный инструмент обеспечения экономической безопасности и суверенитета Европейского континента.Формирование и функционирование системы определяется сложным взаимодействием внутренних и внешних факторов, требующих гибкой институциональной архитектуры и постоянного совершенствования механизмов регулирования.</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ГЛАВА II. АНАЛИЗ ФУНКЦИОНИРОВАНИЯ СОВРЕМЕННОЙ ЕВРОПЕЙСКОЙ ВАЛЮТНОЙ СИСТЕМЫ В СТРАНАХ ЕС</w:t>
      </w:r>
    </w:p>
    <w:p w:rsidR="00B4512A" w:rsidRDefault="00B4512A" w:rsidP="00B4512A">
      <w:r>
        <w:t>2.1.Общее состояние валютной системы ЕС на современном этапе</w:t>
      </w:r>
    </w:p>
    <w:p w:rsidR="00B4512A" w:rsidRDefault="00B4512A" w:rsidP="00B4512A">
      <w:r>
        <w:t>На современном этапе развития, по состоянию на март 2026 года, Европейская валютная система характеризуется как завершенная, но продолжающая эволюционировать наднациональная структура в котором взаимодействуют хозяйственные связи различных государств, на основе чего формируется глубокая взаимозависимость национальных рынков. Европейская валютная система, функционирующая в рамках Экономического и валютного союза, представляет собой высшую точку этого процесса, не имеющую аналогов в мировой практике по глубине интеграции.С 1 января 2026 года, после присоединения Болгарии, зона евро расширилась до 21 стран (Приложение 3), которые полностью отказались от национальных денежных единиц в пользу евро, передав право проведения денежно-кредитной политики наднациональному органу - Европейскому центральному банку, что подтверждает сохраняющуюся привлекательность валютного союза даже в условиях высокой геополитической неопределенности. [29]</w:t>
      </w:r>
    </w:p>
    <w:p w:rsidR="00B4512A" w:rsidRDefault="00B4512A" w:rsidP="00B4512A">
      <w:r>
        <w:t>Структура институтов и монетарная стратегия. Система функционирует благодаря ясному распределению задач между Европейским центральным банком и Национальными центральными банками стран, входящих в зону евро.Вместе они образуют Евросистему, главной задачей которой является поддержание ценовой стабильности.Согласно стратегии ЕЦБ, эта цель определяется количественно как поддержка инфляции на уровне 2% в среднесрочной перспективе.[30] Кристин Лагард в своих выступлениях о роли евро в мировой финансовой системе заявляет, что «The euro can play a greater international role».[31] Устойчивые цены считаются общественной ценностью, поскольку они обеспечивают возможность потребителям и предпринимателям принимать взвешенные и обоснованные инвестиционные решения, способствуя долгосрочному экономическому развитию и укреплению социальной сплоченности.Благодаря стратегии евро прочно удерживает статус второй по значимости валюты в международной валютной системе, обеспечивая около 20% мировых валютных резервов и являясь ключевым инструментом для трансграничных платежей и торгового инвойсирования.[32]</w:t>
      </w:r>
    </w:p>
    <w:p w:rsidR="00B4512A" w:rsidRDefault="00B4512A" w:rsidP="00B4512A"/>
    <w:p w:rsidR="00B4512A" w:rsidRDefault="00B4512A" w:rsidP="00B4512A">
      <w:r>
        <w:t>Рисунок 2.1.1. Объём официальных резервов мира (2015-2024)</w:t>
      </w:r>
    </w:p>
    <w:p w:rsidR="00B4512A" w:rsidRDefault="00B4512A" w:rsidP="00B4512A">
      <w:r>
        <w:lastRenderedPageBreak/>
        <w:tab/>
        <w:t>Источник: График составлен автором на основе статистических данных Международного валютного фонда и отражает динамику официальных резервов стран, за период 2015-2024 гг.</w:t>
      </w:r>
    </w:p>
    <w:p w:rsidR="00B4512A" w:rsidRDefault="00B4512A" w:rsidP="00B4512A"/>
    <w:p w:rsidR="00B4512A" w:rsidRDefault="00B4512A" w:rsidP="00B4512A">
      <w:r>
        <w:t>Для реализации своей стратегии Европейский центральный банк применяет многоуровневый аналитический механизм, основанный на двух ключевых компонентах:</w:t>
      </w:r>
    </w:p>
    <w:p w:rsidR="00B4512A" w:rsidRDefault="00B4512A" w:rsidP="00B4512A">
      <w:r>
        <w:t>1.Макроэкономический анализ: ориентирован на оценку краткосрочных и среднесрочных рисков для ценовой стабильности.Включает анализ темпов роста реального ВВП, динамику совокупного спроса и предложения, состояние рынков труда, а также финансовых показателей государственного сектора.</w:t>
      </w:r>
    </w:p>
    <w:p w:rsidR="00B4512A" w:rsidRDefault="00B4512A" w:rsidP="00B4512A">
      <w:r>
        <w:t>2.Денежно-кредитный анализ: сфокусирован на установление долгосрочной взаимосвязи между денежной массой и уровнем инфляции, при этом в качестве диагностического инструмента выступает монетарные агрегаты, отражающие избыточность ликвидных средств в экономике.</w:t>
      </w:r>
    </w:p>
    <w:p w:rsidR="00B4512A" w:rsidRDefault="00B4512A" w:rsidP="00B4512A">
      <w:r>
        <w:t xml:space="preserve">Операционные инструменты и обеспечение ликвидности. Современная деятельность ЕВС опирается на единый комплекс стандартных механизмов управления ликвидностью.Ключевую функцию выполняют операции на открытом рынке, в числе которых особое значение имеют регуляторные операции по рефинансированию, направленные на стабилизацию деятельности банковской системы.В условиях усиления рыночной нестабильности ЕЦБ прибегает к операциям долгосрочного рефинансирования, способствуя сохранению устойчивости кредитного обеспечения в экономике. </w:t>
      </w:r>
    </w:p>
    <w:p w:rsidR="00B4512A" w:rsidRDefault="00B4512A" w:rsidP="00B4512A">
      <w:r>
        <w:t>Помимо этого, действуют нормативы минимальных резервов, обязывающие кредитные организации хранить определенную долю своих средств на счетах в Евросистеме.Это способствует удержанию стабильности процентных ставок и формированию структурного дефицита ликвидности.[33]</w:t>
      </w:r>
    </w:p>
    <w:p w:rsidR="00B4512A" w:rsidRDefault="00B4512A" w:rsidP="00B4512A">
      <w:r>
        <w:t>Анализ ключевых экономических показателей Еврозоны. Оценка основных экономических параметров Еврозоны невозможна без изучения макроэкономических показателей, публикуемых на сайте Eurostat в рамках циклических отчётов “Euro indicators”, что особенно важно для понимания текущего состояния валютной системы ЕС.</w:t>
      </w:r>
    </w:p>
    <w:p w:rsidR="00B4512A" w:rsidRDefault="00B4512A" w:rsidP="00B4512A">
      <w:r>
        <w:t>1.ВВП и экономический рост. Еврозона является второй по величине экономической силой мира после США.Экономика региона находится в постоянной зависимости от фаз кредитного цикла: в фазе роста кредит становится доступным, а процентные ставки - низкими, что стимулирует инвестиции.Однако опыт показал, что система крайне уязвима к глобальным рецессиям. После кризиса 2008-2009 годов и пандемии темпы роста ВВП в разных странах союза демонстрировали значительную дисперсию. Германия и страны «северного ядра» стабильно показывают профицит, в то время как страны периферии (Греция, Италия) сталкиваются с хронически низкими темпами роста и высоким уровнем государственного долга (Рисунок 2.1.2).[34]</w:t>
      </w:r>
    </w:p>
    <w:p w:rsidR="00B4512A" w:rsidRDefault="00B4512A" w:rsidP="00B4512A">
      <w:r>
        <w:t>Экономическая активность: Реальный ВВП зоны евро в четвертом квартале 2025 года вырос на 0,3%, демонстрируя устойчивость экономики к внешним вызовам.Рост поддерживается преимущественно сектором услуг, в то время как обрабатывающая промышленность сталкивается с трудностями из-за высокой стоимости ресурсов и глобальной торговой неопределенности. [35]</w:t>
      </w:r>
    </w:p>
    <w:p w:rsidR="00B4512A" w:rsidRDefault="00B4512A" w:rsidP="00B4512A"/>
    <w:p w:rsidR="00B4512A" w:rsidRDefault="00B4512A" w:rsidP="00B4512A">
      <w:r>
        <w:t>Рисунок 2.1.2. ВВП стран Евросоюза (2011-2024)</w:t>
      </w:r>
    </w:p>
    <w:p w:rsidR="00B4512A" w:rsidRDefault="00B4512A" w:rsidP="00B4512A">
      <w:r>
        <w:lastRenderedPageBreak/>
        <w:tab/>
        <w:t>Источник: График составлен автором на основе статистических данных Всемирного банка и отражает динамику Валового внутреннего продукта стран Европейского союза, выраженного в миллионах долларов США, за период 2011-2024 гг.[36]</w:t>
      </w:r>
    </w:p>
    <w:p w:rsidR="00B4512A" w:rsidRDefault="00B4512A" w:rsidP="00B4512A"/>
    <w:p w:rsidR="00B4512A" w:rsidRDefault="00B4512A" w:rsidP="00B4512A">
      <w:r>
        <w:t>2.Инфляция.Гармонизированный индекс потребительских цен является основным показателем успеха политики ЕЦБ.В последние годы система столкнулась с вызовом высокой инфляции, вызванной внешними шоками (энергетический кризис, разрыв цепочек поставок). Это потребовало от ЕЦБ резкого ужесточения политики и повышения ставок, что прервало длительный период «нулевых и отрицательных доходностей».</w:t>
      </w:r>
    </w:p>
    <w:p w:rsidR="00B4512A" w:rsidRDefault="00B4512A" w:rsidP="00B4512A">
      <w:r>
        <w:t>Согласно данным на начало 2026 года, годовая инфляция в зоне евро продемонстрировала тенденцию к снижению, достигнув 1,7% в январе 2026 года, что ниже симметричного целевого показателя ЕЦБ в 2% (Рисунок 2.1.3).При этом базовая инфляция (без учета энергоносителей и продуктов питания) остается более устойчивой на уровне около 2,4%. [37]</w:t>
      </w:r>
    </w:p>
    <w:p w:rsidR="00B4512A" w:rsidRDefault="00B4512A" w:rsidP="00B4512A"/>
    <w:p w:rsidR="00B4512A" w:rsidRDefault="00B4512A" w:rsidP="00B4512A">
      <w:r>
        <w:t>Рисунок 2.1.3. Инфляция стран Евросоюза (2011-2024)</w:t>
      </w:r>
    </w:p>
    <w:p w:rsidR="00B4512A" w:rsidRDefault="00B4512A" w:rsidP="00B4512A">
      <w:r>
        <w:tab/>
        <w:t>Источник: График составлен автором на основе статистических данных Всемирного банка и отражает динамику инфляции стран Европейского союза за период 2011-2024 гг.[38]</w:t>
      </w:r>
    </w:p>
    <w:p w:rsidR="00B4512A" w:rsidRDefault="00B4512A" w:rsidP="00B4512A"/>
    <w:p w:rsidR="00B4512A" w:rsidRDefault="00B4512A" w:rsidP="00B4512A">
      <w:r>
        <w:t>3.Уровень безработицы.Состояние рынка труда в Еврозоне остается неоднородным. Если в Германии уровень безработицы традиционно находится на исторически низких значениях, то в Южной Европе (Греция, Испания) сохраняется высокая безработица, особенно среди молодежи. Это указывает на сохраняющиеся структурные проблемы и неполную экономическую конвергенцию, несмотря на общую валюту.[39]</w:t>
      </w:r>
    </w:p>
    <w:p w:rsidR="00B4512A" w:rsidRDefault="00B4512A" w:rsidP="00B4512A">
      <w:r>
        <w:t>На заседании 5 февраля 2026 года Совет управляющих ЕЦБ принял решение сохранить ключевые процентные ставки неизменными (базовая ставка - 2,15%, ставка по депозитам - 2,00%), подтверждая намерение обеспечить возвращение инфляции к среднесрочной цели.[40]</w:t>
      </w:r>
    </w:p>
    <w:p w:rsidR="00B4512A" w:rsidRDefault="00B4512A" w:rsidP="00B4512A">
      <w:r>
        <w:t>4.Валютный курс евро. Курс евро к доллару США является важнейшим индикатором международной конкурентоспособности ЕС. На него влияют не только фундаментальные показатели, но и бегство от риска в периоды кризисов, когда инвесторы ищут убежища в наиболее ликвидном активе - долларе. ЕЦБ не ставит целью таргетирование курса, однако учитывает его влияние на инфляцию через стоимость импорта. [41]</w:t>
      </w:r>
    </w:p>
    <w:p w:rsidR="00B4512A" w:rsidRDefault="00B4512A" w:rsidP="00B4512A"/>
    <w:p w:rsidR="00B4512A" w:rsidRDefault="00B4512A" w:rsidP="00B4512A">
      <w:r>
        <w:t>Рисунок 2.1.4. Курс USD/Euro (2011-2024)</w:t>
      </w:r>
    </w:p>
    <w:p w:rsidR="00B4512A" w:rsidRDefault="00B4512A" w:rsidP="00B4512A">
      <w:r>
        <w:tab/>
        <w:t>Источник: График составлен автором на основе статистических данных сайта Investing.com и отражает динамику обменного курса USD/Euro за период 2011-2026 гг.[42]</w:t>
      </w:r>
    </w:p>
    <w:p w:rsidR="00B4512A" w:rsidRDefault="00B4512A" w:rsidP="00B4512A"/>
    <w:p w:rsidR="00B4512A" w:rsidRDefault="00B4512A" w:rsidP="00B4512A">
      <w:r>
        <w:t>Гита Гопинат в исследованиях международной валютной системы отмечает, что «The euro remains the second most important international currency». [43]</w:t>
      </w:r>
    </w:p>
    <w:p w:rsidR="00B4512A" w:rsidRDefault="00B4512A" w:rsidP="00B4512A">
      <w:r>
        <w:lastRenderedPageBreak/>
        <w:t>5.Внешняя торговля: экспорт и импорт. Еврозона выступает как мощнейший торговый блок.Торговый баланс региона - это «бухгалтерская книга», отражающая доходы и расходы от внешних операций.</w:t>
      </w:r>
    </w:p>
    <w:p w:rsidR="00B4512A" w:rsidRDefault="00B4512A" w:rsidP="00B4512A">
      <w:r>
        <w:t xml:space="preserve">-Экспорт: Германия является «чемпионом по профициту», экспортируя машины, электронику и продукцию химической промышленности.Успех Европейского экспорта строится на парадоксе добавленной стоимости: экономика богатых стран ЕС базируется не на ресурсах, а на интеллектуальной собственности, технологиях и маркетинге. </w:t>
      </w:r>
    </w:p>
    <w:p w:rsidR="00B4512A" w:rsidRDefault="00B4512A" w:rsidP="00B4512A"/>
    <w:p w:rsidR="00B4512A" w:rsidRDefault="00B4512A" w:rsidP="00B4512A">
      <w:r>
        <w:t>Рисунок 2.1.5. Экспорт стран Евросоюза (2011-2024)</w:t>
      </w:r>
    </w:p>
    <w:p w:rsidR="00B4512A" w:rsidRDefault="00B4512A" w:rsidP="00B4512A">
      <w:r>
        <w:t>Источник: График составлен автором на основе статистических данных Всемирного банка и отражает динамику экспорта стран Европейского союза за период 2011-2024 гг.[44]</w:t>
      </w:r>
    </w:p>
    <w:p w:rsidR="00B4512A" w:rsidRDefault="00B4512A" w:rsidP="00B4512A"/>
    <w:p w:rsidR="00B4512A" w:rsidRDefault="00B4512A" w:rsidP="00B4512A">
      <w:r>
        <w:t xml:space="preserve">-Импорт: Позволяет странам ЕС получать товары, которые отсутствуют в регионе или которые слишком дорого производить внутри. Дефицит торгового баланса в отдельных странах (например, Греции) часто становится путем к долговым кризисам, если он не перекрывается притоком инвестиций. </w:t>
      </w:r>
    </w:p>
    <w:p w:rsidR="00B4512A" w:rsidRDefault="00B4512A" w:rsidP="00B4512A"/>
    <w:p w:rsidR="00B4512A" w:rsidRDefault="00B4512A" w:rsidP="00B4512A">
      <w:r>
        <w:t>Рисунок 2.1.6. Импорт стран Евросоюза (2011-2024)</w:t>
      </w:r>
    </w:p>
    <w:p w:rsidR="00B4512A" w:rsidRDefault="00B4512A" w:rsidP="00B4512A">
      <w:r>
        <w:t>Источник: График составлен автором на основе статистических данных Всемирного банка и отражает динамику импорта стран Европейского союза за период 2011-2024 гг.[45]</w:t>
      </w:r>
    </w:p>
    <w:p w:rsidR="00B4512A" w:rsidRDefault="00B4512A" w:rsidP="00B4512A"/>
    <w:p w:rsidR="00B4512A" w:rsidRDefault="00B4512A" w:rsidP="00B4512A">
      <w:r>
        <w:t>Проблемы и противоречия текущего этапа.Современная Европейская валютная система сталкивается с фундаментальным противоречием: наличие единой монетарной политики при отсутствии единого фискального союза.Оливье Бланшар подчеркивает, что «The euro area needs a common fiscal capacity to deal with asymmetric shocks»[46]. Каждая страна сохраняет свой национальный бюджет, что ограничивает возможности союза по сглаживанию региональных шоков через автоматические трансферты.</w:t>
      </w:r>
    </w:p>
    <w:p w:rsidR="00B4512A" w:rsidRDefault="00B4512A" w:rsidP="00B4512A">
      <w:r>
        <w:t>Кризис 2009 года выявил глубокие слабости экономической модели стран, не обладающих своей валютой - например, Греции, которым сложно преодолевать спады, поскольку отсутствует возможность снижения стоимости валюты для усиления внешней конкурентоспособности, особенно в ключевых отраслях, таких как туризм. Этот опыт способствовал осознанию необходимости формирования новых инструментов стабильности, включая создание Банковского союза и ужесточение координации бюджетных норм, а также предложил идеи по закреплению лимитов государственного долга в национальной конституции - инициативы, возглавляемые Ангелой Меркель.</w:t>
      </w:r>
    </w:p>
    <w:p w:rsidR="00B4512A" w:rsidRDefault="00B4512A" w:rsidP="00B4512A">
      <w:r>
        <w:t>Последствия выхода Великобритании из состава ЕС затронули структуру финансовых потоков.Как мировой финансовый центр Европы, Лондон ранее занимал ключевое положение в операциях в евро.После присоединения в Brexit часть банковских - свыше 1,2 трлн евро - была перераспределена в Франкфурт, Париж и Амстердам, что укрепило Европейскую банковскую инфраструктуру, однако породило вызовы в сфере клиринга и управления финансовыми рисками.[47]</w:t>
      </w:r>
    </w:p>
    <w:p w:rsidR="00B4512A" w:rsidRDefault="00B4512A" w:rsidP="00B4512A">
      <w:r>
        <w:lastRenderedPageBreak/>
        <w:t>Современное состояние системы определяется не только монетарными показателями, но и глубокими структурными изменениями:</w:t>
      </w:r>
    </w:p>
    <w:p w:rsidR="00B4512A" w:rsidRDefault="00B4512A" w:rsidP="00B4512A">
      <w:r>
        <w:t>-Проект цифрового евро: Система вступила в активную фазу подготовки к внедрению цифрового евро, что рассматривается как критический шаг для укрепления монетарного суверенитета Европы и повышения эффективности платежной инфраструктуры в эпоху доминирования Big Tech. [48]</w:t>
      </w:r>
    </w:p>
    <w:p w:rsidR="00B4512A" w:rsidRDefault="00B4512A" w:rsidP="00B4512A">
      <w:r>
        <w:t>-Банковский союз и Союз рынков капитала: Завершение этих проектов остается приоритетом для снижения фрагментации финансовых рынков и разрыва «петли смерти» между банками и суверенными долгами.[49]</w:t>
      </w:r>
    </w:p>
    <w:p w:rsidR="00B4512A" w:rsidRDefault="00B4512A" w:rsidP="00B4512A">
      <w:r>
        <w:t>-Экологизация мандата: ЕЦБ официально интегрирует климатические риски в операционную основу системы, включая залоговое обеспечение и управление собственными портфелями, признавая влияние экологии на стабильность цен.</w:t>
      </w:r>
    </w:p>
    <w:p w:rsidR="00B4512A" w:rsidRDefault="00B4512A" w:rsidP="00B4512A">
      <w:r>
        <w:t>Анализ современного состояния ЕВС позволяет сделать вывод, что система находится в состоянии «устойчивой трансформации». Если в 2010-х годах главной задачей было простое выживание евро, то в 2026 году акцент сместился на создание технологического и экологического лидерства.</w:t>
      </w:r>
    </w:p>
    <w:p w:rsidR="00B4512A" w:rsidRDefault="00B4512A" w:rsidP="00B4512A">
      <w:r>
        <w:t>Уникальность текущего момента заключается в том, что ЕВС перестала быть исключительно экономическим проектом.Сегодня это инструмент стратегической автономии Европы. Введение цифрового евро и развитие Союза рынков капитала - это не просто технические задачи, а попытка Европы защитить свой финансовый суверенитет от внешних шоков (как со стороны США, так и со стороны Китая).</w:t>
      </w:r>
    </w:p>
    <w:p w:rsidR="00B4512A" w:rsidRDefault="00B4512A" w:rsidP="00B4512A">
      <w:r>
        <w:t xml:space="preserve">Однако сохраняется фундаментальный риск: система продолжает строиться на «добровольной солидарности».В условиях возможного роста политического популизма в отдельных странах-членах, несоблюдение обновленных фискальных правил может вновь спровоцировать кризис доверия.Мышление регулятора (ЕЦБ) стало более гибким - отказ от жестких количественных ориентиров в пользу «среднесрочной симметрии» в 2025 году показывает, что банкиры во Франкфурте осознают невозможность управления системой только лишь через процентные ставки в мире, где инфляция все чаще диктуется не спросом, а геополитикой и климатом. </w:t>
      </w:r>
    </w:p>
    <w:p w:rsidR="00B4512A" w:rsidRDefault="00B4512A" w:rsidP="00B4512A">
      <w:r>
        <w:t>Таким образом, на современном этапе Европейская валютная система представляет собой устойчивый, но внутренне противоречивый механизм.Система успешно обеспечивает ценовую стабильность и функционирование евро как второй мировой резервной валюты.Однако сохраняющаяся экономическая асимметрия стран-членов, структурные различия в рынках труда и отсутствие фискального единства требуют дальнейшего реформирования институционального дизайна системы в сторону создания полноценного финансового союза. Несмотря на институциональную незавершенность, евро остается якорем стабильности для  Европейской экономики, а успешное присоединение Болгарии в 2026 году подчеркивает жизнеспособность модели Экономического и валютного союза в долгосрочной перспективе.</w:t>
      </w:r>
    </w:p>
    <w:p w:rsidR="00B4512A" w:rsidRDefault="00B4512A" w:rsidP="00B4512A">
      <w:r>
        <w:t xml:space="preserve">Работа Европейской валютной системы на национальном уровне требует глубокой интеграции различных самостоятельных экономик внутри единой монетарной структуры.Несмотря на наличие общего денежного знака и централизованного управления со стороны Европейского центрального банка, в период 2025-2026 годов наблюдается заметное несоответствие в налоговых режимах, бюджетной практике, организации рынка труда, масштабах госдолга, а также возникают проблемы синхронизации реакций на макроэкономические потрясения - так называемые «асимметричные шоки», а также различная степень гибкости национальных экономик по отношению к общей </w:t>
      </w:r>
      <w:r>
        <w:lastRenderedPageBreak/>
        <w:t xml:space="preserve">денежно-кредитной стратегии. Хотя наднациональный механизм в лице ЕЦБ удерживает инфляцию около целевого уровня в 2%, динамика финансового положения и темпы экономического роста стран-членов сильно различаются.[50] С 1 января 2026 года, когда Болгария присоединится к зоне евро, её численность вырастет до 21 государства, что усложнит экономическую картину союза.Особенно ярко противоречие между унифицированной внешней политикой и разнообразием внутренних условий проявляется при сравнении стран «ядра» и «периферии»  Еврозоны. </w:t>
      </w:r>
    </w:p>
    <w:p w:rsidR="00B4512A" w:rsidRDefault="00B4512A" w:rsidP="00B4512A">
      <w:r>
        <w:t>Германия: экономический ориентир и преемник традиций устойчивости.</w:t>
      </w:r>
    </w:p>
    <w:p w:rsidR="00B4512A" w:rsidRDefault="00B4512A" w:rsidP="00B4512A">
      <w:r>
        <w:t>Германия занимает ключевую позицию в формировании структуры Европейского Союза.На протяжении многих лет немецкая валюта выступала не просто символом, а настоящим маяком стабильности, заложив базис для  Европейской интеграции.Во времена существования Европейской валютной единицы немецкая марка входила в состав валютного корзина с наибольшим весом - 30,4%, что подтверждало её доминирующее влияние. После перехода к  евро этот лидерский статус сохранился за страной.</w:t>
      </w:r>
    </w:p>
    <w:p w:rsidR="00B4512A" w:rsidRDefault="00B4512A" w:rsidP="00B4512A">
      <w:r>
        <w:t>Институциональная специфика: немецкий опыт реализации в рамках Европейского центрального банка строится на непреклонной приверженности идее «надежной валюты», унаследованной от Бундесбанка.Особенностью страны является заранее установленный законодательством «фискальный тормоз» - механизм, ограничивающий возможность правительства расширять дефицит бюджета.Подобная система способствует общей финансовой надежности, где монетарная стабильность ЕЦБ дополняется жёсткой бюджетной дисциплиной одной из главных экономик Европейского союза.</w:t>
      </w:r>
    </w:p>
    <w:p w:rsidR="00B4512A" w:rsidRDefault="00B4512A" w:rsidP="00B4512A">
      <w:r>
        <w:t xml:space="preserve">Таблица 2.1.1. </w:t>
      </w:r>
    </w:p>
    <w:p w:rsidR="00B4512A" w:rsidRDefault="00B4512A" w:rsidP="00B4512A">
      <w:r>
        <w:t>ВВП Германии (2015-2025)</w:t>
      </w:r>
    </w:p>
    <w:p w:rsidR="00B4512A" w:rsidRDefault="00B4512A" w:rsidP="00B4512A">
      <w:r>
        <w:t>Год</w:t>
      </w:r>
      <w:r>
        <w:tab/>
        <w:t>ВВП Германии (в млн. $)</w:t>
      </w:r>
    </w:p>
    <w:p w:rsidR="00B4512A" w:rsidRDefault="00B4512A" w:rsidP="00B4512A">
      <w:r>
        <w:t>2015</w:t>
      </w:r>
      <w:r>
        <w:tab/>
        <w:t>3350 000</w:t>
      </w:r>
    </w:p>
    <w:p w:rsidR="00B4512A" w:rsidRDefault="00B4512A" w:rsidP="00B4512A">
      <w:r>
        <w:t>2020</w:t>
      </w:r>
      <w:r>
        <w:tab/>
        <w:t>3805372</w:t>
      </w:r>
    </w:p>
    <w:p w:rsidR="00B4512A" w:rsidRDefault="00B4512A" w:rsidP="00B4512A">
      <w:r>
        <w:t>2025</w:t>
      </w:r>
      <w:r>
        <w:tab/>
        <w:t>4250 835</w:t>
      </w:r>
    </w:p>
    <w:p w:rsidR="00B4512A" w:rsidRDefault="00B4512A" w:rsidP="00B4512A"/>
    <w:p w:rsidR="00B4512A" w:rsidRDefault="00B4512A" w:rsidP="00B4512A">
      <w:r>
        <w:t>Источник: составлено автором на основе: European Central Bank[51]</w:t>
      </w:r>
    </w:p>
    <w:p w:rsidR="00B4512A" w:rsidRDefault="00B4512A" w:rsidP="00B4512A"/>
    <w:p w:rsidR="00B4512A" w:rsidRDefault="00B4512A" w:rsidP="00B4512A">
      <w:r>
        <w:t>Таблица 2.1.2.</w:t>
      </w:r>
    </w:p>
    <w:p w:rsidR="00B4512A" w:rsidRDefault="00B4512A" w:rsidP="00B4512A">
      <w:r>
        <w:t>Государственный долг Германии (2015-2025)</w:t>
      </w:r>
    </w:p>
    <w:p w:rsidR="00B4512A" w:rsidRDefault="00B4512A" w:rsidP="00B4512A">
      <w:r>
        <w:t>Год</w:t>
      </w:r>
      <w:r>
        <w:tab/>
        <w:t>Госдолг Германии (% ВВП)</w:t>
      </w:r>
    </w:p>
    <w:p w:rsidR="00B4512A" w:rsidRDefault="00B4512A" w:rsidP="00B4512A">
      <w:r>
        <w:t>2015</w:t>
      </w:r>
      <w:r>
        <w:tab/>
        <w:t>70,1%</w:t>
      </w:r>
    </w:p>
    <w:p w:rsidR="00B4512A" w:rsidRDefault="00B4512A" w:rsidP="00B4512A">
      <w:r>
        <w:t>2020</w:t>
      </w:r>
      <w:r>
        <w:tab/>
        <w:t>67,3%</w:t>
      </w:r>
    </w:p>
    <w:p w:rsidR="00B4512A" w:rsidRDefault="00B4512A" w:rsidP="00B4512A">
      <w:r>
        <w:t>2025</w:t>
      </w:r>
      <w:r>
        <w:tab/>
        <w:t>62,4%</w:t>
      </w:r>
    </w:p>
    <w:p w:rsidR="00B4512A" w:rsidRDefault="00B4512A" w:rsidP="00B4512A"/>
    <w:p w:rsidR="00B4512A" w:rsidRDefault="00B4512A" w:rsidP="00B4512A">
      <w:r>
        <w:lastRenderedPageBreak/>
        <w:t>Источник: составлено автором на основе: European Central Bank[52]</w:t>
      </w:r>
    </w:p>
    <w:p w:rsidR="00B4512A" w:rsidRDefault="00B4512A" w:rsidP="00B4512A"/>
    <w:p w:rsidR="00B4512A" w:rsidRDefault="00B4512A" w:rsidP="00B4512A">
      <w:r>
        <w:t>Германия занимает лидирующие позиции по размерам профицита торгового баланса в рамках Европейской системы. Характерные черты её развития в составе ЕС определяются рядом ключевых факторов:</w:t>
      </w:r>
    </w:p>
    <w:p w:rsidR="00B4512A" w:rsidRDefault="00B4512A" w:rsidP="00B4512A">
      <w:r>
        <w:t xml:space="preserve">-Явление добавленной стоимости: Экономика страны не испытывает потребности во внешних сырьевых источниках.Её доминирование обусловлено выпуском продукции высокого уровня сложности (автомобильная и машиностроительная отрасли, электроника, химия), уровень качества которой остаётся недоступным даже для ведущих имитаторов.При наличии общей валюты возможность использования девальвации для усиления экспорта исключена, что вынуждает страну сосредоточиться на развитии передовых технологий и обеспечении минимальных издержек. </w:t>
      </w:r>
    </w:p>
    <w:p w:rsidR="00B4512A" w:rsidRDefault="00B4512A" w:rsidP="00B4512A">
      <w:r>
        <w:t>-Умеренная инфляция и ориентация на экспорт: Благодаря высокому уровню производительности труда Германия поддерживает показатели инфляции ниже среднеевропейских.Такое положение способствует сохранению ценовой привлекательности немецких товаров на международных рынках при неизменном курсе евро.</w:t>
      </w:r>
    </w:p>
    <w:p w:rsidR="00B4512A" w:rsidRDefault="00B4512A" w:rsidP="00B4512A">
      <w:r>
        <w:t xml:space="preserve">-Финансовый центр: После выхода Великобритании из ЕС Франкфурт-на-Майне оказался основным получателем трансфертов банковской деятельности из Лондона.Ужесточение со стороны Европейского центрального банка требований к наличию фактической инфраструктуры по управлению рисками в рамках Еврозоны привело к перемещению сверх 1,2 триллиона евро в город Гессен. </w:t>
      </w:r>
    </w:p>
    <w:p w:rsidR="00B4512A" w:rsidRDefault="00B4512A" w:rsidP="00B4512A">
      <w:r>
        <w:t>Особенности функционирования: Основным нововведением стало перемещение в сторону новой фискальной модели.В марте 2025 года немецкий парламент утвердил крупномасштабную реформу - учреждение целевого фонда в размере 500 млрд евро (примерно 11,5% ВВП), предназначенный для финансирования инфраструктурных проектов и мер по борьбе с климатическими изменениями, не ограниченных конституционным ограничением на государственные займы.Такое решение дало возможность Германии отказаться от строгой экономии и перейти к активному стимулированию внутреннего потребления, особенно важно это в контексте ослабленных экспортных позиций, в том числе на рынке Китая.[53]</w:t>
      </w:r>
    </w:p>
    <w:p w:rsidR="00B4512A" w:rsidRDefault="00B4512A" w:rsidP="00B4512A">
      <w:r>
        <w:t>Вызовы: Немецкая экономика остаётся наиболее уязвимой перед возможными торгово-тарифными действиями со стороны США; прогнозируется, что их реализация может привести к снижению объёмов ВВП страны на 0,7% к 2026 году.</w:t>
      </w:r>
    </w:p>
    <w:p w:rsidR="00B4512A" w:rsidRDefault="00B4512A" w:rsidP="00B4512A">
      <w:r>
        <w:t>Франция: Политический импульс и социально ориентированная система.</w:t>
      </w:r>
    </w:p>
    <w:p w:rsidR="00B4512A" w:rsidRDefault="00B4512A" w:rsidP="00B4512A">
      <w:r>
        <w:t>Франция демонстрирует альтернативный подход к развитию в рамках Европейского валютного союза.В отличие от Германии, где акцент сделан на фискальной строгости, во Франции сложилась традиция усиленного участия государства в экономике и расширения политической интеграции.</w:t>
      </w:r>
    </w:p>
    <w:p w:rsidR="00B4512A" w:rsidRDefault="00B4512A" w:rsidP="00B4512A">
      <w:r>
        <w:t>Бюджетные расходы Франции имеют выраженную социальную окраску - значительная часть средств уходит на поддержку граждан и реализацию социальных программ.Примерно 12% общих расходов госбюджета приходится на обеспечение ключевых государственных функций - в том числе социальной защиты и обеспечения стабильности.Особенностью французской модели в условиях ЕВС является:</w:t>
      </w:r>
    </w:p>
    <w:p w:rsidR="00B4512A" w:rsidRDefault="00B4512A" w:rsidP="00B4512A">
      <w:r>
        <w:lastRenderedPageBreak/>
        <w:t>-Централизованный механизм управления финансами: В отличие от федеративной структуры Германии, Франция характеризуется жёсткой централизацией бюджетных процедур. За исполнением бюджета наблюдает Счётная палата, которая систематически информирует правительство об отклонении от мaaстрихтских показателей, требуя повышения дисциплины и соответствия установленным нормам.</w:t>
      </w:r>
    </w:p>
    <w:p w:rsidR="00B4512A" w:rsidRDefault="00B4512A" w:rsidP="00B4512A">
      <w:r>
        <w:t xml:space="preserve">-Курс на сокращение дефицита: После долгового кризиса 2010 года Франция приняла ряд программ по стабилизации госдолга.Например, в 2011 году дефицит бюджета был снижен до 5,2% ВВП (против 7,1% в 2010 г.), а долгосрочной целью ставилось достижение планки в 3% ВВП. </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 xml:space="preserve">Таблица 2.1.3. </w:t>
      </w:r>
    </w:p>
    <w:p w:rsidR="00B4512A" w:rsidRDefault="00B4512A" w:rsidP="00B4512A">
      <w:r>
        <w:t>Государственный долг Франции (2015-2025)</w:t>
      </w:r>
    </w:p>
    <w:p w:rsidR="00B4512A" w:rsidRDefault="00B4512A" w:rsidP="00B4512A">
      <w:r>
        <w:t>Год</w:t>
      </w:r>
      <w:r>
        <w:tab/>
        <w:t>Госдолг Франции (% ВВП)</w:t>
      </w:r>
    </w:p>
    <w:p w:rsidR="00B4512A" w:rsidRDefault="00B4512A" w:rsidP="00B4512A">
      <w:r>
        <w:t>2015</w:t>
      </w:r>
      <w:r>
        <w:tab/>
        <w:t>97,1%</w:t>
      </w:r>
    </w:p>
    <w:p w:rsidR="00B4512A" w:rsidRDefault="00B4512A" w:rsidP="00B4512A">
      <w:r>
        <w:t>2020</w:t>
      </w:r>
      <w:r>
        <w:tab/>
        <w:t>114,9%</w:t>
      </w:r>
    </w:p>
    <w:p w:rsidR="00B4512A" w:rsidRDefault="00B4512A" w:rsidP="00B4512A">
      <w:r>
        <w:t>2025</w:t>
      </w:r>
      <w:r>
        <w:tab/>
        <w:t>115,6%</w:t>
      </w:r>
    </w:p>
    <w:p w:rsidR="00B4512A" w:rsidRDefault="00B4512A" w:rsidP="00B4512A"/>
    <w:p w:rsidR="00B4512A" w:rsidRDefault="00B4512A" w:rsidP="00B4512A">
      <w:r>
        <w:t>Источник: составлено автором на основе: European Central Bank[54]</w:t>
      </w:r>
    </w:p>
    <w:p w:rsidR="00B4512A" w:rsidRDefault="00B4512A" w:rsidP="00B4512A"/>
    <w:p w:rsidR="00B4512A" w:rsidRDefault="00B4512A" w:rsidP="00B4512A">
      <w:r>
        <w:t>-Приоритет внешних связей: Франция находится на второй позиции в мировом рейтинге по объему официальной помощи странам с развитием, что нашло отражение в распределении государственных расходов и оказывает влияние на движение капитала внутри Еврозоны.</w:t>
      </w:r>
    </w:p>
    <w:p w:rsidR="00B4512A" w:rsidRDefault="00B4512A" w:rsidP="00B4512A">
      <w:r>
        <w:t xml:space="preserve">-Макроэкономические тренды: Темпы прироста ВВП во Франции в 2025 году снизились до 0,7-0,9%, однако в 2026 году наблюдается умеренный рост - до 0,9-1,3%, обусловленный снижением неопределённости после утверждения бюджета. </w:t>
      </w:r>
    </w:p>
    <w:p w:rsidR="00B4512A" w:rsidRDefault="00B4512A" w:rsidP="00B4512A">
      <w:r>
        <w:t xml:space="preserve">Таблица 2.1.4. </w:t>
      </w:r>
    </w:p>
    <w:p w:rsidR="00B4512A" w:rsidRDefault="00B4512A" w:rsidP="00B4512A">
      <w:r>
        <w:t>ВВП Франции (2015-2025)</w:t>
      </w:r>
    </w:p>
    <w:p w:rsidR="00B4512A" w:rsidRDefault="00B4512A" w:rsidP="00B4512A">
      <w:r>
        <w:t>Год</w:t>
      </w:r>
      <w:r>
        <w:tab/>
        <w:t>ВВП Франции (в млн. $)</w:t>
      </w:r>
    </w:p>
    <w:p w:rsidR="00B4512A" w:rsidRDefault="00B4512A" w:rsidP="00B4512A">
      <w:r>
        <w:t>2015</w:t>
      </w:r>
      <w:r>
        <w:tab/>
        <w:t>2816 078</w:t>
      </w:r>
    </w:p>
    <w:p w:rsidR="00B4512A" w:rsidRDefault="00B4512A" w:rsidP="00B4512A">
      <w:r>
        <w:t>2020</w:t>
      </w:r>
      <w:r>
        <w:tab/>
        <w:t>2647 926</w:t>
      </w:r>
    </w:p>
    <w:p w:rsidR="00B4512A" w:rsidRDefault="00B4512A" w:rsidP="00B4512A">
      <w:r>
        <w:t>2025</w:t>
      </w:r>
      <w:r>
        <w:tab/>
        <w:t>3163 443</w:t>
      </w:r>
    </w:p>
    <w:p w:rsidR="00B4512A" w:rsidRDefault="00B4512A" w:rsidP="00B4512A"/>
    <w:p w:rsidR="00B4512A" w:rsidRDefault="00B4512A" w:rsidP="00B4512A">
      <w:r>
        <w:lastRenderedPageBreak/>
        <w:t>Источник: составлено автором на основе: European Central Bank[55]</w:t>
      </w:r>
    </w:p>
    <w:p w:rsidR="00B4512A" w:rsidRDefault="00B4512A" w:rsidP="00B4512A"/>
    <w:p w:rsidR="00B4512A" w:rsidRDefault="00B4512A" w:rsidP="00B4512A">
      <w:r>
        <w:t>Рыночная оценка: Несмотря на снижение инвестиционного рейтинга, французские облигации проявляют устойчивость, а разница в доходности по отношению к немецким бундам составила 55 базисных пункта в начале 2026 года при стабильном положении власти.</w:t>
      </w:r>
    </w:p>
    <w:p w:rsidR="00B4512A" w:rsidRDefault="00B4512A" w:rsidP="00B4512A">
      <w:r>
        <w:t>Французская экономика в рамках Европейского союза сталкивается с вызовом избыточной стоимости труда, что ограничивает её привлекательность по сравнению с немецкой моделью. Тем не менее, статус Парижа как второго финансового хаба континента и участие в развитии инициативы по цифровому евро обеспечивают стране прочные позиции в сфере управления валютными процессами</w:t>
      </w:r>
    </w:p>
    <w:p w:rsidR="00B4512A" w:rsidRDefault="00B4512A" w:rsidP="00B4512A">
      <w:r>
        <w:t>Греция: Уроки финансового кризиса и ловушки периферии.</w:t>
      </w:r>
    </w:p>
    <w:p w:rsidR="00B4512A" w:rsidRDefault="00B4512A" w:rsidP="00B4512A">
      <w:r>
        <w:t xml:space="preserve">Греция стала наглядным примером того, как глубинные структурные проблемы способны вызвать системный коллапс в рамках единой валютной системы.Вступление страны в Еврозону в 2001 году радикально изменило её экономическую модель, однако одновременно породило условия, которые в будущем привели к масштабному кризису. </w:t>
      </w:r>
    </w:p>
    <w:p w:rsidR="00B4512A" w:rsidRDefault="00B4512A" w:rsidP="00B4512A">
      <w:r>
        <w:t>Причина кризиса: Долгое время перед присоединением к ЕС Греция сталкивалась с высокой инфляцией и нестабильно высокими процентными ставками.После перехода на евро стоимость кредитования упала - с 18% до уровней, близких к немецким (3-4%), что вызвало стремительный рост заёмных операций.Однако этот рост был не подкреплён повышением эффективности труда и продуктивности экономики.</w:t>
      </w:r>
    </w:p>
    <w:p w:rsidR="00B4512A" w:rsidRDefault="00B4512A" w:rsidP="00B4512A">
      <w:r>
        <w:t xml:space="preserve">-Потеря внешней конкурентоспособности: К началу 2010 года внутренние цены в Греции превышали оптимальные показатели на 32%, что делало её экспортную продукцию непригодной для конкуренции с более стабильными европейскими рынками. Отсутствие собственной валюты исключало возможность девальвации - меры, которая позволила бы восстановить ценовую привлекательность товаров и услуг, кроме туристических. </w:t>
      </w:r>
    </w:p>
    <w:p w:rsidR="00B4512A" w:rsidRDefault="00B4512A" w:rsidP="00B4512A">
      <w:r>
        <w:t xml:space="preserve">-В 2010 году показатель госдолга Греции достиг 153% ВВП, тогда как аналогичный показатель в Германии составил 83%. Кризис усугублялся тем, что Афины потеряли контроль над денежной политикой, оказавшись в положении страны, использующей валюту, но не обладающей правом её эмиссии для финансирования обязательств. </w:t>
      </w:r>
    </w:p>
    <w:p w:rsidR="00B4512A" w:rsidRDefault="00B4512A" w:rsidP="00B4512A">
      <w:r>
        <w:t>Для предотвращения банкротства Греции был установлен специальный механизм - Европейский фонд стабильности.Характерными чертами этого периода стали:</w:t>
      </w:r>
    </w:p>
    <w:p w:rsidR="00B4512A" w:rsidRDefault="00B4512A" w:rsidP="00B4512A">
      <w:r>
        <w:t>1.Резкое сокращение государственных расходов: Программа AUSTERITY вызвала масштабную безработицу, ликвидацию производств и падение жизненного уровня граждан до значений, сравнимых с условиями Великой депрессии 1930-х годов.</w:t>
      </w:r>
    </w:p>
    <w:p w:rsidR="00B4512A" w:rsidRDefault="00B4512A" w:rsidP="00B4512A">
      <w:r>
        <w:t xml:space="preserve">2.Невозможность внешней девальвации: Из-за участия в Еврозоне Греция была вынуждена компенсировать потерю конкурентоспособности через внутренние меры - существенное понижение зарплат и цен. </w:t>
      </w:r>
    </w:p>
    <w:p w:rsidR="00B4512A" w:rsidRDefault="00B4512A" w:rsidP="00B4512A">
      <w:r>
        <w:t>3.Обязанность зависеть от внешних финансовых потоков: Страна оказалась под контролем международных кредиторов, при этом каждая новая партия помощи от МВФ и ЕЦБ сопровождалась жесткими требованиями по проведению социально болезненных реформ.</w:t>
      </w:r>
    </w:p>
    <w:p w:rsidR="00B4512A" w:rsidRDefault="00B4512A" w:rsidP="00B4512A">
      <w:r>
        <w:lastRenderedPageBreak/>
        <w:t>Греция в 2025-2026 годах является наиболее ярким примером трансформации из кризисного аутсайдера в одного из лидеров роста зоны евро.</w:t>
      </w:r>
    </w:p>
    <w:p w:rsidR="00B4512A" w:rsidRDefault="00B4512A" w:rsidP="00B4512A">
      <w:r>
        <w:t>Экономический прорыв: Греция сохраняет высокие темпы роста ВВП: 2,1% в 2025 году и прогнозируемые 2,2% в 2026 году.Это значительно выше среднего показателя по зоне евро (1,2%).[56]</w:t>
      </w:r>
    </w:p>
    <w:p w:rsidR="00B4512A" w:rsidRDefault="00B4512A" w:rsidP="00B4512A">
      <w:r>
        <w:t>Таблица 2.1.5.</w:t>
      </w:r>
    </w:p>
    <w:p w:rsidR="00B4512A" w:rsidRDefault="00B4512A" w:rsidP="00B4512A">
      <w:r>
        <w:t>ВВП Греции (2015-2025)</w:t>
      </w:r>
    </w:p>
    <w:p w:rsidR="00B4512A" w:rsidRDefault="00B4512A" w:rsidP="00B4512A">
      <w:r>
        <w:t>Год</w:t>
      </w:r>
      <w:r>
        <w:tab/>
        <w:t>ВВП Греции (в млн. $)</w:t>
      </w:r>
    </w:p>
    <w:p w:rsidR="00B4512A" w:rsidRDefault="00B4512A" w:rsidP="00B4512A">
      <w:r>
        <w:t>2015</w:t>
      </w:r>
      <w:r>
        <w:tab/>
        <w:t>194 567</w:t>
      </w:r>
    </w:p>
    <w:p w:rsidR="00B4512A" w:rsidRDefault="00B4512A" w:rsidP="00B4512A">
      <w:r>
        <w:t>2020</w:t>
      </w:r>
      <w:r>
        <w:tab/>
        <w:t>191 363</w:t>
      </w:r>
    </w:p>
    <w:p w:rsidR="00B4512A" w:rsidRDefault="00B4512A" w:rsidP="00B4512A">
      <w:r>
        <w:t>2025</w:t>
      </w:r>
      <w:r>
        <w:tab/>
        <w:t>257 918</w:t>
      </w:r>
    </w:p>
    <w:p w:rsidR="00B4512A" w:rsidRDefault="00B4512A" w:rsidP="00B4512A"/>
    <w:p w:rsidR="00B4512A" w:rsidRDefault="00B4512A" w:rsidP="00B4512A">
      <w:r>
        <w:t>Источник: составлено автором на основе: European Central Bank[57]</w:t>
      </w:r>
    </w:p>
    <w:p w:rsidR="00B4512A" w:rsidRDefault="00B4512A" w:rsidP="00B4512A"/>
    <w:p w:rsidR="00B4512A" w:rsidRDefault="00B4512A" w:rsidP="00B4512A">
      <w:r>
        <w:t>Институциональное признание: Важнейшим фактором стало возвращение Греции в категорию инвестиционного рейтинга.ЕЦБ принял внутреннюю систему оценки кредитоспособности Банка Греции (ECAF), что упростило использование греческих активов в качестве залога.[58]</w:t>
      </w:r>
    </w:p>
    <w:p w:rsidR="00B4512A" w:rsidRDefault="00B4512A" w:rsidP="00B4512A">
      <w:r>
        <w:t>Фискальное оздоровление: Благодаря первичным профицитам (около 4,3% в 2025 г.) и номинальному росту ВВП, греческий госдолг сократился более чем на 50 процентных пунктов от пика 2020 года и должен упасть ниже 140% к 2027 году.</w:t>
      </w:r>
    </w:p>
    <w:p w:rsidR="00B4512A" w:rsidRDefault="00B4512A" w:rsidP="00B4512A">
      <w:r>
        <w:t xml:space="preserve">Таблица 2.1.6. </w:t>
      </w:r>
    </w:p>
    <w:p w:rsidR="00B4512A" w:rsidRDefault="00B4512A" w:rsidP="00B4512A">
      <w:r>
        <w:t>Государственный долг Греции (2015-2025)</w:t>
      </w:r>
    </w:p>
    <w:p w:rsidR="00B4512A" w:rsidRDefault="00B4512A" w:rsidP="00B4512A">
      <w:r>
        <w:t>Год</w:t>
      </w:r>
      <w:r>
        <w:tab/>
        <w:t>Госдолг Греции (% ВВП)</w:t>
      </w:r>
    </w:p>
    <w:p w:rsidR="00B4512A" w:rsidRDefault="00B4512A" w:rsidP="00B4512A">
      <w:r>
        <w:t>2015</w:t>
      </w:r>
      <w:r>
        <w:tab/>
        <w:t>179,6%</w:t>
      </w:r>
    </w:p>
    <w:p w:rsidR="00B4512A" w:rsidRDefault="00B4512A" w:rsidP="00B4512A">
      <w:r>
        <w:t>2020</w:t>
      </w:r>
      <w:r>
        <w:tab/>
        <w:t>209,4%</w:t>
      </w:r>
    </w:p>
    <w:p w:rsidR="00B4512A" w:rsidRDefault="00B4512A" w:rsidP="00B4512A">
      <w:r>
        <w:t>2025</w:t>
      </w:r>
      <w:r>
        <w:tab/>
        <w:t>146,1%</w:t>
      </w:r>
    </w:p>
    <w:p w:rsidR="00B4512A" w:rsidRDefault="00B4512A" w:rsidP="00B4512A"/>
    <w:p w:rsidR="00B4512A" w:rsidRDefault="00B4512A" w:rsidP="00B4512A">
      <w:r>
        <w:t>Источник: составлено автором на основе: European Central Bank[59]</w:t>
      </w:r>
    </w:p>
    <w:p w:rsidR="00B4512A" w:rsidRDefault="00B4512A" w:rsidP="00B4512A"/>
    <w:p w:rsidR="00B4512A" w:rsidRDefault="00B4512A" w:rsidP="00B4512A">
      <w:r>
        <w:t>Современная Европейская валютная система вынуждает все государства, вне зависимости от уровня развития, сталкиваться с одинаковыми вызовами:</w:t>
      </w:r>
    </w:p>
    <w:p w:rsidR="00B4512A" w:rsidRDefault="00B4512A" w:rsidP="00B4512A">
      <w:r>
        <w:t xml:space="preserve">-Уход от риска: В условиях глобальных потрясений инвесторы направляют средства из облигаций стран с повышенной волатильностью (например, Греция, Португалия) в безопасные активы - прежде всего, в немецкие государственные ценные бумаги, что провоцирует снижение процентных ставок до </w:t>
      </w:r>
      <w:r>
        <w:lastRenderedPageBreak/>
        <w:t>отрицательного значения в ФРГ и одновременно удорожание долговых обязательств на периферии.[60]</w:t>
      </w:r>
    </w:p>
    <w:p w:rsidR="00B4512A" w:rsidRDefault="00B4512A" w:rsidP="00B4512A">
      <w:r>
        <w:t>-Несбалансированная передача монетарных решений: Европейский центральный банк сталкивается со сложностями при реализации мер денежно-кредитной политики.В Германии банки расширяют кредитование благодаря избыточному наличию ликвидности, тогда как в Греции поддерживать кредитную активность затруднительно из-за масштабных проблем с долгом и высокой степенью риска по активам банков.</w:t>
      </w:r>
    </w:p>
    <w:p w:rsidR="00B4512A" w:rsidRDefault="00B4512A" w:rsidP="00B4512A">
      <w:r>
        <w:t>Функционирование государств Европейского Союза невозможно понять вне контекста доминирующей роли Американского доллара. В периоды усиленной денежной эмиссии со стороны США - например, в 2020 году, когда ежемесячно выпускалось около 2 триллионов долларов - евро ослабевает, что положительно сказывается на импортёрах сырья, таких как Франция, однако негативно влияет на экспортный потенциал Германии.</w:t>
      </w:r>
    </w:p>
    <w:p w:rsidR="00B4512A" w:rsidRDefault="00B4512A" w:rsidP="00B4512A">
      <w:r>
        <w:t xml:space="preserve">Помимо этого, процесс выхода Великобритании из ЕС способствовал повышению степени интеграции финансовых систем стран ЕС.Уход крупных финансовых активов из Лондона побудил национальные банки Германии и Франции усилить контроль над банковскими холдингами, что породило более прочную систему финансовой защиты внутри единой Европейской валютной зоны. </w:t>
      </w:r>
    </w:p>
    <w:p w:rsidR="00B4512A" w:rsidRDefault="00B4512A" w:rsidP="00B4512A">
      <w:r>
        <w:t>В результате, текущее состояние валютной системы в разных странах ЕС отличается выраженной диспропорциональностью.Германия выполняет роль стабилизатора экономики и экспорта капитала, пользуясь евро как инструментом международной конкурентоспособности, не сталкиваясь с риском обесценения валюты.Франция сталкивается с необходимостью согласования социальных расходов и мер бюджетной строгой дисциплины, выступая в качестве ключевого политического арбитра. Греция же остаётся образцом сложной трансформации, где отсутствие собственных механизмов монетарной политики привело к длительной стагнации и потребовало масштабных реформ структурного характера.</w:t>
      </w:r>
    </w:p>
    <w:p w:rsidR="00B4512A" w:rsidRDefault="00B4512A" w:rsidP="00B4512A">
      <w:r>
        <w:t>Анализ особенностей страновых моделей показывает, что сегодняшняя Европейская валютная система фактически функционирует по принципам «фискального федерализма в режиме экстренных мер».</w:t>
      </w:r>
    </w:p>
    <w:p w:rsidR="00B4512A" w:rsidRDefault="00B4512A" w:rsidP="00B4512A">
      <w:r>
        <w:t>Переворот центра и периферии: уже к 2026 году сложилась противоречивая картина - государства, ранее ставшие очагами долгового кризиса (Греция, Португалия, Испания), продемонстрировали лучшие макроэкономические показатели, чем такие лидеры, как Германия и Франция. Такой эффект, напоминающий «греческое чудо», стал возможен благодаря строгому соблюдению бюджетной дисциплины в прошлом и значительному притоку грантов из фонда NGEU.</w:t>
      </w:r>
    </w:p>
    <w:p w:rsidR="00B4512A" w:rsidRDefault="00B4512A" w:rsidP="00B4512A">
      <w:r>
        <w:t>Прецедентный шаг Германии: согласие Берлина на внеочередные расходы в объёме 500 миллиардов евро - беспрецедентный отказ от ордолиберальной идеологии.Этот поворот подтверждает, что даже главная экономическая держава ЕС пришла к выводу, что её выживание внутри единого пространства невозможно без мощного государственного сектора, что закладывает основу для создания единого казначейства Еврозоны.</w:t>
      </w:r>
    </w:p>
    <w:p w:rsidR="00B4512A" w:rsidRDefault="00B4512A" w:rsidP="00B4512A">
      <w:r>
        <w:t>Угроза раскола: Франция продолжает оставаться ключевым источником системного риска.При уровне госдолга в 120% и застывшей политической ситуации она представляет наибольшую опасность для запуска механизма защиты трансмиссии (TPI).Регуляторы всё чаще ориентируются не только на инфляционные тренды, но и на необходимость сдерживания «иррациональной рыночной волатильности» в отношении крупнейших участников единой валютной зоны.</w:t>
      </w:r>
    </w:p>
    <w:p w:rsidR="00B4512A" w:rsidRDefault="00B4512A" w:rsidP="00B4512A">
      <w:r>
        <w:lastRenderedPageBreak/>
        <w:t>Фактор «свежей крови»: Переход Болгарии в евро в 2026 году при минимальном уровне государственного долга (24%) усиливает фискальную устойчивость Еврозоны. Тем не менее, опыт Болгарии демонстрирует - успех в рамках Европейского валютного союза зависит не столько от макроэкономических показателей, сколько от уровня институциональной зрелости, включая эффективность борьбы с отмыванием средств.[61]</w:t>
      </w:r>
    </w:p>
    <w:p w:rsidR="00B4512A" w:rsidRDefault="00B4512A" w:rsidP="00B4512A">
      <w:r>
        <w:t>Характерные черты работы ЕВС в 2026 году подтверждают: единую валюту можно воспринимать как «драйвер расхождения» для стран, игнорирующих реформы, и как «ускоритель сближения» для тех, кто внедряет трансформации (например, Греция). Устойчивость евро сегодня основана на хрупкой взаимозависимости: немецких финансов, французской политической позиции и достижения реформируемого периферийного сектора.Долгосрочная устойчивость союза во многом определяется тем, станет ли временный механизм поддержки (NGEU) долгоживущей частью институциональной структуры ЕС.</w:t>
      </w:r>
    </w:p>
    <w:p w:rsidR="00B4512A" w:rsidRDefault="00B4512A" w:rsidP="00B4512A">
      <w:r>
        <w:t>Выживаемость ЕВС напрямую связана с возможностью стран углублять процесс сближения.Отсутствие полноценного Фискального союза и незавершённость построения Банковского союза делают Еврозону уязвимой перед асимметричными потрясениями, когда последствия кризисов на периферии покрываются преимуществами центра.Сегодня устойчивость евро как глобальной резервной валюты гарантируется не только престижем ЕЦБ, но и готовностью ведущих экономик (Германии и Франции) поддерживать слабые звенья через механизм коллективной ответственности.</w:t>
      </w:r>
    </w:p>
    <w:p w:rsidR="00B4512A" w:rsidRDefault="00B4512A" w:rsidP="00B4512A">
      <w:r>
        <w:t>2.2. Страновые особенности и внешние вызовы функционирования валютной системы ЕС в условиях глобальной турбулентности</w:t>
      </w:r>
    </w:p>
    <w:p w:rsidR="00B4512A" w:rsidRDefault="00B4512A" w:rsidP="00B4512A">
      <w:r>
        <w:t xml:space="preserve">Функционирование современной Европейской валютной системы в последние десятилетия характеризуется чередой беспрецедентных вызовов, которые не только подвергли испытанию на прочность институциональную архитектуру Еврозоны, но и вынудили наднациональные органы управления радикально пересмотреть подходы к монетарному регулированию.Являясь наиболее интегрированным региональным валютным блоком в мире, Еврозона оказалась крайне уязвимой к внешним шокам, которые в условиях отсутствия единого фискального центра быстро трансформировались в глубокие внутренние кризисы.Ключевыми факторами, определившими текущую повестку развития системы, стали глобальный финансовый и долговой кризисы 2008-2012 годов, выход Великобритании из состава ЕС, последствия пандемии COVID-19 и современные геополитические санкционные режимы. </w:t>
      </w:r>
    </w:p>
    <w:p w:rsidR="00B4512A" w:rsidRDefault="00B4512A" w:rsidP="00B4512A">
      <w:r>
        <w:t xml:space="preserve">Современная Европейская валютная система находится в новой исторической фазе, которую руководство ЕЦБ называет «новой парадигмой».Если раньше анализ денежно-кредитной политики мог ограничиваться традиционными экономическими и финансовыми переменными, то сегодня уступает место комплексному восприятию «геоэкономических» реалий.Внешние факторы перестали быть временными шоками и превратились в структурные вызовы, определяющие долгосрочную жизнеспособность Еврозоны. </w:t>
      </w:r>
    </w:p>
    <w:p w:rsidR="00B4512A" w:rsidRDefault="00B4512A" w:rsidP="00B4512A">
      <w:r>
        <w:t xml:space="preserve">Финансовый обвал 2008 года, спровоцированный крахом американского ипотечного рынка, стал катализатором беспрецедентных испытаний для единой Европейской валюты.Замораживание обращения денежных средств на глобальных финансовых площадках обнажило глубинные системные изъяны модели Экономического и Валютного Союза.Несмотря на то, что его фундамент строился на жёстких Маастрихтских принципах, он не предусматривал скоординированных мер реагирования на форс-мажорные обстоятельства. </w:t>
      </w:r>
    </w:p>
    <w:p w:rsidR="00B4512A" w:rsidRDefault="00B4512A" w:rsidP="00B4512A">
      <w:r>
        <w:t>Таблица 2.2.1.</w:t>
      </w:r>
    </w:p>
    <w:p w:rsidR="00B4512A" w:rsidRDefault="00B4512A" w:rsidP="00B4512A">
      <w:r>
        <w:lastRenderedPageBreak/>
        <w:t>Нормативы Маастрихтского договора и классификация стран ЕС</w:t>
      </w:r>
    </w:p>
    <w:p w:rsidR="00B4512A" w:rsidRDefault="00B4512A" w:rsidP="00B4512A">
      <w:r>
        <w:t>Категория</w:t>
      </w:r>
      <w:r>
        <w:tab/>
        <w:t xml:space="preserve">Параметр </w:t>
      </w:r>
      <w:r>
        <w:tab/>
        <w:t>Нормативное значение</w:t>
      </w:r>
      <w:r>
        <w:tab/>
        <w:t>Примеры стран с показателями</w:t>
      </w:r>
    </w:p>
    <w:p w:rsidR="00B4512A" w:rsidRDefault="00B4512A" w:rsidP="00B4512A">
      <w:r>
        <w:t>Маастрихтские критерии (норма 2025 г.)</w:t>
      </w:r>
      <w:r>
        <w:tab/>
        <w:t>Ценовая стабильность (инфляция)</w:t>
      </w:r>
      <w:r>
        <w:tab/>
        <w:t>≤ 2,8%</w:t>
      </w:r>
      <w:r>
        <w:tab/>
        <w:t xml:space="preserve">Ирландия (1,2%), Финляндия (1,3%), </w:t>
      </w:r>
      <w:r>
        <w:tab/>
        <w:t xml:space="preserve">Италия (1,4%). </w:t>
      </w:r>
    </w:p>
    <w:p w:rsidR="00B4512A" w:rsidRDefault="00B4512A" w:rsidP="00B4512A">
      <w:r>
        <w:tab/>
        <w:t>Дефицит государственного бюджета</w:t>
      </w:r>
      <w:r>
        <w:tab/>
        <w:t>≤ 3% ВВП</w:t>
      </w:r>
      <w:r>
        <w:tab/>
        <w:t>Болгария (2,8%), Нидерланды (1,4%), Германия (2,2%).</w:t>
      </w:r>
    </w:p>
    <w:p w:rsidR="00B4512A" w:rsidRDefault="00B4512A" w:rsidP="00B4512A">
      <w:r>
        <w:tab/>
        <w:t>Государственный долг</w:t>
      </w:r>
      <w:r>
        <w:tab/>
        <w:t>≤ 60,0% ВВП</w:t>
      </w:r>
      <w:r>
        <w:tab/>
        <w:t xml:space="preserve">Болгария (25,1%), </w:t>
      </w:r>
      <w:r>
        <w:tab/>
        <w:t xml:space="preserve">Эстония (23,2%), </w:t>
      </w:r>
      <w:r>
        <w:tab/>
        <w:t xml:space="preserve">Дания (25,1%). </w:t>
      </w:r>
    </w:p>
    <w:p w:rsidR="00B4512A" w:rsidRDefault="00B4512A" w:rsidP="00B4512A">
      <w:r>
        <w:tab/>
        <w:t>Стабильность валютного курса</w:t>
      </w:r>
      <w:r>
        <w:tab/>
        <w:t xml:space="preserve">≥ 2 лет в </w:t>
      </w:r>
    </w:p>
    <w:p w:rsidR="00B4512A" w:rsidRDefault="00B4512A" w:rsidP="00B4512A">
      <w:r>
        <w:t>ERM II</w:t>
      </w:r>
      <w:r>
        <w:tab/>
        <w:t xml:space="preserve">Болгария (курс 1,95583 лева/евро), </w:t>
      </w:r>
      <w:r>
        <w:tab/>
        <w:t>Дания (коридор ±2,25%).</w:t>
      </w:r>
    </w:p>
    <w:p w:rsidR="00B4512A" w:rsidRDefault="00B4512A" w:rsidP="00B4512A">
      <w:r>
        <w:tab/>
        <w:t>Долгосрочные процентные ставки</w:t>
      </w:r>
      <w:r>
        <w:tab/>
        <w:t>≤ 5,1%</w:t>
      </w:r>
      <w:r>
        <w:tab/>
        <w:t xml:space="preserve">Болгария (3,9%), </w:t>
      </w:r>
      <w:r>
        <w:tab/>
        <w:t xml:space="preserve">Чехия (3,5%), </w:t>
      </w:r>
    </w:p>
    <w:p w:rsidR="00B4512A" w:rsidRDefault="00B4512A" w:rsidP="00B4512A">
      <w:r>
        <w:t>Швеция (1,75%).</w:t>
      </w:r>
    </w:p>
    <w:p w:rsidR="00B4512A" w:rsidRDefault="00B4512A" w:rsidP="00B4512A"/>
    <w:p w:rsidR="00B4512A" w:rsidRDefault="00B4512A" w:rsidP="00B4512A"/>
    <w:p w:rsidR="00B4512A" w:rsidRDefault="00B4512A" w:rsidP="00B4512A"/>
    <w:p w:rsidR="00B4512A" w:rsidRDefault="00B4512A" w:rsidP="00B4512A">
      <w:r>
        <w:t>Категория</w:t>
      </w:r>
      <w:r>
        <w:tab/>
        <w:t xml:space="preserve">Параметр </w:t>
      </w:r>
      <w:r>
        <w:tab/>
        <w:t>Нормативное значение</w:t>
      </w:r>
      <w:r>
        <w:tab/>
        <w:t>Примеры стран с показателями</w:t>
      </w:r>
    </w:p>
    <w:p w:rsidR="00B4512A" w:rsidRDefault="00B4512A" w:rsidP="00B4512A">
      <w:r>
        <w:t>Экономическая классификация (2026 г., прогноз)</w:t>
      </w:r>
      <w:r>
        <w:tab/>
        <w:t>Ведущие (Лидеры роста)</w:t>
      </w:r>
      <w:r>
        <w:tab/>
        <w:t>от 2,5% до 4,1%</w:t>
      </w:r>
      <w:r>
        <w:tab/>
        <w:t xml:space="preserve">Польша (4,1%), </w:t>
      </w:r>
      <w:r>
        <w:tab/>
        <w:t xml:space="preserve">Испания (2,7%), </w:t>
      </w:r>
    </w:p>
    <w:p w:rsidR="00B4512A" w:rsidRDefault="00B4512A" w:rsidP="00B4512A">
      <w:r>
        <w:tab/>
        <w:t>Средние (Стабильные)</w:t>
      </w:r>
      <w:r>
        <w:tab/>
        <w:t>от 1,3% до 2,3%</w:t>
      </w:r>
      <w:r>
        <w:tab/>
        <w:t xml:space="preserve">Болгария (3,6%), </w:t>
      </w:r>
      <w:r>
        <w:tab/>
        <w:t xml:space="preserve">Хорватия (3,2%), </w:t>
      </w:r>
      <w:r>
        <w:tab/>
        <w:t xml:space="preserve">Греция (2,3%), </w:t>
      </w:r>
      <w:r>
        <w:tab/>
        <w:t>Нидерланды (1,3%).</w:t>
      </w:r>
    </w:p>
    <w:p w:rsidR="00B4512A" w:rsidRDefault="00B4512A" w:rsidP="00B4512A">
      <w:r>
        <w:tab/>
        <w:t>Отстающие (Вызовы)</w:t>
      </w:r>
      <w:r>
        <w:tab/>
        <w:t>от 0,5% до 1,2%</w:t>
      </w:r>
      <w:r>
        <w:tab/>
        <w:t xml:space="preserve">Германия (0,6%), </w:t>
      </w:r>
      <w:r>
        <w:tab/>
        <w:t xml:space="preserve">Италия (1,0%), </w:t>
      </w:r>
      <w:r>
        <w:tab/>
        <w:t>Франция (1,3%), Великобритания (0,9%).</w:t>
      </w:r>
    </w:p>
    <w:p w:rsidR="00B4512A" w:rsidRDefault="00B4512A" w:rsidP="00B4512A">
      <w:r>
        <w:t>Общие показатели системы (2026 г.)</w:t>
      </w:r>
      <w:r>
        <w:tab/>
        <w:t>Инфляция в Еврозоне (HICP)</w:t>
      </w:r>
      <w:r>
        <w:tab/>
        <w:t>1,9% (цель 2%)</w:t>
      </w:r>
      <w:r>
        <w:tab/>
        <w:t xml:space="preserve">Франция (1,2%), </w:t>
      </w:r>
      <w:r>
        <w:tab/>
        <w:t xml:space="preserve">Германия (1,8%), </w:t>
      </w:r>
      <w:r>
        <w:tab/>
        <w:t xml:space="preserve">Италия (1,5%), </w:t>
      </w:r>
      <w:r>
        <w:tab/>
        <w:t>Испания (2,2%).</w:t>
      </w:r>
    </w:p>
    <w:p w:rsidR="00B4512A" w:rsidRDefault="00B4512A" w:rsidP="00B4512A">
      <w:r>
        <w:tab/>
        <w:t>Базовая ставка ЕЦБ</w:t>
      </w:r>
      <w:r>
        <w:tab/>
        <w:t>2,15%</w:t>
      </w:r>
      <w:r>
        <w:tab/>
        <w:t>Установлена 5 февраля 2026 г. для всей зоны евро.</w:t>
      </w:r>
    </w:p>
    <w:p w:rsidR="00B4512A" w:rsidRDefault="00B4512A" w:rsidP="00B4512A">
      <w:r>
        <w:tab/>
        <w:t>Средний госдолг Еврозоны</w:t>
      </w:r>
      <w:r>
        <w:tab/>
        <w:t>88,5% ВВП</w:t>
      </w:r>
      <w:r>
        <w:tab/>
        <w:t xml:space="preserve">Италия (138,3%), </w:t>
      </w:r>
      <w:r>
        <w:tab/>
        <w:t xml:space="preserve">Франция (115,8%), </w:t>
      </w:r>
      <w:r>
        <w:tab/>
        <w:t>Греция (151,2%).</w:t>
      </w:r>
    </w:p>
    <w:p w:rsidR="00B4512A" w:rsidRDefault="00B4512A" w:rsidP="00B4512A"/>
    <w:p w:rsidR="00B4512A" w:rsidRDefault="00B4512A" w:rsidP="00B4512A">
      <w:r>
        <w:t>Источник: составлено автором на основе: European Central Bank[62] и Маастрихтских критерий</w:t>
      </w:r>
    </w:p>
    <w:p w:rsidR="00B4512A" w:rsidRDefault="00B4512A" w:rsidP="00B4512A"/>
    <w:p w:rsidR="00B4512A" w:rsidRDefault="00B4512A" w:rsidP="00B4512A">
      <w:r>
        <w:t xml:space="preserve">Дисбаланс и «греческий капкан». Ключевой проблемой оказалось существенное расхождение в экономическом развитии между странами «центра» (такими как Германия и Нидерланды) и «периферии» (Греция, Португалия, Ирландия, Испания).Участие в Еврозоне предоставило возможность государствам с хроническими проблемами бюджетной дисциплины занимать средства </w:t>
      </w:r>
      <w:r>
        <w:lastRenderedPageBreak/>
        <w:t xml:space="preserve">на международных рынках по ставкам, сопоставимым с немецкими.Это привело к резкому росту государственного и частного долга. Однако, когда доверие инвесторов ослабло, эти страны обнаружили себя лишены важнейшего инструмента адаптации - возможности обесценивать собственную валюту. </w:t>
      </w:r>
    </w:p>
    <w:p w:rsidR="00B4512A" w:rsidRDefault="00B4512A" w:rsidP="00B4512A">
      <w:r>
        <w:t>Пример Греции ярко продемонстрировал разрушительные последствия отсутствия валютной гибкости.К 2010 году уровень её цен стал на 32% выше, чем требовалось для поддержания конкурентоспособности относительно более стабильных европейских партнёров.Единственным выходом стала «внутренняя девальвация», включавшая жёсткие сокращения бюджетных расходов, зарплат и социальных программ, что обернулось спадом ВВП на 1% уже в 2011 году и погружением в глубокую социально-экономическую стагнацию. Согласно прогнозам Еврокомиссии, после кризиса долговое бремя продолжало расти во многих странах, включая Францию и Испанию.</w:t>
      </w:r>
    </w:p>
    <w:p w:rsidR="00B4512A" w:rsidRDefault="00B4512A" w:rsidP="00B4512A">
      <w:r>
        <w:t>Уровень государственного долга и объём международных резервов. Статистика за 2010-2011 годы показывает, что совокупный государственный долг всех стран мира превысил 41 триллион долларов, а внешний долг 50 крупнейших экономик мира достиг 65 триллионов долларов.Внутри Еврозоны соотношение государственного долга к ВВП у многих участников значительно превзошло установленный порог в 60%. Например, в 2011 году долг на душу населения в Ирландии составлял около 49,9 тысяч долларов.Хотя эта цифра и вдвое меньше, чем в Японии, она оказалась достаточной для создания серьёзного напряжения в рамках валютного союза.В этих условиях Европейский центральный банк был вынужден выйти за рамки своей первоначальной задачи по обеспечению ценовой стабильности, взяв на себя роль гаранта финансовой устойчивости региона.</w:t>
      </w:r>
    </w:p>
    <w:p w:rsidR="00B4512A" w:rsidRDefault="00B4512A" w:rsidP="00B4512A">
      <w:r>
        <w:t>Регуляторная реакция: Европейский центральный банк внедрил стратегию «отсутствия фантомных структур», обязывающую международные банки иметь настоящие управленческие подразделения и достаточный уровень ликвидности внутри Еврозоны. Эта мера призвана повысить прозрачность системы, минимизировать риски и исключить возможность передачи внешних потрясений внутрь Европейской финансовой модели.</w:t>
      </w:r>
    </w:p>
    <w:p w:rsidR="00B4512A" w:rsidRDefault="00B4512A" w:rsidP="00B4512A">
      <w:r>
        <w:t>Brexit способствовал ускоренному развитию единого рынка капиталов ЕС, снижающему зависимость европейского бизнеса от кредита и внешних финансовых центров.Долгосрочная цель - укрепить международное значение евро как альтернативы доллару США.Тем не менее на данный момент доллар по-прежнему остаётся основным средством защиты в условиях мировой неопределённости.</w:t>
      </w:r>
    </w:p>
    <w:p w:rsidR="00B4512A" w:rsidRDefault="00B4512A" w:rsidP="00B4512A">
      <w:r>
        <w:t>Влияние пандемии COVID-19 и санкционных режимов. Пандемия COVID-19 вызвала шок, принципиально отличный от кризиса 2008 года.Это был кризис реального сектора, связанный с разрывом цепочек поставок и внезапной остановкой потребления.</w:t>
      </w:r>
    </w:p>
    <w:p w:rsidR="00B4512A" w:rsidRDefault="00B4512A" w:rsidP="00B4512A">
      <w:r>
        <w:t>Во время пандемии Евросистема применила комплекс «нестандартных мер» (Enhanced Credit Support), центральным элементом которых стала программа экстренной закупки активов (PEPP).Эти меры были направлены на:</w:t>
      </w:r>
    </w:p>
    <w:p w:rsidR="00B4512A" w:rsidRDefault="00B4512A" w:rsidP="00B4512A">
      <w:r>
        <w:t>-Обеспечение банковского сектора избыточной ликвидностью для бесперебойного кредитования экономики.</w:t>
      </w:r>
    </w:p>
    <w:p w:rsidR="00B4512A" w:rsidRDefault="00B4512A" w:rsidP="00B4512A">
      <w:r>
        <w:t>-Предотвращение резкого роста стоимости обслуживания госдолга стран «периферии», что могло бы спровоцировать новый долговой кризис.</w:t>
      </w:r>
    </w:p>
    <w:p w:rsidR="00B4512A" w:rsidRDefault="00B4512A" w:rsidP="00B4512A">
      <w:r>
        <w:t xml:space="preserve">Санкции и энергетическая инфляция. Внешнеполитическая нестабильность и введение масштабных санкций привели к росту цен на энергоносители и сырьевые товары.Поскольку цены на большинство </w:t>
      </w:r>
      <w:r>
        <w:lastRenderedPageBreak/>
        <w:t>сырьевых товаров номинированы в долларах, укрепление американской валюты в периоды ожидания глобальной рецессии автоматически ведет к росту инфляционного давления в Европе. [63] Согласно методологии Eurostat, с февраля 2026 года в расчет индекса потребительских цен (HICP) вносятся изменения, чтобы более точно отражать структуру потребления в новых условиях.</w:t>
      </w:r>
    </w:p>
    <w:p w:rsidR="00B4512A" w:rsidRDefault="00B4512A" w:rsidP="00B4512A">
      <w:r>
        <w:t xml:space="preserve">Инфляция в Еврозоне на современном этапе (2025-2028 гг.) демонстрирует тенденцию к стабилизации в районе 1,7-1,9%, однако она остается чувствительной к факторам «инфляции издержек».Рост заработных плат в госсекторе и расширение бюджетных расходов на социальную защиту также создают риски избыточного спроса, что требует от ЕЦБ осторожного маневрирования процентными ставками. </w:t>
      </w:r>
    </w:p>
    <w:p w:rsidR="00B4512A" w:rsidRDefault="00B4512A" w:rsidP="00B4512A">
      <w:r>
        <w:t>Механизмы обеспечения стабильности и реформы. Для противодействия внешним угрозам в ЕС были сформированы и совершенствуются три уровня защиты:</w:t>
      </w:r>
    </w:p>
    <w:p w:rsidR="00B4512A" w:rsidRDefault="00B4512A" w:rsidP="00B4512A">
      <w:r>
        <w:t>1.Европейский механизм стабильности (ESM): Постоянный фонд спасения, который пришел на смену временным структурам.ESM предоставляет помощь странам в обмен на проведение структурных реформ, что позволяет избежать «морального риска», когда правительства могли бы безответственно наращивать долги.</w:t>
      </w:r>
    </w:p>
    <w:p w:rsidR="00B4512A" w:rsidRDefault="00B4512A" w:rsidP="00B4512A">
      <w:r>
        <w:t>2.Банковский союз и Единый механизм надзора (SSM): Передача функций надзора за крупнейшими банками на уровень ЕЦБ позволила разорвать «порочный круг» между национальными правительствами и их банковскими системами.[64]</w:t>
      </w:r>
    </w:p>
    <w:p w:rsidR="00B4512A" w:rsidRDefault="00B4512A" w:rsidP="00B4512A">
      <w:r>
        <w:t>3.Фискальная координация: Несмотря на отсутствие полноценного фискального союза, в ЕС усиливается координация бюджетных порогов.Согласно международным рекомендациям, бюджетный дефицит не должен превышать 6% ВВП (в ЕС планка жестче - 3%), а государственный долг - 60% ВВП.[65]</w:t>
      </w:r>
    </w:p>
    <w:p w:rsidR="00B4512A" w:rsidRDefault="00B4512A" w:rsidP="00B4512A">
      <w:r>
        <w:t xml:space="preserve">Цифровой евро как инструмент стабильности. Разработка цифровой валюты центрального банка (CBDC) рассматривается ЕЦБ не только как технологическая инновация, но и как стратегический ответ на экспансию иностранных цифровых активов и частных стейблкоинов. Цифровой евро должен стать «якорем» доверия в цифровой платежной экосистеме, обеспечивая европейский контроль над внутренними расчетами.Все участники ЕС готовятся к внедрению цифрового евро, что должно обеспечить единую платёжную инфраструктуру и уменьшить зависимость от зарубежных платёжных систем, включая Visa и Mastercard.[66] Для Германии этот шаг станет возможностью сохранить контроль над движением средств, а для Греции - шансом повысить налоговую дисциплину и уменьшить размеры теневой экономики за счёт полной прослеживаемости транзакций. </w:t>
      </w:r>
    </w:p>
    <w:p w:rsidR="00B4512A" w:rsidRDefault="00B4512A" w:rsidP="00B4512A">
      <w:r>
        <w:t xml:space="preserve">Таблица 2.2.2. </w:t>
      </w:r>
    </w:p>
    <w:p w:rsidR="00B4512A" w:rsidRDefault="00B4512A" w:rsidP="00B4512A">
      <w:r>
        <w:t>Visa и Mastercard общий объем операций и выручка в ЕС</w:t>
      </w:r>
    </w:p>
    <w:p w:rsidR="00B4512A" w:rsidRDefault="00B4512A" w:rsidP="00B4512A">
      <w:r>
        <w:t>Visa</w:t>
      </w:r>
    </w:p>
    <w:p w:rsidR="00B4512A" w:rsidRDefault="00B4512A" w:rsidP="00B4512A">
      <w:r>
        <w:t>Год</w:t>
      </w:r>
      <w:r>
        <w:tab/>
        <w:t>Общий объем операций</w:t>
      </w:r>
      <w:r>
        <w:tab/>
        <w:t>Обработанные транзакции</w:t>
      </w:r>
      <w:r>
        <w:tab/>
        <w:t>Выручка</w:t>
      </w:r>
    </w:p>
    <w:p w:rsidR="00B4512A" w:rsidRDefault="00B4512A" w:rsidP="00B4512A">
      <w:r>
        <w:t>2022</w:t>
      </w:r>
      <w:r>
        <w:tab/>
        <w:t>$11,6 трлн</w:t>
      </w:r>
      <w:r>
        <w:tab/>
        <w:t>$242 млрд</w:t>
      </w:r>
      <w:r>
        <w:tab/>
        <w:t>$29,3 млрд</w:t>
      </w:r>
    </w:p>
    <w:p w:rsidR="00B4512A" w:rsidRDefault="00B4512A" w:rsidP="00B4512A">
      <w:r>
        <w:t>2023</w:t>
      </w:r>
      <w:r>
        <w:tab/>
        <w:t>$12,5 трлн</w:t>
      </w:r>
      <w:r>
        <w:tab/>
        <w:t>$276 млрд</w:t>
      </w:r>
      <w:r>
        <w:tab/>
        <w:t>$32,7 млрд</w:t>
      </w:r>
    </w:p>
    <w:p w:rsidR="00B4512A" w:rsidRDefault="00B4512A" w:rsidP="00B4512A">
      <w:r>
        <w:t>2024</w:t>
      </w:r>
      <w:r>
        <w:tab/>
        <w:t>$13,2 трлн</w:t>
      </w:r>
      <w:r>
        <w:tab/>
        <w:t>$296 млрд</w:t>
      </w:r>
      <w:r>
        <w:tab/>
        <w:t>$35,9 млрд</w:t>
      </w:r>
    </w:p>
    <w:p w:rsidR="00B4512A" w:rsidRDefault="00B4512A" w:rsidP="00B4512A">
      <w:r>
        <w:t>2025</w:t>
      </w:r>
      <w:r>
        <w:tab/>
        <w:t>$14,1 трлн</w:t>
      </w:r>
      <w:r>
        <w:tab/>
        <w:t>$257,5 млрд</w:t>
      </w:r>
      <w:r>
        <w:tab/>
        <w:t>$40 млрд</w:t>
      </w:r>
    </w:p>
    <w:p w:rsidR="00B4512A" w:rsidRDefault="00B4512A" w:rsidP="00B4512A">
      <w:r>
        <w:lastRenderedPageBreak/>
        <w:t>Mastercard</w:t>
      </w:r>
    </w:p>
    <w:p w:rsidR="00B4512A" w:rsidRDefault="00B4512A" w:rsidP="00B4512A">
      <w:r>
        <w:t>Год</w:t>
      </w:r>
      <w:r>
        <w:tab/>
        <w:t>Общий объем операций</w:t>
      </w:r>
      <w:r>
        <w:tab/>
        <w:t>Рост транзакций</w:t>
      </w:r>
      <w:r>
        <w:tab/>
        <w:t>Выручка</w:t>
      </w:r>
    </w:p>
    <w:p w:rsidR="00B4512A" w:rsidRDefault="00B4512A" w:rsidP="00B4512A">
      <w:r>
        <w:t>2022</w:t>
      </w:r>
      <w:r>
        <w:tab/>
        <w:t>$8,2 трлн</w:t>
      </w:r>
      <w:r>
        <w:tab/>
        <w:t>+14%</w:t>
      </w:r>
      <w:r>
        <w:tab/>
        <w:t>$22,2 млрд</w:t>
      </w:r>
    </w:p>
    <w:p w:rsidR="00B4512A" w:rsidRDefault="00B4512A" w:rsidP="00B4512A">
      <w:r>
        <w:t>2023</w:t>
      </w:r>
      <w:r>
        <w:tab/>
        <w:t>$9 трлн</w:t>
      </w:r>
      <w:r>
        <w:tab/>
        <w:t>+11%</w:t>
      </w:r>
      <w:r>
        <w:tab/>
        <w:t>$25,1 млрд</w:t>
      </w:r>
    </w:p>
    <w:p w:rsidR="00B4512A" w:rsidRDefault="00B4512A" w:rsidP="00B4512A">
      <w:r>
        <w:t>2024</w:t>
      </w:r>
      <w:r>
        <w:tab/>
        <w:t>$9,7 трлн</w:t>
      </w:r>
      <w:r>
        <w:tab/>
        <w:t>+10%</w:t>
      </w:r>
      <w:r>
        <w:tab/>
        <w:t>$28,2 млрд</w:t>
      </w:r>
    </w:p>
    <w:p w:rsidR="00B4512A" w:rsidRDefault="00B4512A" w:rsidP="00B4512A">
      <w:r>
        <w:t>2025</w:t>
      </w:r>
      <w:r>
        <w:tab/>
        <w:t>$10,5 трлн</w:t>
      </w:r>
      <w:r>
        <w:tab/>
        <w:t>+10%</w:t>
      </w:r>
      <w:r>
        <w:tab/>
        <w:t>$32,8 млрд</w:t>
      </w:r>
    </w:p>
    <w:p w:rsidR="00B4512A" w:rsidRDefault="00B4512A" w:rsidP="00B4512A"/>
    <w:p w:rsidR="00B4512A" w:rsidRDefault="00B4512A" w:rsidP="00B4512A">
      <w:r>
        <w:t>Источник: составлено автором на основе данных Visa[67] и Mastercard[68]</w:t>
      </w:r>
    </w:p>
    <w:p w:rsidR="00B4512A" w:rsidRDefault="00B4512A" w:rsidP="00B4512A"/>
    <w:p w:rsidR="00B4512A" w:rsidRDefault="00B4512A" w:rsidP="00B4512A">
      <w:r>
        <w:t>Экологические вызовы и «Зеленый переход». Современным внешним фактором, влияющим на валютную систему, стала климатическая повестка.Внедрение углеродных налогов и системы ETS2 рассматривается как фактор, который добавит около 0,2 процентного пункта к инфляции в 2028 году.ЕЦБ интегрирует экологические риски в свой анализ финансовой стабильности, признавая, что изменение климата влияет на стоимость активов и кредитоспособность заемщиков.</w:t>
      </w:r>
    </w:p>
    <w:p w:rsidR="00B4512A" w:rsidRDefault="00B4512A" w:rsidP="00B4512A">
      <w:r>
        <w:t xml:space="preserve">Геоэкономическая фрагментация и торговые войны. Одним из наиболее серьезных внешних вызовов является разрушение многосторонней, основанной на правилах системы международной торговли.С середины </w:t>
      </w:r>
    </w:p>
    <w:p w:rsidR="00B4512A" w:rsidRDefault="00B4512A" w:rsidP="00B4512A">
      <w:r>
        <w:t>2010-х годов, и особенно в 2024-2025 годах, уровень геополитических рисков и неопределенности экономической политики резко возрос.</w:t>
      </w:r>
    </w:p>
    <w:p w:rsidR="00B4512A" w:rsidRDefault="00B4512A" w:rsidP="00B4512A">
      <w:r>
        <w:t>Торговое давление со стороны США: Введение существенных импортных тарифов администрацией США в апреле 2025 года вызвало всплеск волатильности на финансовых рынках и поставило под сомнение устойчивость экспортно-ориентированной модели роста Еврозоны.Хотя временные паузы в применении тарифов позволили рынкам частично восстановиться, чувствительность системы к новостям о торговых соглашениях остается крайне высокой. [69]</w:t>
      </w:r>
    </w:p>
    <w:p w:rsidR="00B4512A" w:rsidRDefault="00B4512A" w:rsidP="00B4512A">
      <w:r>
        <w:t>«Второй китайский шок»: ЕС сталкивается с растущей конкуренцией со стороны Китая в высокотехнологичных секторах и производстве экологически чистых технологий.Слабость внутреннего спроса в Китае стимулирует его экспорт по низким ценам, что ведет к потере доли рынка европейскими производителями не только в самом Китае, но и на рынках третьих стран.</w:t>
      </w:r>
    </w:p>
    <w:p w:rsidR="00B4512A" w:rsidRDefault="00B4512A" w:rsidP="00B4512A">
      <w:r>
        <w:t>Разрыв цепочек поставок: Геополитическая фрагментация ведет к реконфигурации глобальных цепочек поставок.Это структурно повышает стоимость промежуточных товаров, что оказывает давление на конкурентоспособность европейского экспорта и может привести к долгосрочному снижению потенциального ВВП Еврозоны.</w:t>
      </w:r>
    </w:p>
    <w:p w:rsidR="00B4512A" w:rsidRDefault="00B4512A" w:rsidP="00B4512A">
      <w:r>
        <w:t xml:space="preserve">Геополитический шок действует одновременно как шок предложения (рост издержек) и финансовый шок (рост премий за риск).В условиях, когда Еврозона является крайне открытой экономикой, встроенной в глобальные цепочки, её уязвимость к фрагментации значительно выше, чем у других крупных экономик. </w:t>
      </w:r>
    </w:p>
    <w:p w:rsidR="00B4512A" w:rsidRDefault="00B4512A" w:rsidP="00B4512A">
      <w:r>
        <w:t xml:space="preserve">Энергетическая зависимость и последствия войны в Украине. Война России против Украины стала катализатором глубокой трансформации европейских энергетических рынков.Резкое сокращение </w:t>
      </w:r>
      <w:r>
        <w:lastRenderedPageBreak/>
        <w:t>поставок российского газа в 2021-2022 годах привело к рекордному всплеску инфляции.Хотя цены на газ снизились с пиковых значений 2022 года, они остаются структурно выше (в 3 раза выше допандемийных уровней), чем в США или Азии (Рисунок 2.1.3).</w:t>
      </w:r>
    </w:p>
    <w:p w:rsidR="00B4512A" w:rsidRDefault="00B4512A" w:rsidP="00B4512A">
      <w:r>
        <w:t>Потеря ценовой конкурентоспособности: Энергоемкие отрасли (металлургия, химическая промышленность) столкнулись с сокращением экспорта на 14-18% в конце 2022 года. Реальный эффективный курс евро, взвешенный по ценам производителей (PPI), показывает более серьезное ухудшение конкурентоспособности, чем стандартные показатели, основанные на стоимости труда.[70]</w:t>
      </w:r>
    </w:p>
    <w:p w:rsidR="00B4512A" w:rsidRDefault="00B4512A" w:rsidP="00B4512A">
      <w:r>
        <w:t>Ухудшение условий торговли: Резкий рост цен на импорт энергоносителей привел к крупнейшему в истории годовому ухудшению баланса текущего счета Еврозоны в 2022.Валютная система ЕС вынуждена адаптироваться к ситуации, когда «дешевая энергия» больше не является фактором производства. Переход на более дорогой СПГ и ускорение «зеленого перехода» создают долгосрочное давление на реальные доходы домохозяйств и инвестиционную активность фирм.</w:t>
      </w:r>
    </w:p>
    <w:p w:rsidR="00B4512A" w:rsidRDefault="00B4512A" w:rsidP="00B4512A">
      <w:r>
        <w:t>Небанковский финансовый сектор (NBFI): За последние годы роль не банковских организаций (фондов, страховщиков) в финансировании экономики Еврозоны значительно выросла.Однако этот сектор демонстрирует уязвимость к ликвидности и высокому уровню левериджа.Всплеск неопределенности в 2025 году привел к маржинальным требованиям для NBFI в размере более 60 млрд евро. [71]</w:t>
      </w:r>
    </w:p>
    <w:p w:rsidR="00B4512A" w:rsidRDefault="00B4512A" w:rsidP="00B4512A">
      <w:r>
        <w:t>Киберугрозы: В условиях сложного геополитического ландшафта кибератаки на критическую финансовую инфраструктуру стали реальной угрозой финансовой стабильности.Почти половина значимых киберинцидентов в ЕС в 2023-2024 годах пришлась на банковский сектор.</w:t>
      </w:r>
    </w:p>
    <w:p w:rsidR="00B4512A" w:rsidRDefault="00B4512A" w:rsidP="00B4512A">
      <w:r>
        <w:t>AI и волатильность: Быстрое внедрение искусственного интеллекта создает не только возможности, но и риски дестабилизации рынков активов из-за переоценки технологических компаний.</w:t>
      </w:r>
    </w:p>
    <w:p w:rsidR="00B4512A" w:rsidRDefault="00B4512A" w:rsidP="00B4512A">
      <w:r>
        <w:t>Анализ функционирования Европейской валютной системы в условиях внешних факторов позволяет сделать вывод о её высокой адаптивности.Система прошла путь от пассивного реагирования на кризисы к проактивному созданию защитных институтов.Основной проблемой остается сохраняющийся разрыв в конкурентоспособности между странами «ядра» и «периферии», а также отсутствие единого казначейства, способного осуществлять автоматические трансферты.Однако создание ESM, Банковского союза и проект цифрового евро свидетельствуют о том, что Европа движется по пути углубления интеграции как единственного способа обеспечения экономической безопасности в многополярном мире. Будущая стабильность евро будет зависеть от способности Евросистемы балансировать между жестким мандатом ценовой стабильности и необходимостью поддержки структурной трансформации европейской экономики в условиях глобальной нестабильности.</w:t>
      </w:r>
    </w:p>
    <w:p w:rsidR="00B4512A" w:rsidRDefault="00B4512A" w:rsidP="00B4512A">
      <w:r>
        <w:t xml:space="preserve">Функционирование современной ЕВС в условиях внешних факторов сталкивается с кризисом идентичности.Долгое время Еврозона строилась на принципах открытости и фискальной дисциплины.Сегодня же внешняя среда требует прямо противоположного: стратегической автономии (что часто граничит с протекционизмом) и фискальной экспансии (для нужд обороны и экологии). </w:t>
      </w:r>
    </w:p>
    <w:p w:rsidR="00B4512A" w:rsidRDefault="00B4512A" w:rsidP="00B4512A">
      <w:r>
        <w:t>Особую тревогу вызывает то, что европейская экономика проявляет «устойчивость без динамизма».Она способна абсорбировать шоки, как это было в 2022-2023 годах, но не способна генерировать уверенный рост.Внешние шоки обнажили структурные слабости: зависимость от экспорта делает Еврозону уязвимой к решениям Вашингтона или Пекина.</w:t>
      </w:r>
    </w:p>
    <w:p w:rsidR="00B4512A" w:rsidRDefault="00B4512A" w:rsidP="00B4512A">
      <w:r>
        <w:lastRenderedPageBreak/>
        <w:t>Для сохранения стабильности валютной системы ЕС необходимо переходить от модели пассивного реагирования к активному формированию внутреннего рынка. Это включает в себя не только завершение Союза рынков капитала, но и, возможно, создание постоянных механизмов совместного заимствования (по аналогии с NGEU) для финансирования общеевропейских общественных благ, таких как безопасность и энергетическая независимость.Без этого ЕВС рискует превратиться в фрагментированную зону низкой активности, неспособную противостоять глобальным геоэкономическим сдвигам.</w:t>
      </w:r>
    </w:p>
    <w:p w:rsidR="00B4512A" w:rsidRDefault="00B4512A" w:rsidP="00B4512A">
      <w:r>
        <w:t>2.3. Предложения по улучшению функционирования ЕС (интеграция новых стран, цифровизация валюты, CBDC)</w:t>
      </w:r>
    </w:p>
    <w:p w:rsidR="00B4512A" w:rsidRDefault="00B4512A" w:rsidP="00B4512A">
      <w:r>
        <w:t>Адаптация механизмов включения новых государств в Еврозону представляет собой масштабную и многоуровневую задачу. Расширение Евросоюза и перспектива вступления в зону евро требуют от стран-кандидатов не просто формального соблюдения маастрихтских критериев, но и глубокой структурной сближенности экономик.Несмотря на то что многие государства Центральной и Восточной Европы уже стали полноправными членами ЕС, они пока остаются вне валютного союза.Успешное преодоление этого этапа обусловлено необходимостью устранения макроэкономических диспропорций, укрепления институциональной базы и обеспечения стабильности экономической политики.[72]</w:t>
      </w:r>
    </w:p>
    <w:p w:rsidR="00B4512A" w:rsidRDefault="00B4512A" w:rsidP="00B4512A">
      <w:r>
        <w:t>Детальное изучение процессов конвергенции и сопутствующих трудностей для потенциальных участников Еврозоны показывает, что критериев Маастрихта, охватывающих динамику цен, бюджетную дисциплину, курсовую устойчивость и ставки по долгам, недостаточно для успешной интеграции.Требуется более глубокая оценка структурных аспектов: эластичности трудовых рынков, открытости экономики, конкурентоспособности, а также уровня управления и независимости национального регулятора.Страны-кандидаты нередко сталкиваются с серьезными барьерами, такими как высокая долговая нагрузка, низкая эффективность труда и чрезмерная специализация, что ставит под угрозу их макроэкономическую устойчивость после принятия единой валюты.</w:t>
      </w:r>
    </w:p>
    <w:p w:rsidR="00B4512A" w:rsidRDefault="00B4512A" w:rsidP="00B4512A">
      <w:r>
        <w:t>Анализ данных, полученных Европейским центробанком и МВФ в 2022-2023 годах (в частности, в рамках консультаций по статье IV), указывает на то, что ключевым аспектом является не просто выполнение целевых ориентиров, но и их долговечность. Внешние потрясения, включая пандемию или геополитическую напряженность, способны быстро нарушить заданные параметры, поэтому странам-кандидатам необходимо формировать надежные защитные механизмы.Ярким примером служит ситуация в странах Балтии: несмотря на успешное введение евро в 2014-2015 годах и стабильность монетарной политики, они все же подверглись воздействию мировых кризисных явлений.</w:t>
      </w:r>
    </w:p>
    <w:p w:rsidR="00B4512A" w:rsidRDefault="00B4512A" w:rsidP="00B4512A">
      <w:r>
        <w:t>Чтобы смягчить процесс вступления новых участников в Еврозону и сделать его более комфортным, Европейский центральный банк и Еврокомиссия могут расширить действующие инструменты поддержки.В рамках этой стратегии предполагается несколько ключевых шагов.</w:t>
      </w:r>
    </w:p>
    <w:p w:rsidR="00B4512A" w:rsidRDefault="00B4512A" w:rsidP="00B4512A">
      <w:r>
        <w:t>Во-первых, стоит усилить техническое содействие.Это подразумевает предоставление экспертных консультаций по вопросам монетарной и фискальной политики, трансформации банковского сектора и повышению независимости национальных регуляторов.Особый акцент делается на создании надежных систем управления госфинансами и противодействии коррупционным проявлениям.</w:t>
      </w:r>
    </w:p>
    <w:p w:rsidR="00B4512A" w:rsidRDefault="00B4512A" w:rsidP="00B4512A">
      <w:r>
        <w:t xml:space="preserve">Во-вторых, целесообразно внедрить гибкие переходные этапы. Их продолжительность и условия должны зависеть от структурной готовности страны к интеграции.Например, можно допустить поэтапный вывод национальных валют или временное сохранение отдельных ограничений.При этом </w:t>
      </w:r>
      <w:r>
        <w:lastRenderedPageBreak/>
        <w:t>важно четко фиксировать сроки таких мер, чтобы предотвратить возникновение раскола внутри Еврозоны на «первый» и «второй» сорта.</w:t>
      </w:r>
    </w:p>
    <w:p w:rsidR="00B4512A" w:rsidRDefault="00B4512A" w:rsidP="00B4512A">
      <w:r>
        <w:t>В-третьих, для государств с глубокими структурными диспропорциями могут быть созданы специальные программы бюджетного содействия.Их целью является финансирование приоритетных реформ и поддержка экономического роста.Такие инициативы должны жестко привязываться к выполнению планов преобразований и измеряться конкретными индикаторами.Несмотря на риски для фискальной дисциплины, этот подход способен ускорить сближение показателей и снизить социальную напряженность.Данная тема активно обсуждается в рамках реформы бюджетных правил ЕС.</w:t>
      </w:r>
    </w:p>
    <w:p w:rsidR="00B4512A" w:rsidRDefault="00B4512A" w:rsidP="00B4512A">
      <w:r>
        <w:t>Наконец, речь идет о развитии «асимметричной» гибкости, несмотря на общий курс на унификацию, допускается внедрение ограниченных инструментов «асимметричной» гибкости, которые дают новым участникам время на адаптацию к изменившимся условиям. Подобные меры могут включать применение конкретных, четко регламентированных механизмов для нейтрализации шоков, возникающих при переходе на евро, или для содействия структурным преобразованиям.Ключевое условие заключается в том, что данные исключения не должны угрожать макроэкономической стабильности зоны евро и не должны приводить к формированию структурной зависимости.</w:t>
      </w:r>
    </w:p>
    <w:p w:rsidR="00B4512A" w:rsidRDefault="00B4512A" w:rsidP="00B4512A">
      <w:r>
        <w:t>Продвижение ЕС и зоны евро неизбежно стимулирует дискуссии вокруг идеи Европы с двумя скоростями, предполагающей разный уровень интеграции государств. Данный подход обладает рядом плюсов и минусов. К преимуществам относится способность заинтересованных стран углублять сотрудничество, получая максимальную выгоду от общих экономических инструментов и политик.Однако существуют и угрозы: возможен рост разрыва между ядром и периферией, усиление популистских настроений и снижение уровня взаимной поддержки внутри союза.</w:t>
      </w:r>
    </w:p>
    <w:p w:rsidR="00B4512A" w:rsidRDefault="00B4512A" w:rsidP="00B4512A">
      <w:r>
        <w:t>Исследователи, такие как Жан Пизани-Ферри (Pisani-Ferry, 2021), анализируя перспективы Европейской интеграции, указывают на то, что "многоскоростная" Европа может стать реальностью, но ее успех будет зависеть от способности сохранить общие институты и ценности, а также от наличия механизмов, позволяющих странам "догонять" и переходить на более высокий уровень интеграции. Жан Пизани-Ферри при анализе перспектив европейской интеграции пишет, что «A multi-speed Europe is no longer a choice but a reality».[73] Для предотвращения углубления разрывов, необходимо активное стимулирование конвергенции, инвестирование в развитие менее развитых регионов и обеспечение равных возможностей для всех членов ЕС.[74]</w:t>
      </w:r>
    </w:p>
    <w:p w:rsidR="00B4512A" w:rsidRDefault="00B4512A" w:rsidP="00B4512A">
      <w:r>
        <w:t>Цифровизация валюты: эволюция или революция. Концепция цифровизации валюты охватывает широкий спектр изменений, от развития электронных платежей до появления цифровых валют центральных банков. Этот процесс является одним из наиболее динамичных и трансформирующих в современной финансовой системе.Цифровизация меняет не только способы осуществления транзакций, но и фундаментальные представления о деньгах, их роли и функциях.</w:t>
      </w:r>
    </w:p>
    <w:p w:rsidR="00B4512A" w:rsidRDefault="00B4512A" w:rsidP="00B4512A">
      <w:r>
        <w:t>В последние годы в Европейском союзе фиксируется устойчивое увеличение оборота электронных платежей.Пользователи и компании постепенно заменяют физические деньги цифровыми инструментами, такими как банковские карты, мобильные приложения и интернет-сервисы, выбирая их за скорость и удобство. Европейский центральный банк стимулирует модернизацию платежной системы, в частности через поддержку механизма SEPA, который уравнивает условия трансграничных переводов в евро с внутренними операциями.</w:t>
      </w:r>
    </w:p>
    <w:p w:rsidR="00B4512A" w:rsidRDefault="00B4512A" w:rsidP="00B4512A">
      <w:r>
        <w:t xml:space="preserve">Тем не менее, массовое внедрение цифровых технологий не привело к полному отказу от наличности.Деньги в обращении сохраняют свою актуальность, гарантируя финансовую </w:t>
      </w:r>
      <w:r>
        <w:lastRenderedPageBreak/>
        <w:t>инклюзивность, защиту личной тайны и работоспособность системы при технических сбоях. Согласно данным ЕЦБ за 2025 год, доля наличных расчетов остается высокой, особенно в сфере мелких покупок и в таких странах, как Германия и Австрия, несмотря на общий тренд на оцифровку транзакций.</w:t>
      </w:r>
    </w:p>
    <w:p w:rsidR="00B4512A" w:rsidRDefault="00B4512A" w:rsidP="00B4512A">
      <w:r>
        <w:t xml:space="preserve">Переход на цифровые финансовые операции одновременно открывает широкие перспективы и порождает серьезные проблемы.К ключевым преимуществам относятся: рост операционной эффективности и экономия средств, поскольку электронные переводы обходятся дешевле традиционных методов, что снижает транзакционные расходы для всех участников рынка; молниеносное проведение операций, ускоряющее оборот капитала и повышающее ликвидность, что благоприятно сказывается на развитии бизнеса; расширение доступа к финансовым услугам для уязвимых групп населения, особенно в развивающихся регионах, способствуя финансовой инклюзивности; а также создание базы для появления новых продуктов, что стимулирует конкуренцию и технологические инновации. </w:t>
      </w:r>
    </w:p>
    <w:p w:rsidR="00B4512A" w:rsidRDefault="00B4512A" w:rsidP="00B4512A">
      <w:r>
        <w:t>Среди главных проблем выделяются: угрозы кибербезопасности и защиты конфиденциальных данных, так как рост числа электронных транзакций увеличивает риск мошенничества, хакерских атак и утечек конфиденциальной информации, требуя усиления защиты инфраструктуры; цифровое неравенство, при котором отсутствие равного доступа к технологиям углубляет разрыв между слоями общества и ведет к социальной изоляции части граждан; системные риски, связанные с высокой концентрацией платежных систем, где сбои в работе крупных платформ могут вызвать масштабные экономические нарушения; а также нестабильность рынков криптовалют и стейблкоинов, которые, создавая новые возможности для операций, несут риски волатильности, дефицита регулирования и потенциального использования в незаконных целях. [75]</w:t>
      </w:r>
    </w:p>
    <w:p w:rsidR="00B4512A" w:rsidRDefault="00B4512A" w:rsidP="00B4512A">
      <w:r>
        <w:t xml:space="preserve">Развитие и глубокое изучение цифровых валют центральных банков (CBDC) выступает ключевым направлением в современной монетарной стратегии.CBDC представляют собой цифровой аналог государственных денег, эмитируемых центральным банком.В отличие от криптовалют, они обладают полной государственной гарантией и статусом законного средства платежа. </w:t>
      </w:r>
    </w:p>
    <w:p w:rsidR="00B4512A" w:rsidRDefault="00B4512A" w:rsidP="00B4512A">
      <w:r>
        <w:t>Оптовая CBDC ориентирована на банки и финансовые институты, применяясь для межбанковских расчетов и операций с ценными бумагами.Данная модель направлена на оптимизацию платежных систем, минимизацию рисков и снижение издержек в финансовом секторе.</w:t>
      </w:r>
    </w:p>
    <w:p w:rsidR="00B4512A" w:rsidRDefault="00B4512A" w:rsidP="00B4512A">
      <w:r>
        <w:t>Розничная CBDC предназначена для массового использования населением, выступая цифровым заменителем наличных.Она обеспечивает прямой доступ граждан к деньгам центрального банка, способствует финансовой инклюзивности, улучшает эффективность платежей и служит альтернативой растущей популярности частных цифровых активов.</w:t>
      </w:r>
    </w:p>
    <w:p w:rsidR="00B4512A" w:rsidRDefault="00B4512A" w:rsidP="00B4512A">
      <w:r>
        <w:t xml:space="preserve">Европейский центральный банк активно исследует вопрос введения цифрового евро по розничной модели. Начатые в 2020 году исследования ЕЦБ сосредоточены на архитектурных решениях, правовых вопросах, а также на оценке воздействия цифрового евро на финансовую стабильность, банковскую систему и трансграничные переводы. </w:t>
      </w:r>
    </w:p>
    <w:p w:rsidR="00B4512A" w:rsidRDefault="00B4512A" w:rsidP="00B4512A">
      <w:r>
        <w:t xml:space="preserve">Запуск цифровых валют центральных банков (CBDC) сулит значительные выгоды. В первую очередь, это повышение эффективности платежных операций: трансграничные переводы станут быстрее, дешевле и прозрачнее, чему способствуют такие инициативы, как «Project Dunbar» (исследование оптовых CBDC несколькими ЦБ) и «Project mCBDC Bridge» (международный проект по кросс-граничным расчетам). Кроме того, розничная CBDC способствует финансовой инклюзии, предоставляя доступ к цифровым услугам жителям удаленных и экономически отстающих регионов, которые ранее </w:t>
      </w:r>
      <w:r>
        <w:lastRenderedPageBreak/>
        <w:t>не пользовались традиционными банковскими продуктами.CBDC также выступает сдерживающим фактором для частных стейблкоинов и криптовалют, укрепляя стабильность национальной валюты.Наконец, появляются новые инструменты монетарной политики: центральные банки смогут напрямую регулировать расходы населения благодаря программируемым свойствам цифровой валюты. [76]</w:t>
      </w:r>
    </w:p>
    <w:p w:rsidR="00B4512A" w:rsidRDefault="00B4512A" w:rsidP="00B4512A">
      <w:r>
        <w:t>Тем не менее, запуск цифровых валют центральных банков (CBDC) несет в себе существенные угрозы и трудности.Одним из главных опасений является возможный отток средств населения из коммерческих банков, что может произойти при массовом использовании розничных CBDC, особенно на фоне экономической нестабильности.Подобное развитие событий способно ослабить финансовую устойчивость и кредитный потенциал банковской системы.Для минимизации таких рисков Европейский центральный банк изучает различные защитные механизмы, включая введение лимитов на хранение цифровых активов или внедрение прогрессивной шкалы процентных ставок.[77]</w:t>
      </w:r>
    </w:p>
    <w:p w:rsidR="00B4512A" w:rsidRDefault="00B4512A" w:rsidP="00B4512A">
      <w:r>
        <w:t>Важным аспектом остается вопрос конфиденциальности: проведение операций с использованием CBDC, особенно в рамках централизованной архитектуры, может вызвать обеспокоенность относительно защиты персональных данных.Ключевой задачей становится поиск компромисса между требованиями прозрачности (необходимыми для противодействия легализации преступных доходов и финансированию терроризма) и правом граждан на неприкосновенность частной жизни.</w:t>
      </w:r>
    </w:p>
    <w:p w:rsidR="00B4512A" w:rsidRDefault="00B4512A" w:rsidP="00B4512A">
      <w:r>
        <w:t>Кроме того, системы CBDC станут привлекательными объектами для хакерских атак, что потребует внедрения передовых методов киберзащиты и обеспечения высокой отказоустойчивости. Также требуется тщательный анализ влияния выпуска национальной цифровой валюты на конкурентную среду среди финансовых организаций и на место частных платежных сервисов.Наконец, создание и поддержка современной, защищенной инфраструктуры CBDC сопряжены с высокими технологическими сложностями и требуют значительных финансовых вложений и привлечения квалифицированных кадров.</w:t>
      </w:r>
    </w:p>
    <w:p w:rsidR="00B4512A" w:rsidRDefault="00B4512A" w:rsidP="00B4512A">
      <w:r>
        <w:t>Тема влияния цифровых валют центральных банков (CBDC) на глобальные финансы и зону евро. Запуск цифрового евро окажет глубокое воздействие на экономический вес региона и его позицию в мире.</w:t>
      </w:r>
    </w:p>
    <w:p w:rsidR="00B4512A" w:rsidRDefault="00B4512A" w:rsidP="00B4512A">
      <w:r>
        <w:t>Повышение конкурентоспособности валюты: Цифровая версия евро способна усилить его статус на международной арене, сделав инструмент более удобным для кросс-платформенных операций и вложений.Это особенно актуально на фоне усиления конкуренции со стороны альтернативных цифровых активов, таких как цифровой юань из Китая или цифровой доллар США.</w:t>
      </w:r>
    </w:p>
    <w:p w:rsidR="00B4512A" w:rsidRDefault="00B4512A" w:rsidP="00B4512A">
      <w:r>
        <w:t>Оптимизация международных переводов: Совместимость цифрового евро с CBDC других государств позволит существенно сократить стоимость и время совершения трансграничных транзакций, что станет катализатором для роста внешней торговли и притока инвестиций.</w:t>
      </w:r>
    </w:p>
    <w:p w:rsidR="00B4512A" w:rsidRDefault="00B4512A" w:rsidP="00B4512A">
      <w:r>
        <w:t>Реформирование институтов: Переход на CBDC заставит Европейский центральный банк и национальные регуляторы пересмотреть свои рабочие процессы, а также значительно расширить экспертизу в сфере информационных технологий и защиты от киберугроз.</w:t>
      </w:r>
    </w:p>
    <w:p w:rsidR="00B4512A" w:rsidRDefault="00B4512A" w:rsidP="00B4512A">
      <w:r>
        <w:t xml:space="preserve">Конкуренция и сотрудничество: Развитие CBDC в Европе будет происходить в контексте глобального тренда, что потребует активного диалога и сотрудничества с другими центральными банками и международными организациями для выработки общих стандартов и регуляторных подходов. </w:t>
      </w:r>
    </w:p>
    <w:p w:rsidR="00B4512A" w:rsidRDefault="00B4512A" w:rsidP="00B4512A">
      <w:r>
        <w:lastRenderedPageBreak/>
        <w:t>Синтез: Интеграция, цифровизация и будущее европейской валютной системы. Три направления, рассмотренные в данном разделе - интеграция новых стран, цифровизация валюты и внедрение CBDC - тесно взаимосвязаны и формируют общую картину эволюции европейской валютной системы.Успешная интеграция новых членов в Еврозону требует не только выполнения старых, но и освоения новых вызовов, включая адаптацию к цифровой трансформации.В свою очередь, цифровизация валюты, включая потенциальный цифровой евро, может стать мощным инструментом для укрепления самого евро, повышения его конкурентоспособности на мировом уровне и обеспечения финансовой стабильности внутри Еврозоны. [78]</w:t>
      </w:r>
    </w:p>
    <w:p w:rsidR="00B4512A" w:rsidRDefault="00B4512A" w:rsidP="00B4512A">
      <w:r>
        <w:t>Предложения по оптимизации процессов интеграции, такие как усиленная поддержка и гибкие переходные периоды, должны идти рука об руку с развитием цифровой инфраструктуры и подготовкой к внедрению CBDC.Это позволит новым членам быстрее адаптироваться к меняющемуся финансовому ландшафту и активно участвовать в процессе цифровой трансформации ЕС.</w:t>
      </w:r>
    </w:p>
    <w:p w:rsidR="00B4512A" w:rsidRDefault="00B4512A" w:rsidP="00B4512A">
      <w:r>
        <w:t>В конечном итоге, будущее Европейской валютной системы будет определяться способностью ЕС адаптироваться к технологическим инновациям, эффективно управлять процессами интеграции и сохранять свою конкурентоспособность в условиях глобализации и цифровой революции. Тщательное изучение преимуществ и рисков, связанных с цифровой валютой и CBDC, а также разработка продуманной стратегии интеграции, позволит ЕС не только сохранить, но и укрепить свои позиции в мировой финансовой системе, предлагая своим гражданам и бизнесу надежные, эффективные и современные финансовые инструменты.</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ГЛАВА III. ПУТИ СОВЕРШЕНСТВОВАНИЯ ЕВРОПЕЙСКОЙ ВАЛЮТНОЙ СИСТЕМЫ И СРАВНЕНИЕ С МОНЕТАРНОЙ ПОЛИТИКОЙ УЗБЕКИСТАНА</w:t>
      </w:r>
    </w:p>
    <w:p w:rsidR="00B4512A" w:rsidRDefault="00B4512A" w:rsidP="00B4512A">
      <w:r>
        <w:t>3.1.Сравнительный анализ монетарных систем ЕС и Узбекистана</w:t>
      </w:r>
    </w:p>
    <w:p w:rsidR="00B4512A" w:rsidRDefault="00B4512A" w:rsidP="00B4512A">
      <w:r>
        <w:t xml:space="preserve">В данном разделе дипломной работы проводится углубленный сравнительный анализ монетарных систем Европейского союза и Республики Узбекистан. Целью анализа является выявление ключевых особенностей, преимуществ и недостатков каждой системы, а также определение потенциальных направлений для совершенствования Узбекской валютной политики через призму опыта и специфики экономического развития Европейского союза.Особое внимание уделяется макроэкономическим показателям Узбекистана, таким как Валовой внутренний продукт, уровень инфляции, обменный курс национальной валюты (сум) и показатели внешней торговли (экспорт/импорт), для создания всестороннего представления о текущем состоянии монетарной сферы страны. </w:t>
      </w:r>
    </w:p>
    <w:p w:rsidR="00B4512A" w:rsidRDefault="00B4512A" w:rsidP="00B4512A">
      <w:r>
        <w:lastRenderedPageBreak/>
        <w:t>Узбекистан, пройдя через этап плановой экономики, начал активные рыночные преобразования в начале 1990-х годов.Формирование современной монетарной системы страны было сопряжено с необходимостью решения таких задач, как стабилизация национальной валюты, борьба с высокой инфляцией и создание благоприятных условий для экономического роста.На начальных этапах реформ монетарная политика характеризовалась попытками прямого контроля над обменным курсом национальной валюты и существенным государственным вмешательством в экономику. Однако, с течением времени, под влиянием глобальных тенденций и необходимости повышения конкурентоспособности, Узбекистан приступил к либерализации валютного рынка и переходу к более гибкой политике.[79]</w:t>
      </w:r>
    </w:p>
    <w:p w:rsidR="00B4512A" w:rsidRDefault="00B4512A" w:rsidP="00B4512A">
      <w:r>
        <w:t xml:space="preserve">Центральный банк Республики Узбекистан (ЦБУ) играет ключевую роль в проведении денежно-кредитной политики.Целью ЦБУ, согласно последней стратегии, является обеспечение ценовой стабильности и поддержка устойчивого экономического роста.Для достижения этих целей ЦБУ использует различные инструменты, включая операции на открытом рынке, установление ключевой ставки, нормативы обязательных резервов и валютные интервенции.Мамаризо Нурмуратов в своих выступлениях подчеркивает, что «Обеспечение ценовой стабильности является основной целью денежно-кредитной политики Центрального банка Республики Узбекистан». [80] В последние годы наблюдается тенденция к усилению независимости ЦБУ и повышению прозрачности его деятельности. </w:t>
      </w:r>
    </w:p>
    <w:p w:rsidR="00B4512A" w:rsidRDefault="00B4512A" w:rsidP="00B4512A"/>
    <w:p w:rsidR="00B4512A" w:rsidRDefault="00B4512A" w:rsidP="00B4512A">
      <w:r>
        <w:t>Рисунок 3.1.1. ВВП Узбекистана (2011-2024)</w:t>
      </w:r>
    </w:p>
    <w:p w:rsidR="00B4512A" w:rsidRDefault="00B4512A" w:rsidP="00B4512A">
      <w:r>
        <w:tab/>
        <w:t>Источник: График составлен автором на основе статистических данных Всемирного банка и отражает динамику Валового внутреннего продукта Узбекистана, выраженного в миллионах долларов США, за период 2011-2024 гг.[81]</w:t>
      </w:r>
    </w:p>
    <w:p w:rsidR="00B4512A" w:rsidRDefault="00B4512A" w:rsidP="00B4512A"/>
    <w:p w:rsidR="00B4512A" w:rsidRDefault="00B4512A" w:rsidP="00B4512A">
      <w:r>
        <w:t>Узбекистан является развивающейся экономикой, проходящей этап активной структурной трансформации. В последние годы в стране наблюдаются стабильно высокие темпы роста ВВП, что во многом объясняется проведением рыночных реформ, привлечением иностранных инвестиций и активным развитием экспортоориентированных отраслей, таких как текстильная промышленность, сельское хозяйство и добыча полезных ископаемых.Тем не менее, ВВП на душу населения в Узбекистане остается значительно ниже уровня стран ЕС.Согласно данным Всемирного банка за 2025 год, среднегодовой темп роста ВВП Узбекистана составлял около 5-6%, что является одним из самых высоких показателей в регионе. Тем не менее, важно отметить, что этот рост базируется на относительно низкой базе и подвержен влиянию колебаний цен на сырьевые товары, а также требует дальнейшей диверсификации экономики для обеспечения устойчивого долгосрочного развития.[82]</w:t>
      </w:r>
    </w:p>
    <w:p w:rsidR="00B4512A" w:rsidRDefault="00B4512A" w:rsidP="00B4512A"/>
    <w:p w:rsidR="00B4512A" w:rsidRDefault="00B4512A" w:rsidP="00B4512A">
      <w:r>
        <w:t>Рисунок 3.1.2. Уровень инфляции Узбекистана (2011-2024)</w:t>
      </w:r>
    </w:p>
    <w:p w:rsidR="00B4512A" w:rsidRDefault="00B4512A" w:rsidP="00B4512A">
      <w:r>
        <w:t>Источник: График составлен автором на основе статистических данных Всемирного банка и отражает динамику Инфляции Узбекистана за период 2011-2024 гг.[83]</w:t>
      </w:r>
    </w:p>
    <w:p w:rsidR="00B4512A" w:rsidRDefault="00B4512A" w:rsidP="00B4512A"/>
    <w:p w:rsidR="00B4512A" w:rsidRDefault="00B4512A" w:rsidP="00B4512A">
      <w:r>
        <w:lastRenderedPageBreak/>
        <w:t>Узбекистан для борьбы с инфляцией долгое время оставалась одним из самых сложных вызовов. В период активных рыночных реформ наблюдались высокие темпы инфляции, что было связано с девальвацией национальной валюты, либерализацией цен и фискальным дефицитом.Тем не менее, благодаря последовательной политике ЦБУ, в последние годы удалось существенно снизить инфляционные ожидания и замедлить темпы роста цен.По данным Государственного комитета статистики Узбекистана, в 2025 году инфляция составляла 7,7%, что является существенным достижением по сравнению с 6,7 % в 2024 году, чему способствовали восстановление экспорта, рост частного потребления, а также развитие сферы услуг, сельского хозяйства и промышленности. [84] Тем не менее, для достижения уровня инфляции, сопоставимого с развитыми странами, необходимы дальнейшие усилия по укреплению доверия к национальной валюте, повышению эффективности денежно-кредитного трансмиссионного механизма и продолжению структурных реформ.</w:t>
      </w:r>
    </w:p>
    <w:p w:rsidR="00B4512A" w:rsidRDefault="00B4512A" w:rsidP="00B4512A">
      <w:r>
        <w:t xml:space="preserve">Таблица 3.1.1. </w:t>
      </w:r>
    </w:p>
    <w:p w:rsidR="00B4512A" w:rsidRDefault="00B4512A" w:rsidP="00B4512A">
      <w:r>
        <w:t>Динамика макроэкономических показателей Узбекистана</w:t>
      </w:r>
    </w:p>
    <w:p w:rsidR="00B4512A" w:rsidRDefault="00B4512A" w:rsidP="00B4512A">
      <w:r>
        <w:t>Показатель</w:t>
      </w:r>
      <w:r>
        <w:tab/>
        <w:t>2015 г.</w:t>
      </w:r>
      <w:r>
        <w:tab/>
        <w:t>2020 г.</w:t>
      </w:r>
      <w:r>
        <w:tab/>
        <w:t>2025-2026 гг.</w:t>
      </w:r>
    </w:p>
    <w:p w:rsidR="00B4512A" w:rsidRDefault="00B4512A" w:rsidP="00B4512A">
      <w:r>
        <w:t>Рост ВВП, %</w:t>
      </w:r>
      <w:r>
        <w:tab/>
        <w:t>7,5%</w:t>
      </w:r>
      <w:r>
        <w:tab/>
        <w:t>1,9%</w:t>
      </w:r>
      <w:r>
        <w:tab/>
        <w:t>5,0 - 6,0%</w:t>
      </w:r>
    </w:p>
    <w:p w:rsidR="00B4512A" w:rsidRDefault="00B4512A" w:rsidP="00B4512A">
      <w:r>
        <w:t>Уровень инфляции, %</w:t>
      </w:r>
      <w:r>
        <w:tab/>
        <w:t>~7%</w:t>
      </w:r>
      <w:r>
        <w:tab/>
        <w:t>~11,0%</w:t>
      </w:r>
      <w:r>
        <w:tab/>
        <w:t>7,7%</w:t>
      </w:r>
    </w:p>
    <w:p w:rsidR="00B4512A" w:rsidRDefault="00B4512A" w:rsidP="00B4512A">
      <w:r>
        <w:t>Государственный долг, % от ВВП</w:t>
      </w:r>
      <w:r>
        <w:tab/>
        <w:t>~9,0%</w:t>
      </w:r>
      <w:r>
        <w:tab/>
        <w:t>~30,0%</w:t>
      </w:r>
      <w:r>
        <w:tab/>
        <w:t>~35,0%</w:t>
      </w:r>
    </w:p>
    <w:p w:rsidR="00B4512A" w:rsidRDefault="00B4512A" w:rsidP="00B4512A">
      <w:r>
        <w:t>Золотовалютные резервы, млрд долл.</w:t>
      </w:r>
      <w:r>
        <w:tab/>
        <w:t>$24</w:t>
      </w:r>
      <w:r>
        <w:tab/>
        <w:t>$34,9</w:t>
      </w:r>
      <w:r>
        <w:tab/>
        <w:t>$70</w:t>
      </w:r>
    </w:p>
    <w:p w:rsidR="00B4512A" w:rsidRDefault="00B4512A" w:rsidP="00B4512A"/>
    <w:p w:rsidR="00B4512A" w:rsidRDefault="00B4512A" w:rsidP="00B4512A">
      <w:r>
        <w:t>Источник: Таблица составлен автором на основе статистических данных Всемирного банка и отражает динамику показателей Узбекистана за период 2015-2025 гг.[85]</w:t>
      </w:r>
    </w:p>
    <w:p w:rsidR="00B4512A" w:rsidRDefault="00B4512A" w:rsidP="00B4512A"/>
    <w:p w:rsidR="00B4512A" w:rsidRDefault="00B4512A" w:rsidP="00B4512A">
      <w:r>
        <w:t>В Узбекистане, в отличие от ЕС, национальная валюта - сум сохраняет свое значение. До недавнего времени сум характеризовался высоким уровнем неконвертируемости и значительными ограничениями на валютный рынок.Однако, с 2017 года, в рамках либерализации экономики, была проведена масштабная девальвация и введена свободная конвертация сума.Это стало одним из ключевых шагов на пути формирования рыночной экономики и интеграции в мировую финансовую систему.Также подтверждается высокая роль золотовалютных резервов, достигших 70 млрд долларов в 2026 году. Центральный банк Узбекистана осуществляет политику гибкого обменного курса, стремясь обеспечить его стабильность и предсказуемость, но при этом позволяя ему реагировать на рыночные изменения.[86] Мониторинг обменного курса сума показывает тенденцию к его постепенному снижению по отношению к основным мировым валютам, что является естественным процессом в условиях инфляции и рыночной либерализации.Тимур Ишметов в докладе Министерства Финансов Республики Узбекистан отмечал, что «Либерализация валютного рынка способствует повышению инвестиционной привлекательности экономики Узбекистана». [87] Исследования ЦБУ за 2023 год подчеркивают важность управления ожиданиями относительно обменного курса для поддержания доверия инвесторов и потребителей.</w:t>
      </w:r>
    </w:p>
    <w:p w:rsidR="00B4512A" w:rsidRDefault="00B4512A" w:rsidP="00B4512A">
      <w:r>
        <w:t xml:space="preserve">Таблица 3.1.2. </w:t>
      </w:r>
    </w:p>
    <w:p w:rsidR="00B4512A" w:rsidRDefault="00B4512A" w:rsidP="00B4512A">
      <w:r>
        <w:t>Монетарные нормативы и лимиты</w:t>
      </w:r>
    </w:p>
    <w:p w:rsidR="00B4512A" w:rsidRDefault="00B4512A" w:rsidP="00B4512A">
      <w:r>
        <w:lastRenderedPageBreak/>
        <w:t>Параметр</w:t>
      </w:r>
      <w:r>
        <w:tab/>
        <w:t>Нормативное значение</w:t>
      </w:r>
    </w:p>
    <w:p w:rsidR="00B4512A" w:rsidRDefault="00B4512A" w:rsidP="00B4512A">
      <w:r>
        <w:t>Долгосрочный целевой ориентир инфляции (таргет)</w:t>
      </w:r>
      <w:r>
        <w:tab/>
        <w:t>5,0%</w:t>
      </w:r>
    </w:p>
    <w:p w:rsidR="00B4512A" w:rsidRDefault="00B4512A" w:rsidP="00B4512A">
      <w:r>
        <w:t>Установленный законодательный лимит госдолга</w:t>
      </w:r>
      <w:r>
        <w:tab/>
        <w:t>60,0% от ВВП</w:t>
      </w:r>
    </w:p>
    <w:p w:rsidR="00B4512A" w:rsidRDefault="00B4512A" w:rsidP="00B4512A">
      <w:r>
        <w:t>Прогнозный дефицит бюджета на 2025 г.</w:t>
      </w:r>
      <w:r>
        <w:tab/>
        <w:t>~4,0% от ВВП</w:t>
      </w:r>
    </w:p>
    <w:p w:rsidR="00B4512A" w:rsidRDefault="00B4512A" w:rsidP="00B4512A">
      <w:r>
        <w:t>Уставный капитал Центрального банка (ЦБУ)</w:t>
      </w:r>
      <w:r>
        <w:tab/>
        <w:t>1 трлн сумов</w:t>
      </w:r>
    </w:p>
    <w:p w:rsidR="00B4512A" w:rsidRDefault="00B4512A" w:rsidP="00B4512A">
      <w:r>
        <w:t xml:space="preserve">Мин. уставный капитал коммерческих банков </w:t>
      </w:r>
      <w:r>
        <w:tab/>
        <w:t>(с 2025 г.)</w:t>
      </w:r>
      <w:r>
        <w:tab/>
        <w:t>500 млрд сумов</w:t>
      </w:r>
    </w:p>
    <w:p w:rsidR="00B4512A" w:rsidRDefault="00B4512A" w:rsidP="00B4512A">
      <w:r>
        <w:t>Мин. уставный капитал микрофинансовых банков</w:t>
      </w:r>
      <w:r>
        <w:tab/>
        <w:t>50 млрд сумов</w:t>
      </w:r>
    </w:p>
    <w:p w:rsidR="00B4512A" w:rsidRDefault="00B4512A" w:rsidP="00B4512A"/>
    <w:p w:rsidR="00B4512A" w:rsidRDefault="00B4512A" w:rsidP="00B4512A">
      <w:r>
        <w:t>Источник: Таблица составлена автором на основе: Закона РУз «О центральном банке Республики Узбекистан» (ЗРУз-582), Закона РУз «О банках и банковской деятельности» (ЗРУз-580) и официальных данных Центрального банка Респбулики Узбекистан</w:t>
      </w:r>
    </w:p>
    <w:p w:rsidR="00B4512A" w:rsidRDefault="00B4512A" w:rsidP="00B4512A"/>
    <w:p w:rsidR="00B4512A" w:rsidRDefault="00B4512A" w:rsidP="00B4512A">
      <w:r>
        <w:t>Узбекистан активно развивает свой экспортный потенциал, делая ставку на диверсификацию экспортной продукции и освоение новых рынков.Основными экспортными товарами являются хлопок, золото, природный газ, автомобили, текстильная продукция и сельскохозяйственные товары.В то же время, страна импортирует машины и оборудование, химическую продукцию, продовольствие и потребительские товары.Торговый баланс Узбекистана традиционно характеризуется дефицитом, однако, благодаря росту экспорта и усилиям по импортозамещению, наблюдается тенденция к его сокращению.По данным Государственного комитета статистики Узбекистана, объем внешней торговли в 2023 году превысил 40 миллиардов долларов США, при этом экспорт составил около 21 миллиардов долларов, а импорт - почти 26 миллиардов долларов (Рисунок 3.1.3.). Важно отметить, что либерализация валютного рынка и улучшение инвестиционного климата способствуют росту объемов внешней торговли и привлечению инвестиций.</w:t>
      </w:r>
    </w:p>
    <w:p w:rsidR="00B4512A" w:rsidRDefault="00B4512A" w:rsidP="00B4512A"/>
    <w:p w:rsidR="00B4512A" w:rsidRDefault="00B4512A" w:rsidP="00B4512A">
      <w:r>
        <w:t>Рисунок 3.1.3. Экспорт и импорт Узбекистана (2011-2024)</w:t>
      </w:r>
    </w:p>
    <w:p w:rsidR="00B4512A" w:rsidRDefault="00B4512A" w:rsidP="00B4512A">
      <w:r>
        <w:t>Источник: График составлен автором на основе статистических данных Всемирного банка и отражает динамику экспорта и импорта Узбекистана, выраженного в миллионах долларов США, за период 2011-2024 гг.[88]</w:t>
      </w:r>
    </w:p>
    <w:p w:rsidR="00B4512A" w:rsidRDefault="00B4512A" w:rsidP="00B4512A"/>
    <w:p w:rsidR="00B4512A" w:rsidRDefault="00B4512A" w:rsidP="00B4512A">
      <w:r>
        <w:t>Проведенный сравнительный анализ монетарных систем ЕС и Узбекистана выявил существенные различия, обусловленные уровнем экономического развития, историческим путем формирования и стратегическими приоритетами. Европейская валютная система, в лице Еврозоны, является примером глубокой монетарной интеграции, основанной на единой валюте и наднациональной монетарной политике.Несмотря на достигнутые успехи, она сталкивается с вызовами, связанными с необходимостью координации фискальной политики и управлением экономическими дисбалансами.</w:t>
      </w:r>
    </w:p>
    <w:p w:rsidR="00B4512A" w:rsidRDefault="00B4512A" w:rsidP="00B4512A">
      <w:r>
        <w:t xml:space="preserve">Узбекистан, в свою очередь, находится на пути активных рыночных преобразований, стремясь к стабилизации макроэкономических показателей, либерализации валютного рынка и интеграции в мировую экономику. Опыт Узбекистана в борьбе с высокой инфляцией, проведении валютной </w:t>
      </w:r>
      <w:r>
        <w:lastRenderedPageBreak/>
        <w:t>либерализации и развитии экспорта представляет интерес для анализа.Высокие темпы экономического роста, снижение инфляции и постепенное укрепление национальной валюты свидетельствуют о положительной динамике.</w:t>
      </w:r>
    </w:p>
    <w:p w:rsidR="00B4512A" w:rsidRDefault="00B4512A" w:rsidP="00B4512A">
      <w:r>
        <w:t>В дальнейшем, при рассмотрении путей совершенствования Европейской валютной системы, важно учитывать уроки, извлеченные из опыта как глубоко интегрированных систем, так и развивающихся экономик. Специфика монетарной политики Узбекистана, особенно в части управления обменным курсом, борьбы с инфляционными ожиданиями и привлечения инвестиций, может предложить уникальные перспективы для возможной адаптации или внедрения отдельных элементов в контексте европейской интеграции, хотя и в значительно трансформированном виде, учитывая разные масштабы и цели.</w:t>
      </w:r>
    </w:p>
    <w:p w:rsidR="00B4512A" w:rsidRDefault="00B4512A" w:rsidP="00B4512A">
      <w:r>
        <w:t xml:space="preserve">3.2. Возможности применения опыта ЕС в монетарной политике Узбекистана (рекомендации по реформам, интеграция </w:t>
      </w:r>
    </w:p>
    <w:p w:rsidR="00B4512A" w:rsidRDefault="00B4512A" w:rsidP="00B4512A">
      <w:r>
        <w:t>в глобальные системы)</w:t>
      </w:r>
    </w:p>
    <w:p w:rsidR="00B4512A" w:rsidRDefault="00B4512A" w:rsidP="00B4512A">
      <w:r>
        <w:t>Формирование и функционирование современной наднациональной валютной системы, такой как Европейская валютная система (ЕВС), представляет собой уникальный исторический и экономический феномен, требующий глубокого осмысления и анализа. Особенно актуальным становится изучение опыта ЕС для стран, стремящихся к модернизации своих национальных валютных систем и интеграции в глобальное экономическое пространство.Республика Узбекистан, находясь на этапе активных экономических реформ, имеет потенциал для заимствования и адаптации отдельных элементов Европейской модели, при этом сохраняя свою национальную специфику и учитывая текущие вызовы.</w:t>
      </w:r>
    </w:p>
    <w:p w:rsidR="00B4512A" w:rsidRDefault="00B4512A" w:rsidP="00B4512A">
      <w:r>
        <w:t xml:space="preserve">Анализ монетарной политики ЕС: уроки для Узбекистана. Европейская валютная система, введенная в 1979 году, стала важным этапом на пути к экономической и валютной интеграции стран Европейского экономического сообщества.Ее основные цели включали стабилизацию обменных курсов, снижение инфляции и содействие более тесной экономической координации.Ключевыми механизмами ЕВС являлись: установление фиксированных, но корректируемых обменных курсов между валютами стран-участниц (механизм обменных курсов - ERM), создание Европейской валютной единицы (ЭКЮ), а также наличие механизма кредитной поддержки. </w:t>
      </w:r>
    </w:p>
    <w:p w:rsidR="00B4512A" w:rsidRDefault="00B4512A" w:rsidP="00B4512A">
      <w:r>
        <w:t>С момента своего основания ЕВС прошла через несколько этапов трансформации, кульминацией которых стало введение единой Европейской валюты - евро в 1999 году (безналичный расчет) и 2002 году (наличный расчет) для подавляющего большинства стран-членов.Создание Еврозоны стало не только техническим шагом, но и символом глубокой экономической и политической интеграции, предполагающей наличие единой монетарной политики, осуществляемой Европейским центральным банком (ЕЦБ).</w:t>
      </w:r>
    </w:p>
    <w:p w:rsidR="00B4512A" w:rsidRDefault="00B4512A" w:rsidP="00B4512A">
      <w:r>
        <w:t xml:space="preserve">Важность стабильности цен: ЕЦБ с момента своего создания ставит своей главной целью обеспечение ценовой стабильности.Эта цель является краеугольным камнем доверия к евро как к валюте и фундаментом для устойчивого экономического роста.Для Узбекистана, ориентированного на снижение инфляции и обеспечение макроэкономической стабильности, опыт ЕЦБ в проведении независимой и ориентированной на ценовую стабильность монетарной политики является чрезвычайно ценным. </w:t>
      </w:r>
    </w:p>
    <w:p w:rsidR="00B4512A" w:rsidRDefault="00B4512A" w:rsidP="00B4512A">
      <w:r>
        <w:t xml:space="preserve">Координация экономической политики: Успех Еврозоны во многом определяется согласованностью фискальной и структурной политики стран-членов.Несмотря на наличие единой монетарной </w:t>
      </w:r>
      <w:r>
        <w:lastRenderedPageBreak/>
        <w:t xml:space="preserve">политики, фискальные правила (например, Пакт стабильности и роста) направлены на предотвращение чрезмерного бюджетного дефицита и государственного долга, которые могли бы подорвать стабильность Еврозоны.Это подчеркивает необходимость комплексного подхода, где монетарная политика тесно связана с фискальной и структурными реформами. </w:t>
      </w:r>
    </w:p>
    <w:p w:rsidR="00B4512A" w:rsidRDefault="00B4512A" w:rsidP="00B4512A">
      <w:r>
        <w:t>Эволюция механизмов: ЕВС не была статичной системой. Постоянное развитие и адаптация к меняющимся экономическим реалиям, включая кризисы, демонстрируют важность гибкости и готовности к реформам.Трансформация от ERM к Еврозоне показывает, что углубление интеграции требует готовности идти на беспрецедентные шаги.[89]</w:t>
      </w:r>
    </w:p>
    <w:p w:rsidR="00B4512A" w:rsidRDefault="00B4512A" w:rsidP="00B4512A">
      <w:r>
        <w:t>Независимость центрального банка: Сильная и независимая институциональная структура центрального банка является критически важной для проведения последовательной и эффективной монетарной политики. ЕЦБ обладает высокой степенью независимости от политического давления, что позволяет ему принимать решения, направленные на достижение долгосрочных целей ценовой стабильности.80</w:t>
      </w:r>
    </w:p>
    <w:p w:rsidR="00B4512A" w:rsidRDefault="00B4512A" w:rsidP="00B4512A">
      <w:r>
        <w:t xml:space="preserve">Специфика монетарной политики Узбекистана и возможности адаптации. Монетарная политика Узбекистана претерпела значительные изменения в последние годы. Переход от административных методов регулирования к рыночным, либерализация валютного курса, постепенное снижение инфляции и переход к инфляционному таргетированию свидетельствуют о стремлении к повышению эффективности и предсказуемости денежно-кредитной политики. </w:t>
      </w:r>
    </w:p>
    <w:p w:rsidR="00B4512A" w:rsidRDefault="00B4512A" w:rsidP="00B4512A">
      <w:r>
        <w:t>Центральный банк Узбекистана поэтапно внедряет режим инфляционного таргетирования.Это означает, что основная цель монетарной политики - контроль над инфляцией. Для успешного внедрения этого режима необходима дальнейшая институциональная и операционная трансформация, включая повышение прозрачности, улучшение коммуникации с рынком и повышение доверия к действиям центрального банка.</w:t>
      </w:r>
    </w:p>
    <w:p w:rsidR="00B4512A" w:rsidRDefault="00B4512A" w:rsidP="00B4512A">
      <w:r>
        <w:t>После перехода к плавающему валютному курсу, одной из задач является обеспечение его стабильности и предсказуемости, не допуская чрезмерной волатильности, которая может негативно сказаться на экономике.Опыт ЕВС/Еврозоны, где валютная политика является центральным элементом, может предложить подходы к управлению валютными рисками и поддержанию конкурентоспособности национальных производителей.</w:t>
      </w:r>
    </w:p>
    <w:p w:rsidR="00B4512A" w:rsidRDefault="00B4512A" w:rsidP="00B4512A">
      <w:r>
        <w:t>Согласованность монетарной и фискальной политики остается важным фактором. Для достижения целей по инфляции и экономическому росту необходимо поддерживать сбалансированную и ответную фискальную политику.</w:t>
      </w:r>
    </w:p>
    <w:p w:rsidR="00B4512A" w:rsidRDefault="00B4512A" w:rsidP="00B4512A">
      <w:r>
        <w:t xml:space="preserve">Необходимо продолжать работу по укреплению институциональной и операционной независимости Центрального банка, чтобы обеспечить его способность принимать решения, ориентированные на долгосрочную ценовую стабильность, без политического вмешательства.Это включает законодательное закрепление его независимости и подотчетности. </w:t>
      </w:r>
    </w:p>
    <w:p w:rsidR="00B4512A" w:rsidRDefault="00B4512A" w:rsidP="00B4512A">
      <w:r>
        <w:t>Центральный банк должен активно развивать свои коммуникационные стратегии, предоставляя рынку четкую и своевременную информацию о своих намерениях, анализе экономической ситуации и принятых решениях.Это повысит прозрачность и предсказуемость монетарной политики, что является ключевым элементом инфляционного таргетирования.</w:t>
      </w:r>
    </w:p>
    <w:p w:rsidR="00B4512A" w:rsidRDefault="00B4512A" w:rsidP="00B4512A">
      <w:r>
        <w:lastRenderedPageBreak/>
        <w:t>Системы, подобные европейской, построены на высоком уровне доверия к институтам.Узбекистану следует стремиться к аналогичному уровню прозрачности в деятельности монетарных органов и фискальных ведомств.</w:t>
      </w:r>
    </w:p>
    <w:p w:rsidR="00B4512A" w:rsidRDefault="00B4512A" w:rsidP="00B4512A">
      <w:r>
        <w:t>Для повышения эффективности монетарной политики необходимо продолжить углубление координации между Центральным банком и правительством.Важно, чтобы фискальная политика была ориентирована на поддержку целей по снижению инфляции и обеспечению макрофинансовой стабильности.</w:t>
      </w:r>
    </w:p>
    <w:p w:rsidR="00B4512A" w:rsidRDefault="00B4512A" w:rsidP="00B4512A">
      <w:r>
        <w:t>Хотя полный переход к единой валюте, как в Еврозоне, для Узбекистана не является ближайшей целью, опыт ЕВС в части создания переходных механизмов, таких как ERM, может быть интересен в контексте региональной валютной кооперации. В более долгосрочной перспективе, по мере углубления интеграции с другими странами, могут рассматриваться различные формы валютной кооперации.</w:t>
      </w:r>
    </w:p>
    <w:p w:rsidR="00B4512A" w:rsidRDefault="00B4512A" w:rsidP="00B4512A">
      <w:r>
        <w:t xml:space="preserve">Для полного раскрытия потенциала монетарной политики и достижения устойчивого экономического роста, Узбекистану необходимо продолжать работу по интеграции в глобальные финансовые системы.Это включает развитие банковского сектора, совершенствование платежных систем, привлечение иностранных инвестиций и обеспечение конвертируемости национальной валюты. Опыт ЕС, особенно в контексте создания единого финансового рынка, может служить ориентиром. </w:t>
      </w:r>
    </w:p>
    <w:p w:rsidR="00B4512A" w:rsidRDefault="00B4512A" w:rsidP="00B4512A">
      <w:r>
        <w:t>Интеграция в глобальные валютные и финансовые системы является ключевым аспектом модернизации монетарной политики Узбекистана.Глобализация финансовых рынков открывает новые возможности для привлечения инвестиций, развития экспортного потенциала и повышения конкурентоспособности национальной экономики.[90]</w:t>
      </w:r>
    </w:p>
    <w:p w:rsidR="00B4512A" w:rsidRDefault="00B4512A" w:rsidP="00B4512A">
      <w:r>
        <w:t>Постепенное снятие ограничений на движение капитала, при одновременном развитии механизмов управления валютными рисками, позволит привлечь прямые иностранные инвестиции и способствовать развитию отечественных предприятий.Важно, чтобы этот процесс был управляемым и учитывал национальные интересы.90</w:t>
      </w:r>
    </w:p>
    <w:p w:rsidR="00B4512A" w:rsidRDefault="00B4512A" w:rsidP="00B4512A">
      <w:r>
        <w:t>Активное взаимодействие с Международным валютным фондом, Всемирным банком и другими международными финансовыми институтами, а также участие в региональных объединениях, позволяет Узбекистану получать экспертную поддержку, доступ к финансированию и передовым знаниям в области монетарной политики и финансового регулирования.</w:t>
      </w:r>
    </w:p>
    <w:p w:rsidR="00B4512A" w:rsidRDefault="00B4512A" w:rsidP="00B4512A">
      <w:r>
        <w:t xml:space="preserve">Внедрение современных, эффективных и безопасных национальных платежных систем, а также их интеграция с международными системами, является необходимым условием для снижения транзакционных издержек, ускорения расчетов и повышения инвестиционной привлекательности страны. </w:t>
      </w:r>
    </w:p>
    <w:p w:rsidR="00B4512A" w:rsidRDefault="00B4512A" w:rsidP="00B4512A">
      <w:r>
        <w:t>Полная конвертируемость узбекского сума является важным шагом на пути к интеграции в глобальную финансовую систему.Это облегчит международную торговлю, привлечение инвестиций и повысит статус национальной валюты.Однако этот процесс требует тщательного планирования и обеспечения макроэкономической стабильности.</w:t>
      </w:r>
    </w:p>
    <w:p w:rsidR="00B4512A" w:rsidRDefault="00B4512A" w:rsidP="00B4512A">
      <w:r>
        <w:t xml:space="preserve">Модель ЕС, особенно Еврозоны, представляет собой пример глубочайшей интеграции, где государства делегировали часть своего суверенитета наднациональным органам в области монетарной политики. Для Узбекистана, учитывая его текущий этап развития и размеры экономики, </w:t>
      </w:r>
      <w:r>
        <w:lastRenderedPageBreak/>
        <w:t>такой уровень интеграции не является непосредственной целью.Однако, отдельные элементы и принципы, лежащие в основе ЕВС, могут быть адаптированы:</w:t>
      </w:r>
    </w:p>
    <w:p w:rsidR="00B4512A" w:rsidRDefault="00B4512A" w:rsidP="00B4512A">
      <w:r>
        <w:t>Решения в ЕС принимаются исходя из общей экономической выгоды для всех участников, а не только для отдельных стран.Узбекистану следует также ориентироваться на долгосрочные экономические интересы всей страны при принятии решений в монетарной сфере.</w:t>
      </w:r>
    </w:p>
    <w:p w:rsidR="00B4512A" w:rsidRDefault="00B4512A" w:rsidP="00B4512A">
      <w:r>
        <w:t>Даже при наличии национальной валюты, страны ЕС координируют свою фискальную и структурную политику.Узбекистану важно развивать механизмы такой координации на национальном уровне между различными государственными органами.</w:t>
      </w:r>
    </w:p>
    <w:p w:rsidR="00B4512A" w:rsidRDefault="00B4512A" w:rsidP="00B4512A">
      <w:r>
        <w:t xml:space="preserve">Основой успеха ЕС является высокое доверие к его институтам. Узбекистану следует работать над повышением прозрачности, подотчетности и предсказуемости действий своих финансовых регуляторов для формирования соответствующего уровня доверия со стороны граждан, бизнеса и международных партнеров. </w:t>
      </w:r>
    </w:p>
    <w:p w:rsidR="00B4512A" w:rsidRDefault="00B4512A" w:rsidP="00B4512A">
      <w:r>
        <w:t xml:space="preserve">Применение опыта Европейского Союза в формировании и функционировании монетарной политики Узбекистана является перспективным направлением.Опыт ЕС демонстрирует важность ценовой стабильности, независимости центрального банка, координации экономической политики и постоянной адаптации.Узбекистан, стремясь к модернизации, может использовать эти уроки для укрепления своей национальной валютной системы, достижения макроэкономической стабильности и успешной интеграции в глобальное экономическое пространство.Ключевым является не слепое копирование, а адаптация лучших практик с учетом национальных особенностей и экономических реалий. </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ЗАКЛЮЧЕНИЕ</w:t>
      </w:r>
    </w:p>
    <w:p w:rsidR="00B4512A" w:rsidRDefault="00B4512A" w:rsidP="00B4512A">
      <w:r>
        <w:t>Данный выпускной квалификационный проект был направлен на всестороннее изучение становления и специфики работы нынешней Европейской валютной системы.В рамках проведенного анализа были рассмотрены фундаментальные положения, исторический контекст, организационная структура, а также актуальные проблемы и перспективы ЕВС, призванные определить главные факторы успеха и наметить пути дальнейшего развития.Материалом для исследования послужили многочисленные научные труды, законодательные акты Европейского Союза и статистические сведения от ведущих мировых организаций.</w:t>
      </w:r>
    </w:p>
    <w:p w:rsidR="00B4512A" w:rsidRDefault="00B4512A" w:rsidP="00B4512A">
      <w:r>
        <w:lastRenderedPageBreak/>
        <w:t>Становление Европейской валютной системы стало закономерным итогом продолжительного развития международных валютных взаимоотношений и эволюции отдельных государств, а не случайным событием.Осознание недостатков национальных валютных механизмов в условиях усиливающихся глобализационных процессов, а также негативный опыт мировых валютных кризисов, побудили страны Европы к поиску новых форматов взаимодействия.Основными стимулами к этому послужили стремление к макроэкономической стабильности, политическая решимость к интеграции, научные изыскания в области оптимальных валютных зон и, в конечном итоге, Маастрихтский договор 1992 года, заложивший правовую основу этапов формирования Экономического и валютного союза.Тем не менее, стоит признать, что первоначально ЕВС, как и последующий ЭВС, была спроектирована с расчетом на благоприятные условия, предполагая добросовестное соблюдение фискальных обязательств государствами-участниками, что сделало систему уязвимой к непредвиденным экономическим потрясениям.</w:t>
      </w:r>
    </w:p>
    <w:p w:rsidR="00B4512A" w:rsidRDefault="00B4512A" w:rsidP="00B4512A">
      <w:r>
        <w:t>Европейская валютная система в ее нынешнем виде представляет собой комплексную, эшелонированную организацию, в которой первостепенное значение придается наднациональным органам.Центральным элементом этой системы выступает Европейский центральный банк, которому вменена в обязанность прежде всего обеспечение стабильности цен в Еврозоне, что интерпретируется как инфляция на уровне 2% в среднесрочной перспективе.Основные положения, регулирующие деятельность Европейской валютной системы и зафиксированные в учредительных документах Европейского Союза, выделяют ее самобытность: самостоятельный статус ЕЦБ, категория запрещенных мер, к которым относится монетарное финансирование, унификация монетарно-кредитной политики и децентрализация фискальной политики.Эти фундаментальные установки, являясь основой успешного функционирования ЕВС, одновременно создают и ее слабые стороны.</w:t>
      </w:r>
    </w:p>
    <w:p w:rsidR="00B4512A" w:rsidRDefault="00B4512A" w:rsidP="00B4512A">
      <w:r>
        <w:t>В настоящее время экономическое состояние Еврозоны характеризуется как существенными достижениями, так и нерешенными проблемами.Среди положительных моментов можно отметить устойчивость евро, высокий уровень финансовой интеграции, способность ЕВС адаптироваться к различным кризисным ситуациям на институциональном уровне и процесс расширения членского состава.Тем не менее, дисбаланс в управленческих функциях, недостаточная интеграция в фискальной и банковской сферах, повышенные инфляционные показатели, угрозы на геополитической арене и демографические трудности продолжают оставаться актуальными задачами.</w:t>
      </w:r>
    </w:p>
    <w:p w:rsidR="00B4512A" w:rsidRDefault="00B4512A" w:rsidP="00B4512A">
      <w:r>
        <w:t>Изучение Европейской валютной системы (ЕВС) вкупе с монетарными стратегиями Узбекистана раскрывает как существенные расхождения, так и определенные сходства в целях, стоящих перед управляющими органами. Накопленный ЕВС опыт способен стать источником ценной информации для Узбекистана, особенно в сферах обеспечения автономии центробанка, согласования бюджетно-налоговой и денежно-кредитной политики, поэтапной интеграции и внедрения цифровых технологий.</w:t>
      </w:r>
    </w:p>
    <w:p w:rsidR="00B4512A" w:rsidRDefault="00B4512A" w:rsidP="00B4512A">
      <w:r>
        <w:t xml:space="preserve">Размышляя о будущем развитии Европейской валютной системы, важно подчеркнуть её непрерывную трансформацию.Ключевыми векторами этой эволюции являются завершение формирования Банковского союза, усиление бюджетной интеграции, эмиссия цифрового евро и учёт аспектов «зеленой» экономики. ЕВС представляет собой амбициозный проект, наглядно демонстрирующий реализуемость глубокой экономической интеграции.Её путь характеризуется как достижениями, так и серьезными трудностями, обусловленными внутренними структурными дилеммами и внешними потрясениями.Главный вывод, который можно сделать из опыта функционирования ЕВС, заключается в осознании того, что валютный союз, не сопровождающийся </w:t>
      </w:r>
      <w:r>
        <w:lastRenderedPageBreak/>
        <w:t>одновременным развитием бюджетного и политического объединения, неизбежно сопряжен с рисками. Тем не менее, именно эти риски и вызовы подталкивают институты к постоянному совершенствованию и поиску новаторских подходов.Дальнейшее развитие ЕВС будет напрямую зависеть от способности европейских лидеров преодолевать внутренние разногласия и адекватно отвечать на глобальные вызовы.</w:t>
      </w:r>
    </w:p>
    <w:p w:rsidR="00B4512A" w:rsidRDefault="00B4512A" w:rsidP="00B4512A">
      <w:r>
        <w:t>Проведенный сравнительный анализ монетарных систем выявил точки конвергенции в законодательстве Республики Узбекистан и принципах функционирования ЕВС.На основе законов, опубликованных на Lex.uz, выделяются следующие ключевые аспекты адаптации европейского опыта:</w:t>
      </w:r>
    </w:p>
    <w:p w:rsidR="00B4512A" w:rsidRDefault="00B4512A" w:rsidP="00B4512A">
      <w:r>
        <w:t>Укрепление независимости регулятора. Согласно Закону ЗРУ-582 «О Центральном банке», регулятор в Узбекистане наделен правом принимать решения независимо от других органов власти.Это прямо коррелирует с принципами Статьи 130 ТФЕС, обеспечивающими технократическую автономию ЕЦБ.Узбекистану следует продолжать курс на законодательное закрепление исключительного мандата ЦБУ на обеспечение ценовой стабильности как приоритетной цели (Статья 5 ЗРУ-582).</w:t>
      </w:r>
    </w:p>
    <w:p w:rsidR="00B4512A" w:rsidRDefault="00B4512A" w:rsidP="00B4512A">
      <w:r>
        <w:t>Рыночное курсообразование и либерализация. В соответствии со Статьей 8 Закона ЗРУ-573 «О валютном регулировании», в Узбекистане при определении курса сума используются исключительно рыночные механизмы.Опыт ЕВС показывает, что для стабильности национальной валюты в условиях открытой экономики критически важна «прозрачность ожиданий» и наличие достаточных международных резервов (достигших в РУз 70 млрд долларов к 2026 году).</w:t>
      </w:r>
    </w:p>
    <w:p w:rsidR="00B4512A" w:rsidRDefault="00B4512A" w:rsidP="00B4512A">
      <w:r>
        <w:t>Управление рисками и валютной позицией. Особое значение для банковского сектора Узбекистана имеет имплементация европейских стандартов пруденциального надзора.Новая редакция «Правил ведения открытой валютной позиции» (рег. номер 3301-1 от 24.09.2025 г.) является практическим шагом к минимизации системных рисков.Узбекистану рекомендуется внедрять методы «стресс-тестирования ликвидности», аналогичные тем, что применяются в рамках Единого механизма надзора (SSM) в ЕС.</w:t>
      </w:r>
    </w:p>
    <w:p w:rsidR="00B4512A" w:rsidRDefault="00B4512A" w:rsidP="00B4512A">
      <w:r>
        <w:t>Цифровая трансформация и CBDC. Учитывая переход ЕВС к подготовке запуска цифрового евро, для Узбекистана актуальным становится ускорение изучения внедрения «Цифрового сума». Это позволит повысить эффективность трансграничных расчетов и снизить зависимость от внешних финансовых шоков, аналогично тому, как система TIPS обеспечивает мгновенные платежи в Европе.</w:t>
      </w:r>
    </w:p>
    <w:p w:rsidR="00B4512A" w:rsidRDefault="00B4512A" w:rsidP="00B4512A">
      <w:r>
        <w:t>Главный итог исследования заключается в том, что Европейская валютная система служит для Узбекистана не просто эталоном, а сложной «дорожной картой».Для обеспечения устойчивого экономического роста (прогнозируемого на уровне 5-6% в 2025-2026 гг.) республике необходимо продолжать гармонизацию национального законодательства с лучшими мировыми практиками, обеспечивая баланс между либерализацией валютного рынка и жестким макропруденциальным контролем</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СПИСОК ИСПОЛЬЗОВАННОЙ ЛИТЕРАТУРЫ:</w:t>
      </w:r>
    </w:p>
    <w:p w:rsidR="00B4512A" w:rsidRDefault="00B4512A" w:rsidP="00B4512A">
      <w:r>
        <w:t>I.Постановления и указы Президента Республики Узбекистан:</w:t>
      </w:r>
    </w:p>
    <w:p w:rsidR="00B4512A" w:rsidRDefault="00B4512A" w:rsidP="00B4512A">
      <w:r>
        <w:t xml:space="preserve">1.1.Постановление правления Центрального банка Республики Узбекистан №3301 Об утверждение правил ведения открытой валютной позиции (7 мая 2021г.) - https://lex.uz/ru/docs/5421572 </w:t>
      </w:r>
    </w:p>
    <w:p w:rsidR="00B4512A" w:rsidRDefault="00B4512A" w:rsidP="00B4512A">
      <w:r>
        <w:t xml:space="preserve">1.2.Закон Республики Узбекистан №573 о Внесение изменений и дополнений в закон Республики Узбекистан «О валютном регулирование» (22 июля 2019г.)- https://lex.uz/ru/docs/4562846 </w:t>
      </w:r>
    </w:p>
    <w:p w:rsidR="00B4512A" w:rsidRDefault="00B4512A" w:rsidP="00B4512A">
      <w:r>
        <w:t xml:space="preserve">1.3.Закон Республики Узбекистан №580 о Внесение изменений и дополнений в закон Республики Узбекистан «О банках и банковской деятельности» (22 июля 2019г.)- https://lex.uz/ru/docs/4581971 </w:t>
      </w:r>
    </w:p>
    <w:p w:rsidR="00B4512A" w:rsidRDefault="00B4512A" w:rsidP="00B4512A">
      <w:r>
        <w:t xml:space="preserve">1.4.Закон Республики Узбекистан №582 о Внесение изменений и дополнений в закон Республики Узбекистан «О центральном банке Республики Узбекистан» (17 августа 2019г.)- https://lex.uz/ru/docs/4590456 </w:t>
      </w:r>
    </w:p>
    <w:p w:rsidR="00B4512A" w:rsidRDefault="00B4512A" w:rsidP="00B4512A"/>
    <w:p w:rsidR="00B4512A" w:rsidRDefault="00B4512A" w:rsidP="00B4512A">
      <w:r>
        <w:t>II.Научно-теоретические и академические источники:</w:t>
      </w:r>
    </w:p>
    <w:p w:rsidR="00B4512A" w:rsidRDefault="00B4512A" w:rsidP="00B4512A">
      <w:r>
        <w:t>2.1.Mundell R. A Theory of Optimum Currency Areas: article.- American Economic Review, Vol. 51, No. 4, 1961- https://www.jstor.org/stable/1812792</w:t>
      </w:r>
    </w:p>
    <w:p w:rsidR="00B4512A" w:rsidRDefault="00B4512A" w:rsidP="00B4512A">
      <w:r>
        <w:t>2.2.Alesina A., Barro R. Currency Unions: article.- Quarterly Journal of Economics, Vol. 117, Issue 2, 2002 - https://academic.oup.com/qje/article-abstract/117/2/409/1879793</w:t>
      </w:r>
    </w:p>
    <w:p w:rsidR="00B4512A" w:rsidRDefault="00B4512A" w:rsidP="00B4512A">
      <w:r>
        <w:t>2.3.Werner P. Report to the Council and the Commission on the Realisation by Stages of Economic and Monetary Union in the Community - Luxembourg, 1970 - P.11</w:t>
      </w:r>
    </w:p>
    <w:p w:rsidR="00B4512A" w:rsidRDefault="00B4512A" w:rsidP="00B4512A">
      <w:r>
        <w:t>2.4.Delors J. Report on Economic and Monetary Union in the European Community.- Luxembourg: Office for Official Publications of the EC, 1989 - P.18</w:t>
      </w:r>
    </w:p>
    <w:p w:rsidR="00B4512A" w:rsidRDefault="00B4512A" w:rsidP="00B4512A">
      <w:r>
        <w:t>2.5.Lagarde C. Speech at the ECB Forum on Central Banking - Frankfurt am Main, 2022</w:t>
      </w:r>
    </w:p>
    <w:p w:rsidR="00B4512A" w:rsidRDefault="00B4512A" w:rsidP="00B4512A">
      <w:r>
        <w:t>2.6.Pisani-Ferry J. The Euro Crisis and Its Aftermath - Oxford University Press, 2014 - P.78</w:t>
      </w:r>
    </w:p>
    <w:p w:rsidR="00B4512A" w:rsidRDefault="00B4512A" w:rsidP="00B4512A">
      <w:r>
        <w:t>2.7.Gopinath G. The International Role of the Euro IMF Working Paper - Washington, 2020 - P.5</w:t>
      </w:r>
    </w:p>
    <w:p w:rsidR="00B4512A" w:rsidRDefault="00B4512A" w:rsidP="00B4512A">
      <w:r>
        <w:t xml:space="preserve">2.8.Draghi M. Economic and Monetary Union: past and present: speech.- Berlin: </w:t>
      </w:r>
    </w:p>
    <w:p w:rsidR="00B4512A" w:rsidRDefault="00B4512A" w:rsidP="00B4512A">
      <w:r>
        <w:t>European Central Bank, 2018 -</w:t>
      </w:r>
    </w:p>
    <w:p w:rsidR="00B4512A" w:rsidRDefault="00B4512A" w:rsidP="00B4512A">
      <w:r>
        <w:t>https://www.ecb.europa.eu/press/key/date/2018/html/ecb.sp181215.en.html</w:t>
      </w:r>
    </w:p>
    <w:p w:rsidR="00B4512A" w:rsidRDefault="00B4512A" w:rsidP="00B4512A">
      <w:r>
        <w:t>2.9.Ferdinandusse M., von Thadden L. Monetary-fiscal policy interactions in the euro area: Occasional Paper No 273 - Frankfurt am Main: ECB, 2021 - https://www.ecb.europa.eu/pub/pdf/scpops/ecb.op273~fae24ce432.en.pdf</w:t>
      </w:r>
    </w:p>
    <w:p w:rsidR="00B4512A" w:rsidRDefault="00B4512A" w:rsidP="00B4512A">
      <w:r>
        <w:lastRenderedPageBreak/>
        <w:t>2.10.Абдуллаева Ш.А. Банковское дело: учебник. - Ташкент: Иктисод-Молия, 2017 - https://library.tsue.uz/</w:t>
      </w:r>
    </w:p>
    <w:p w:rsidR="00B4512A" w:rsidRDefault="00B4512A" w:rsidP="00B4512A">
      <w:r>
        <w:t>2.11.Нурмуратов М.Б. Приоритеты денежно-кредитной политики и стабильность банковской системы: доклад председателя правления ЦБУ.- Ташкент: ЦБУ, 2025. - https://cbu.uz/ru/press_center/speeches/</w:t>
      </w:r>
    </w:p>
    <w:p w:rsidR="00B4512A" w:rsidRDefault="00B4512A" w:rsidP="00B4512A">
      <w:r>
        <w:t>2.12.Ишметов Т.А. Реформы валютного рынка и либерализация внешнеэкономической деятельности в Узбекистане: аналитическая статья.- Ташкент: Lex.uz, 2024 - https://lex.uz/</w:t>
      </w:r>
    </w:p>
    <w:p w:rsidR="00B4512A" w:rsidRDefault="00B4512A" w:rsidP="00B4512A">
      <w:r>
        <w:t>2.13.Омонов А.А. Валютное регулирование и контроль в Республике Узбекистан: учебное пособие. - Ташкент: ТФИ, 2021- http://library.tfi.uz/</w:t>
      </w:r>
    </w:p>
    <w:p w:rsidR="00B4512A" w:rsidRDefault="00B4512A" w:rsidP="00B4512A">
      <w:r>
        <w:t>2.14.Мустафакулов Д. Пути обеспечения стабильности национальной валюты в условиях геоэкономической фрагментации: монография.- Самарканд: Изд-во СамИСИ, 2023 - https://cbu.uz/ru/statistics/</w:t>
      </w:r>
    </w:p>
    <w:p w:rsidR="00B4512A" w:rsidRDefault="00B4512A" w:rsidP="00B4512A">
      <w:r>
        <w:t>2.15.Олимжонов Б., Маматов З. Современные тенденции развития мировой валютной системы и интересы Узбекистана: статья.- Ташкент: Экономика и финансы, 2022 - https://yuz.uz/ru/news/</w:t>
      </w:r>
    </w:p>
    <w:p w:rsidR="00B4512A" w:rsidRDefault="00B4512A" w:rsidP="00B4512A">
      <w:r>
        <w:t xml:space="preserve">2.16.Создание Европейского союза - https://studref.com/640940/ekonomika/sozdanie_evropeyskogo_soyuza </w:t>
      </w:r>
    </w:p>
    <w:p w:rsidR="00B4512A" w:rsidRDefault="00B4512A" w:rsidP="00B4512A">
      <w:r>
        <w:t>2.17.What is the euro area? - European Commission - https://economy-finance.ec.europa.eu/euro/what-euro-area_en</w:t>
      </w:r>
    </w:p>
    <w:p w:rsidR="00B4512A" w:rsidRDefault="00B4512A" w:rsidP="00B4512A">
      <w:r>
        <w:t>2.18.Understanding the Economic and Monetary Union - https://www.consilium.europa.eu/en/policies/history-euro-timeline/</w:t>
      </w:r>
    </w:p>
    <w:p w:rsidR="00B4512A" w:rsidRDefault="00B4512A" w:rsidP="00B4512A">
      <w:r>
        <w:t xml:space="preserve">2.19.The international role of the euro, ECB - https://www.ecb.europa.eu/pub/ire/html/index.en.html </w:t>
      </w:r>
    </w:p>
    <w:p w:rsidR="00B4512A" w:rsidRDefault="00B4512A" w:rsidP="00B4512A">
      <w:r>
        <w:t xml:space="preserve">2.20.How did we get to a single currency?-https://www.consilium.europa.eu/en/documents-publications/library/library-blog/posts/how-did-we-get-to-a-single-currency/ </w:t>
      </w:r>
    </w:p>
    <w:p w:rsidR="00B4512A" w:rsidRDefault="00B4512A" w:rsidP="00B4512A">
      <w:r>
        <w:t xml:space="preserve">2.21.International Monetary Found -  https://data.imf.org/en/news/imf%20data%20brief%20march%2027 </w:t>
      </w:r>
    </w:p>
    <w:p w:rsidR="00B4512A" w:rsidRDefault="00B4512A" w:rsidP="00B4512A">
      <w:r>
        <w:t xml:space="preserve">2.22.Joining the euro area - https://www.consilium.europa.eu/en/policies/joining-the-euro-area/convergence-criteria/ </w:t>
      </w:r>
    </w:p>
    <w:p w:rsidR="00B4512A" w:rsidRDefault="00B4512A" w:rsidP="00B4512A">
      <w:r>
        <w:t xml:space="preserve">2.23.Articles - European Central Bank - https://www.ecb.europa.eu/pub/pdf/other/ecb.article202508_dependencies.en.pdf </w:t>
      </w:r>
    </w:p>
    <w:p w:rsidR="00B4512A" w:rsidRDefault="00B4512A" w:rsidP="00B4512A">
      <w:r>
        <w:t xml:space="preserve">2.24.European Central Bank TARGET Services - https://www.ecb.europa.eu/paym/target/html/index.en.html </w:t>
      </w:r>
    </w:p>
    <w:p w:rsidR="00B4512A" w:rsidRDefault="00B4512A" w:rsidP="00B4512A"/>
    <w:p w:rsidR="00B4512A" w:rsidRDefault="00B4512A" w:rsidP="00B4512A">
      <w:r>
        <w:t>III.Официальные источники и специальные доклады:</w:t>
      </w:r>
    </w:p>
    <w:p w:rsidR="00B4512A" w:rsidRDefault="00B4512A" w:rsidP="00B4512A">
      <w:r>
        <w:t>3.1.Сonsolidated version of the Treaty on the Functioning of the European Union: Article 127 - Brussels: EUR-Lex, 2016 - https://eur-lex.europa.eu/legal-content/EN/TXT/?uri=celex%3A12016E127</w:t>
      </w:r>
    </w:p>
    <w:p w:rsidR="00B4512A" w:rsidRDefault="00B4512A" w:rsidP="00B4512A">
      <w:r>
        <w:t>3.2.Banking and Monetary Statistics 1941-1970 - https://fraser.stlouisfed.org/title/banking-monetary-statistics-1941-1970-41</w:t>
      </w:r>
    </w:p>
    <w:p w:rsidR="00B4512A" w:rsidRDefault="00B4512A" w:rsidP="00B4512A">
      <w:r>
        <w:t xml:space="preserve">3.3.European Central Bank - https://www.ecb.europa.eu/home/html/index.en.html </w:t>
      </w:r>
    </w:p>
    <w:p w:rsidR="00B4512A" w:rsidRDefault="00B4512A" w:rsidP="00B4512A">
      <w:r>
        <w:lastRenderedPageBreak/>
        <w:t xml:space="preserve">3.4.Economic and Monetary Union - https://www.ecb.europa.eu/ecb/history/emu/html/index.en.html </w:t>
      </w:r>
    </w:p>
    <w:p w:rsidR="00B4512A" w:rsidRDefault="00B4512A" w:rsidP="00B4512A">
      <w:r>
        <w:t xml:space="preserve">3.5.Our 2025 monetary policy strategy assessment - https://www.ecb.europa.eu/mopo/strategy/html/index.en.html </w:t>
      </w:r>
    </w:p>
    <w:p w:rsidR="00B4512A" w:rsidRDefault="00B4512A" w:rsidP="00B4512A">
      <w:r>
        <w:t xml:space="preserve">3.6.An overview of the ECB's monetary policy strategy - 2025 - https://www.ecb.europa.eu/mopo/strategy/html/index.en.html </w:t>
      </w:r>
    </w:p>
    <w:p w:rsidR="00B4512A" w:rsidRDefault="00B4512A" w:rsidP="00B4512A">
      <w:r>
        <w:t xml:space="preserve">3.7.Occasional Paper Series № 273 - https://www.ecb.europa.eu/pub/pdf/scpops/ecb.op273~fae24ce432.en.pdf </w:t>
      </w:r>
    </w:p>
    <w:p w:rsidR="00B4512A" w:rsidRDefault="00B4512A" w:rsidP="00B4512A">
      <w:r>
        <w:t>3.8.ЕY European Economic Outlook March 2026 -  https://www.ey.com/en_gl/insights/economy/european-economic-outlook-march-2026</w:t>
      </w:r>
    </w:p>
    <w:p w:rsidR="00B4512A" w:rsidRDefault="00B4512A" w:rsidP="00B4512A">
      <w:r>
        <w:t xml:space="preserve">3.9.EY European Economic Outlook - Germany's structural transition -  https://www.ey.com/en_gl/insights/economy/european-economic-outlook-march-2026 </w:t>
      </w:r>
    </w:p>
    <w:p w:rsidR="00B4512A" w:rsidRDefault="00B4512A" w:rsidP="00B4512A">
      <w:r>
        <w:t xml:space="preserve">3.10.Convergence Report, June 2025 - https://www.ecb.europa.eu/pub/pdf/conrep/cr202506.en.pdf </w:t>
      </w:r>
    </w:p>
    <w:p w:rsidR="00B4512A" w:rsidRDefault="00B4512A" w:rsidP="00B4512A">
      <w:r>
        <w:t xml:space="preserve">3.11.Monetary policy decisions - ECB Press Release - https://www.ecb.europa.eu/press/pr/date/2026/html/ecb.mp260205~f0f0f0f0f0.en.html </w:t>
      </w:r>
    </w:p>
    <w:p w:rsidR="00B4512A" w:rsidRDefault="00B4512A" w:rsidP="00B4512A">
      <w:r>
        <w:t>3.12.Annual Report 2023: Digital euro project -  https://www.ecb.europa.eu/pub/pdf/annrep/ecb.ar2023~d033c21ac2.en.pdf</w:t>
      </w:r>
    </w:p>
    <w:p w:rsidR="00B4512A" w:rsidRDefault="00B4512A" w:rsidP="00B4512A">
      <w:r>
        <w:t xml:space="preserve">3.13.Annual Report 2023: Managing financial risks -https://www.ecb.europa.eu/pub/pdf/annrep/ecb.ar2023~d033c21ac2.en.pdf </w:t>
      </w:r>
    </w:p>
    <w:p w:rsidR="00B4512A" w:rsidRDefault="00B4512A" w:rsidP="00B4512A">
      <w:r>
        <w:t xml:space="preserve">3.14.Annual Report 2020 - Jurisdiction of the Court of Justice of the European Union concerning the ECB- https://www.ecb.europa.eu/pub/pdf/annrep/ar2020~4960fb81ae.en.pdf  </w:t>
      </w:r>
    </w:p>
    <w:p w:rsidR="00B4512A" w:rsidRDefault="00B4512A" w:rsidP="00B4512A">
      <w:r>
        <w:t xml:space="preserve">3.15.Autumn 2025 Economic Forecast - Greece details - https://economy-finance.ec.europa.eu/economic-forecast-and-surveys/economic-forecasts/autumn-2025-economic-forecast_en </w:t>
      </w:r>
    </w:p>
    <w:p w:rsidR="00B4512A" w:rsidRDefault="00B4512A" w:rsidP="00B4512A">
      <w:r>
        <w:t xml:space="preserve">3.16.Financial Stability Review, May 2021 - https://www.ecb.europa.eu/pub/pdf/fsr/ecb.fsr202105~73f272a2e7.en.pdf </w:t>
      </w:r>
    </w:p>
    <w:p w:rsidR="00B4512A" w:rsidRDefault="00B4512A" w:rsidP="00B4512A">
      <w:r>
        <w:t xml:space="preserve">GDP and employment flash estimates, Eurostat -  https://ec.europa.eu/eurostat/web/products-euro-indicators/euro-indicators </w:t>
      </w:r>
    </w:p>
    <w:p w:rsidR="00B4512A" w:rsidRDefault="00B4512A" w:rsidP="00B4512A">
      <w:r>
        <w:t xml:space="preserve">3.17.Источник данных - https://databank.worldbank.org/reports.aspx?source=2&amp; </w:t>
      </w:r>
    </w:p>
    <w:p w:rsidR="00B4512A" w:rsidRDefault="00B4512A" w:rsidP="00B4512A">
      <w:r>
        <w:t xml:space="preserve">3.18.Eurostatistics - Eurostat - https://ec.europa.eu/eurostat/statistics-explained/index.php?title=Eurostatistics_-_data_for_short-term_economic_analysis </w:t>
      </w:r>
    </w:p>
    <w:p w:rsidR="00B4512A" w:rsidRDefault="00B4512A" w:rsidP="00B4512A">
      <w:r>
        <w:t xml:space="preserve">3.19.Источник данных - https://ru.investing.com/currencies/eur-usd-historical-data </w:t>
      </w:r>
    </w:p>
    <w:p w:rsidR="00B4512A" w:rsidRDefault="00B4512A" w:rsidP="00B4512A">
      <w:r>
        <w:t xml:space="preserve">3.20.Economic Bulletin Issue 1, 2026 - https://www.ecb.europa.eu/pub/pdf/ecbu/eb202601.en.pdf </w:t>
      </w:r>
    </w:p>
    <w:p w:rsidR="00B4512A" w:rsidRDefault="00B4512A" w:rsidP="00B4512A">
      <w:r>
        <w:t xml:space="preserve">3.21.Economic Bulletin Issue 8, 2025 - https://www.ecb.europa.eu/pub/pdf/ecbu/eb202508.en.pdf </w:t>
      </w:r>
    </w:p>
    <w:p w:rsidR="00B4512A" w:rsidRDefault="00B4512A" w:rsidP="00B4512A">
      <w:r>
        <w:t xml:space="preserve">3.23.Financial stability risks from geoeconomic fragmentation, January 2026 - https://www.ecb.europa.eu/pub/pdf/other/ecb.report202601_financialstabilityrisks.en.pdf </w:t>
      </w:r>
    </w:p>
    <w:p w:rsidR="00B4512A" w:rsidRDefault="00B4512A" w:rsidP="00B4512A">
      <w:r>
        <w:t xml:space="preserve">3.24.Visa Investor Relations - https://investor.visa.com/?utm </w:t>
      </w:r>
    </w:p>
    <w:p w:rsidR="00B4512A" w:rsidRDefault="00B4512A" w:rsidP="00B4512A">
      <w:r>
        <w:lastRenderedPageBreak/>
        <w:t xml:space="preserve">3.25.Mastercard Investor Relations -https://investor.mastercard.com/overview/default.aspx </w:t>
      </w:r>
    </w:p>
    <w:p w:rsidR="00B4512A" w:rsidRDefault="00B4512A" w:rsidP="00B4512A">
      <w:r>
        <w:t xml:space="preserve">3.26.World Bank Group - Uzbekistan -https://www.worldbank.org/ext/en/country/uzbekistan </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ПРИЛОЖЕНИЯ</w:t>
      </w:r>
    </w:p>
    <w:p w:rsidR="00B4512A" w:rsidRDefault="00B4512A" w:rsidP="00B4512A">
      <w:r>
        <w:t>Приложение 1</w:t>
      </w:r>
    </w:p>
    <w:p w:rsidR="00B4512A" w:rsidRDefault="00B4512A" w:rsidP="00B4512A">
      <w:r>
        <w:t>Основные макроэкономические показатели стран Еврозоны и прогнозы на 2025-2026 гг.</w:t>
      </w:r>
    </w:p>
    <w:p w:rsidR="00B4512A" w:rsidRDefault="00B4512A" w:rsidP="00B4512A">
      <w:r>
        <w:t xml:space="preserve">Данная таблица систематизирует данные о темпах роста ВВП и уровне инфляции для ключевых экономик «ядра», стран, прошедших трансформацию, и нового участника системы. </w:t>
      </w:r>
    </w:p>
    <w:p w:rsidR="00B4512A" w:rsidRDefault="00B4512A" w:rsidP="00B4512A">
      <w:r>
        <w:t>Страна / Регион</w:t>
      </w:r>
      <w:r>
        <w:tab/>
        <w:t>Рост ВВП % (2025 г.)</w:t>
      </w:r>
      <w:r>
        <w:tab/>
        <w:t>Рост ВВП % (2026 г., прогноз)</w:t>
      </w:r>
      <w:r>
        <w:tab/>
        <w:t>Инфляция % (2025 г.)</w:t>
      </w:r>
      <w:r>
        <w:tab/>
        <w:t>Инфляция % (2026 г., прогноз)</w:t>
      </w:r>
    </w:p>
    <w:p w:rsidR="00B4512A" w:rsidRDefault="00B4512A" w:rsidP="00B4512A">
      <w:r>
        <w:t>Зона евро (всего)</w:t>
      </w:r>
      <w:r>
        <w:tab/>
        <w:t>1,5</w:t>
      </w:r>
      <w:r>
        <w:tab/>
        <w:t>1,3</w:t>
      </w:r>
      <w:r>
        <w:tab/>
        <w:t>2,1</w:t>
      </w:r>
      <w:r>
        <w:tab/>
        <w:t>1,9</w:t>
      </w:r>
    </w:p>
    <w:p w:rsidR="00B4512A" w:rsidRDefault="00B4512A" w:rsidP="00B4512A">
      <w:r>
        <w:t>Германия</w:t>
      </w:r>
      <w:r>
        <w:tab/>
        <w:t>0,4</w:t>
      </w:r>
      <w:r>
        <w:tab/>
        <w:t>0,6</w:t>
      </w:r>
      <w:r>
        <w:tab/>
        <w:t>2,2</w:t>
      </w:r>
      <w:r>
        <w:tab/>
        <w:t>1,8</w:t>
      </w:r>
    </w:p>
    <w:p w:rsidR="00B4512A" w:rsidRDefault="00B4512A" w:rsidP="00B4512A">
      <w:r>
        <w:t>Франция</w:t>
      </w:r>
      <w:r>
        <w:tab/>
        <w:t>0,9</w:t>
      </w:r>
      <w:r>
        <w:tab/>
        <w:t>1,3</w:t>
      </w:r>
      <w:r>
        <w:tab/>
        <w:t>0,9</w:t>
      </w:r>
      <w:r>
        <w:tab/>
        <w:t>1,2</w:t>
      </w:r>
    </w:p>
    <w:p w:rsidR="00B4512A" w:rsidRDefault="00B4512A" w:rsidP="00B4512A">
      <w:r>
        <w:t>Италия</w:t>
      </w:r>
      <w:r>
        <w:tab/>
        <w:t>0,6</w:t>
      </w:r>
      <w:r>
        <w:tab/>
        <w:t>1,0</w:t>
      </w:r>
      <w:r>
        <w:tab/>
        <w:t>1,5</w:t>
      </w:r>
      <w:r>
        <w:tab/>
        <w:t>1,5</w:t>
      </w:r>
    </w:p>
    <w:p w:rsidR="00B4512A" w:rsidRDefault="00B4512A" w:rsidP="00B4512A">
      <w:r>
        <w:t>Греция</w:t>
      </w:r>
      <w:r>
        <w:tab/>
        <w:t>1,9</w:t>
      </w:r>
      <w:r>
        <w:tab/>
        <w:t>2,3</w:t>
      </w:r>
      <w:r>
        <w:tab/>
        <w:t>2,5</w:t>
      </w:r>
      <w:r>
        <w:tab/>
        <w:t>2,2</w:t>
      </w:r>
    </w:p>
    <w:p w:rsidR="00B4512A" w:rsidRDefault="00B4512A" w:rsidP="00B4512A">
      <w:r>
        <w:t>Болгария (член с 2026 г.)</w:t>
      </w:r>
      <w:r>
        <w:tab/>
        <w:t>3,2</w:t>
      </w:r>
      <w:r>
        <w:tab/>
        <w:t>3,6</w:t>
      </w:r>
      <w:r>
        <w:tab/>
        <w:t>4,6</w:t>
      </w:r>
      <w:r>
        <w:tab/>
        <w:t>3,4</w:t>
      </w:r>
    </w:p>
    <w:p w:rsidR="00B4512A" w:rsidRDefault="00B4512A" w:rsidP="00B4512A"/>
    <w:p w:rsidR="00B4512A" w:rsidRDefault="00B4512A" w:rsidP="00B4512A">
      <w:r>
        <w:t xml:space="preserve">Источник: составлено автором на основе данных EY European Economic Outlook и осеннего прогноза Европейской комиссии. </w:t>
      </w:r>
    </w:p>
    <w:p w:rsidR="00B4512A" w:rsidRDefault="00B4512A" w:rsidP="00B4512A"/>
    <w:p w:rsidR="00B4512A" w:rsidRDefault="00B4512A" w:rsidP="00B4512A">
      <w:r>
        <w:t>Приложение 2</w:t>
      </w:r>
    </w:p>
    <w:p w:rsidR="00B4512A" w:rsidRDefault="00B4512A" w:rsidP="00B4512A">
      <w:r>
        <w:t>Сравнительная хронология расширения зоны евро (1999-2026 гг.)</w:t>
      </w:r>
    </w:p>
    <w:p w:rsidR="00B4512A" w:rsidRDefault="00B4512A" w:rsidP="00B4512A">
      <w:r>
        <w:t>Этот материал наглядно демонстрирует динамику интеграционных процессов, упомянутых в работе.</w:t>
      </w:r>
    </w:p>
    <w:p w:rsidR="00B4512A" w:rsidRDefault="00B4512A" w:rsidP="00B4512A">
      <w:r>
        <w:t>1. 1 января 1999 г. (Основатели): Австрия, Бельгия, Германия, Ирландия, Испания, Италия, Люксембург, Нидерланды, Португалия, Финляндия, Франция (11 стран).</w:t>
      </w:r>
    </w:p>
    <w:p w:rsidR="00B4512A" w:rsidRDefault="00B4512A" w:rsidP="00B4512A">
      <w:r>
        <w:t>2. 1 января 2001 г.: Греция.</w:t>
      </w:r>
    </w:p>
    <w:p w:rsidR="00B4512A" w:rsidRDefault="00B4512A" w:rsidP="00B4512A">
      <w:r>
        <w:t>3. 1 января 2007 г.: Словения.</w:t>
      </w:r>
    </w:p>
    <w:p w:rsidR="00B4512A" w:rsidRDefault="00B4512A" w:rsidP="00B4512A">
      <w:r>
        <w:t>4. 1 января 2008 г.: Кипр и Мальта.</w:t>
      </w:r>
    </w:p>
    <w:p w:rsidR="00B4512A" w:rsidRDefault="00B4512A" w:rsidP="00B4512A">
      <w:r>
        <w:t>5. 1 января 2009 г.: Словакия.</w:t>
      </w:r>
    </w:p>
    <w:p w:rsidR="00B4512A" w:rsidRDefault="00B4512A" w:rsidP="00B4512A">
      <w:r>
        <w:t>6. 1 января 2011 г.: Эстония.</w:t>
      </w:r>
    </w:p>
    <w:p w:rsidR="00B4512A" w:rsidRDefault="00B4512A" w:rsidP="00B4512A">
      <w:r>
        <w:t>7. 1 января 2014 г.: Латвия.</w:t>
      </w:r>
    </w:p>
    <w:p w:rsidR="00B4512A" w:rsidRDefault="00B4512A" w:rsidP="00B4512A">
      <w:r>
        <w:t>8. 1 января 2015 г.: Литва.</w:t>
      </w:r>
    </w:p>
    <w:p w:rsidR="00B4512A" w:rsidRDefault="00B4512A" w:rsidP="00B4512A">
      <w:r>
        <w:t>9. 1 января 2023 г.: Хорватия.</w:t>
      </w:r>
    </w:p>
    <w:p w:rsidR="00B4512A" w:rsidRDefault="00B4512A" w:rsidP="00B4512A">
      <w:r>
        <w:t>10. 1 января 2026 г.: Болгария (21-й участник).</w:t>
      </w:r>
    </w:p>
    <w:p w:rsidR="00B4512A" w:rsidRDefault="00B4512A" w:rsidP="00B4512A"/>
    <w:p w:rsidR="00B4512A" w:rsidRDefault="00B4512A" w:rsidP="00B4512A">
      <w:r>
        <w:t>Приложение 3</w:t>
      </w:r>
    </w:p>
    <w:p w:rsidR="00B4512A" w:rsidRDefault="00B4512A" w:rsidP="00B4512A">
      <w:r>
        <w:t>Матрица сравнения мандатов и инструментов ЕЦБ и Центрального банка Республики Узбекистан</w:t>
      </w:r>
    </w:p>
    <w:p w:rsidR="00B4512A" w:rsidRDefault="00B4512A" w:rsidP="00B4512A">
      <w:r>
        <w:t>Параметр сравнения</w:t>
      </w:r>
      <w:r>
        <w:tab/>
        <w:t>Европейский центральный банк</w:t>
      </w:r>
      <w:r>
        <w:tab/>
        <w:t>Центральный банк Республики Узбекистан</w:t>
      </w:r>
    </w:p>
    <w:p w:rsidR="00B4512A" w:rsidRDefault="00B4512A" w:rsidP="00B4512A">
      <w:r>
        <w:t>Первоочередная цель</w:t>
      </w:r>
      <w:r>
        <w:tab/>
        <w:t xml:space="preserve">Обеспечение стабильности цен (Статья 127(1) TFEU). </w:t>
      </w:r>
      <w:r>
        <w:tab/>
        <w:t>Обеспечение стабильности цен (Статья 5 ЗРУ-582).</w:t>
      </w:r>
    </w:p>
    <w:p w:rsidR="00B4512A" w:rsidRDefault="00B4512A" w:rsidP="00B4512A">
      <w:r>
        <w:t>Статус независимости</w:t>
      </w:r>
      <w:r>
        <w:tab/>
        <w:t>Полная институциональная и финансовая независимость (Статья 130 TFEU).</w:t>
      </w:r>
      <w:r>
        <w:tab/>
        <w:t>Независимость в принятии решений в пределах полномочий (Статья 3 ЗРУ-582).</w:t>
      </w:r>
    </w:p>
    <w:p w:rsidR="00B4512A" w:rsidRDefault="00B4512A" w:rsidP="00B4512A">
      <w:r>
        <w:t>Запрет на кредитование государства</w:t>
      </w:r>
      <w:r>
        <w:tab/>
        <w:t>Прямой запрет на денежное финансирование (Статья 123 TFEU).</w:t>
      </w:r>
      <w:r>
        <w:tab/>
        <w:t>Ограничение на прямое кредитование правительства (в рамках перехода к инфляционному таргетированию).</w:t>
      </w:r>
    </w:p>
    <w:p w:rsidR="00B4512A" w:rsidRDefault="00B4512A" w:rsidP="00B4512A">
      <w:r>
        <w:t>Инструментарий</w:t>
      </w:r>
      <w:r>
        <w:tab/>
        <w:t xml:space="preserve">Процентные ставки, операции на открытом рынке, минимальные резервы, программы выкупа активов (PEPP, TPI). </w:t>
      </w:r>
      <w:r>
        <w:tab/>
        <w:t>Ключевая ставка, валютные интервенции, обязательные резервы, рефинансирование.</w:t>
      </w:r>
    </w:p>
    <w:p w:rsidR="00B4512A" w:rsidRDefault="00B4512A" w:rsidP="00B4512A">
      <w:r>
        <w:lastRenderedPageBreak/>
        <w:t>Цифровые инициативы</w:t>
      </w:r>
      <w:r>
        <w:tab/>
        <w:t>Проект цифрового евро (в стадии подготовки 2023-2026 гг.).</w:t>
      </w:r>
      <w:r>
        <w:tab/>
        <w:t>Разработка концепции «Цифрового сума» (CBDC).</w:t>
      </w:r>
    </w:p>
    <w:p w:rsidR="00B4512A" w:rsidRDefault="00B4512A" w:rsidP="00B4512A"/>
    <w:p w:rsidR="00B4512A" w:rsidRDefault="00B4512A" w:rsidP="00B4512A">
      <w:r>
        <w:t>Источник: составлено автором на основе данных EY European Economic Outlook и закон Республики Узбекистана.</w:t>
      </w:r>
    </w:p>
    <w:p w:rsidR="00B4512A" w:rsidRDefault="00B4512A" w:rsidP="00B4512A"/>
    <w:p w:rsidR="00B4512A" w:rsidRDefault="00B4512A" w:rsidP="00B4512A"/>
    <w:p w:rsidR="00B4512A" w:rsidRDefault="00B4512A" w:rsidP="00B4512A"/>
    <w:p w:rsidR="00B4512A" w:rsidRDefault="00B4512A" w:rsidP="00B4512A"/>
    <w:p w:rsidR="00B4512A" w:rsidRDefault="00B4512A" w:rsidP="00B4512A"/>
    <w:p w:rsidR="00B4512A" w:rsidRDefault="00B4512A" w:rsidP="00B4512A">
      <w:r>
        <w:t>--------------------------FOOTNOTES----------------------------</w:t>
      </w:r>
    </w:p>
    <w:p w:rsidR="00B4512A" w:rsidRDefault="00B4512A" w:rsidP="00B4512A">
      <w:r>
        <w:t>1. What is the euro area?- European Commission - URL: https://economy-finance.ec.europa.eu/euro/what-euro-area_en</w:t>
      </w:r>
    </w:p>
    <w:p w:rsidR="00B4512A" w:rsidRDefault="00B4512A" w:rsidP="00B4512A">
      <w:r>
        <w:t>2. Создание Европейского союза - URL: https://studref.com/640940/ekonomika/sozdanie_evropeyskogo_soyuza</w:t>
      </w:r>
    </w:p>
    <w:p w:rsidR="00B4512A" w:rsidRDefault="00B4512A" w:rsidP="00B4512A">
      <w:r>
        <w:t>3.Создание Европейского союза - URL: https://studref.com/640940/ekonomika/sozdanie_evropeyskogo_soyuza</w:t>
      </w:r>
    </w:p>
    <w:p w:rsidR="00B4512A" w:rsidRDefault="00B4512A" w:rsidP="00B4512A">
      <w:r>
        <w:t>4.Banking and Monetary Statistics 1941-1970 - URL: https://fraser.stlouisfed.org/title/banking-monetary-statistics-1941-1970-41</w:t>
      </w:r>
    </w:p>
    <w:p w:rsidR="00B4512A" w:rsidRDefault="00B4512A" w:rsidP="00B4512A">
      <w:r>
        <w:t>5.Understanding the Economic and Monetary Union - Consilium - URL: https://www.consilium.europa.eu/en/policies/history-euro-timeline/</w:t>
      </w:r>
    </w:p>
    <w:p w:rsidR="00B4512A" w:rsidRDefault="00B4512A" w:rsidP="00B4512A">
      <w:r>
        <w:t>6.Werner P. Report to the Council and the Commission on the Realisation by Stages of Economic and Monetary Union in the Community - Luxembourg, 1970</w:t>
      </w:r>
    </w:p>
    <w:p w:rsidR="00B4512A" w:rsidRDefault="00B4512A" w:rsidP="00B4512A">
      <w:r>
        <w:t>7.How did we get to a single currency? - Consilium - URL: https://www.consilium.europa.eu/en/documents-publications/library/library-blog/posts/how-did-we-get-to-a-single-currency/</w:t>
      </w:r>
    </w:p>
    <w:p w:rsidR="00B4512A" w:rsidRDefault="00B4512A" w:rsidP="00B4512A">
      <w:r>
        <w:t>8.Mundell, R. (1961), “A Theory of Optimum Currency Areas”, American Economic Review - URL: https://www.jstor.org/stable/1812792</w:t>
      </w:r>
    </w:p>
    <w:p w:rsidR="00B4512A" w:rsidRDefault="00B4512A" w:rsidP="00B4512A">
      <w:r>
        <w:t>9. Economic and Monetary Union (EMU) - URL: https://www.ecb.europa.eu/ecb/history/emu/html/index.en.html</w:t>
      </w:r>
    </w:p>
    <w:p w:rsidR="00B4512A" w:rsidRDefault="00B4512A" w:rsidP="00B4512A">
      <w:r>
        <w:t>10.Economic and Monetary Union (EMU) - History Section - URL: https://www.ecb.europa.eu/ecb/history/emu/html/index.en.html</w:t>
      </w:r>
    </w:p>
    <w:p w:rsidR="00B4512A" w:rsidRDefault="00B4512A" w:rsidP="00B4512A">
      <w:r>
        <w:t>11.Создание Европейского союза - URL: https://studref.com/640940/ekonomika/sozdanie_evropeyskogo_soyuza</w:t>
      </w:r>
    </w:p>
    <w:p w:rsidR="00B4512A" w:rsidRDefault="00B4512A" w:rsidP="00B4512A">
      <w:r>
        <w:t>12.Алесины и Барро (2002) «Currency Unions» - URL: https://academic.oup.com/qje/article-abstract/117/2/409/1879793</w:t>
      </w:r>
    </w:p>
    <w:p w:rsidR="00B4512A" w:rsidRDefault="00B4512A" w:rsidP="00B4512A">
      <w:r>
        <w:lastRenderedPageBreak/>
        <w:t>13. Создание Европейского союза - URL: https://studref.com/640940/ekonomika/sozdanie_evropeyskogo_soyuza</w:t>
      </w:r>
    </w:p>
    <w:p w:rsidR="00B4512A" w:rsidRDefault="00B4512A" w:rsidP="00B4512A">
      <w:r>
        <w:t>14.Создание Европейского союза - URL: https://studref.com/640940/ekonomika/sozdanie_evropeyskogo_soyuza</w:t>
      </w:r>
    </w:p>
    <w:p w:rsidR="00B4512A" w:rsidRDefault="00B4512A" w:rsidP="00B4512A">
      <w:r>
        <w:t>15.Mundell R. A Theory of Optimum Currency Areas The American Economic Review - 1961 - Vol.51, No.4 - P.657</w:t>
      </w:r>
    </w:p>
    <w:p w:rsidR="00B4512A" w:rsidRDefault="00B4512A" w:rsidP="00B4512A">
      <w:r>
        <w:t xml:space="preserve">16. Economic and Monetary Union - URL: </w:t>
      </w:r>
    </w:p>
    <w:p w:rsidR="00B4512A" w:rsidRDefault="00B4512A" w:rsidP="00B4512A">
      <w:r>
        <w:t xml:space="preserve">https://www.ecb.europa.eu/pub/pdf/annrep/ecb.ar2023~d033c21ac2.en.pdf. </w:t>
      </w:r>
    </w:p>
    <w:p w:rsidR="00B4512A" w:rsidRDefault="00B4512A" w:rsidP="00B4512A">
      <w:r>
        <w:t>17. EUR-Lex - 12016E127 - EN - EUR-Lex - URL: https://eur-lex.europa.eu/legal-content/EN/TXT/?uri=celex%3A12016E127</w:t>
      </w:r>
    </w:p>
    <w:p w:rsidR="00B4512A" w:rsidRDefault="00B4512A" w:rsidP="00B4512A">
      <w:r>
        <w:t>18.Convergence Report, June 2025 (Раздел 2.2.1 и 6.2.1) - URL: https://www.ecb.europa.eu/pub/pdf/conrep/cr202506.en.pdf</w:t>
      </w:r>
    </w:p>
    <w:p w:rsidR="00B4512A" w:rsidRDefault="00B4512A" w:rsidP="00B4512A">
      <w:r>
        <w:t>19.Convergence Report, June 2025 (Раздел 2.2.1) «Institutional independence» - URL: https://www.ecb.europa.eu/pub/pdf/conrep/cr202506.en.pdf</w:t>
      </w:r>
    </w:p>
    <w:p w:rsidR="00B4512A" w:rsidRDefault="00B4512A" w:rsidP="00B4512A">
      <w:r>
        <w:t>20.Convergence Report, June 2025 (Раздел 2.2.5) - URL: https://www.ecb.europa.eu/pub/pdf/conrep/cr202506.en.pdf</w:t>
      </w:r>
    </w:p>
    <w:p w:rsidR="00B4512A" w:rsidRDefault="00B4512A" w:rsidP="00B4512A">
      <w:r>
        <w:t>21.Delors J. Report on Economic and Monetary Union in the European Community - Luxembourg: Office for Official Publications of the EC, 1989 - P.18</w:t>
      </w:r>
    </w:p>
    <w:p w:rsidR="00B4512A" w:rsidRDefault="00B4512A" w:rsidP="00B4512A">
      <w:r>
        <w:t>22.Annual Report 2020 - Jurisdiction of the Court of Justice of the European Union concerning the ECB - URL: https://www.ecb.europa.eu/pub/pdf/annrep/ar2020~4960fb81ae.en.pdf</w:t>
      </w:r>
    </w:p>
    <w:p w:rsidR="00B4512A" w:rsidRDefault="00B4512A" w:rsidP="00B4512A">
      <w:r>
        <w:t>23.Occasional Paper Series No 273 (Раздел 1.3.5) - URL: https://www.ecb.europa.eu/pub/pdf/scpops/ecb.op273~fae24ce432.en.pdf</w:t>
      </w:r>
    </w:p>
    <w:p w:rsidR="00B4512A" w:rsidRDefault="00B4512A" w:rsidP="00B4512A">
      <w:r>
        <w:t>24.Draghi M. Speech at the Global Investment Conference - London, 26 July 2012</w:t>
      </w:r>
    </w:p>
    <w:p w:rsidR="00B4512A" w:rsidRDefault="00B4512A" w:rsidP="00B4512A">
      <w:r>
        <w:t>25.Our 2025 monetary policy strategy assessment - URL: https://www.ecb.europa.eu/mopo/strategy/html/index.en.html</w:t>
      </w:r>
    </w:p>
    <w:p w:rsidR="00B4512A" w:rsidRDefault="00B4512A" w:rsidP="00B4512A">
      <w:r>
        <w:t>26. Panetta F. Speech on the future of Economic and Monetary Union European Central Bank, 2024</w:t>
      </w:r>
    </w:p>
    <w:p w:rsidR="00B4512A" w:rsidRDefault="00B4512A" w:rsidP="00B4512A">
      <w:r>
        <w:t>27.Occasional Paper Series No 273 (Monetary-fiscal policy interactions) - URL:</w:t>
      </w:r>
    </w:p>
    <w:p w:rsidR="00B4512A" w:rsidRDefault="00B4512A" w:rsidP="00B4512A">
      <w:r>
        <w:t xml:space="preserve">https://www.ecb.europa.eu/pub/pdf/scQQps/ecb.op273-fae24ce432.en.pdf </w:t>
      </w:r>
    </w:p>
    <w:p w:rsidR="00B4512A" w:rsidRDefault="00B4512A" w:rsidP="00B4512A">
      <w:r>
        <w:t xml:space="preserve">28.European Central Bank TARGET Services - URL: https://www.ecb.europa.eu/paym/target/html/index.en.html </w:t>
      </w:r>
    </w:p>
    <w:p w:rsidR="00B4512A" w:rsidRDefault="00B4512A" w:rsidP="00B4512A">
      <w:r>
        <w:t xml:space="preserve">29.Convergence Report, June 2025 - URL: https://www.ecb.europa.eu/pub/pdf/conrep/cr202506.en.pdf </w:t>
      </w:r>
    </w:p>
    <w:p w:rsidR="00B4512A" w:rsidRDefault="00B4512A" w:rsidP="00B4512A">
      <w:r>
        <w:t>30.An overview of the ECB's monetary policy strategy - 2025 - URL: https://www.ecb.europa.eu/mopo/strategy/html/index.en.html</w:t>
      </w:r>
    </w:p>
    <w:p w:rsidR="00B4512A" w:rsidRDefault="00B4512A" w:rsidP="00B4512A">
      <w:r>
        <w:t>31.Lagarde C. Speech on the international role of the euro - European Central Bank, 2024</w:t>
      </w:r>
    </w:p>
    <w:p w:rsidR="00B4512A" w:rsidRDefault="00B4512A" w:rsidP="00B4512A">
      <w:r>
        <w:t>32.The international role of the euro, ECB - URL: https://www.ecb.europa.eu/pub/ire/html/index.en.html</w:t>
      </w:r>
    </w:p>
    <w:p w:rsidR="00B4512A" w:rsidRDefault="00B4512A" w:rsidP="00B4512A">
      <w:r>
        <w:lastRenderedPageBreak/>
        <w:t xml:space="preserve">33.Convergence Report, June 2025 - URL: https://www.ecb.europa.eu/pub/pdf/conrep/cr202506.en.pdf </w:t>
      </w:r>
    </w:p>
    <w:p w:rsidR="00B4512A" w:rsidRDefault="00B4512A" w:rsidP="00B4512A">
      <w:r>
        <w:t>34.ЕY European Economic Outlook March 2026 - URL: https://www.ey.com/en_gl/insights/economy/european-economic-outlook-march-2026</w:t>
      </w:r>
    </w:p>
    <w:p w:rsidR="00B4512A" w:rsidRDefault="00B4512A" w:rsidP="00B4512A">
      <w:r>
        <w:t>35. GDP and employment flash estimates, Eurostat - URL: https://ec.europa.eu/eurostat/web/products-euro-indicators/euro-indicators</w:t>
      </w:r>
    </w:p>
    <w:p w:rsidR="00B4512A" w:rsidRDefault="00B4512A" w:rsidP="00B4512A">
      <w:r>
        <w:t>36.Всемирный банк - URL: https://databank.worldbank.org/reports.aspx?source=2&amp;series</w:t>
      </w:r>
    </w:p>
    <w:p w:rsidR="00B4512A" w:rsidRDefault="00B4512A" w:rsidP="00B4512A">
      <w:r>
        <w:t>37.Eurostatistics - data for short-term economic analysis, Eurostat: https://ec.europa.eu/eurostat/statistics-explained/index.php?title=Eurostatistics_-_data_for_short-term_economic_analysis</w:t>
      </w:r>
    </w:p>
    <w:p w:rsidR="00B4512A" w:rsidRDefault="00B4512A" w:rsidP="00B4512A">
      <w:r>
        <w:t>38.Всемирный банк - URL: https://databank.worldbank.org/reports.aspx?source=2&amp;series</w:t>
      </w:r>
    </w:p>
    <w:p w:rsidR="00B4512A" w:rsidRDefault="00B4512A" w:rsidP="00B4512A">
      <w:r>
        <w:t>39. ЕY European Economic Outlook March 2026 - URL: https://www.ey.com/en_gl/insights/economy/european-economic-outlook-march-2026</w:t>
      </w:r>
    </w:p>
    <w:p w:rsidR="00B4512A" w:rsidRDefault="00B4512A" w:rsidP="00B4512A">
      <w:r>
        <w:t>40.Monetary policy decisions - ECB Press Release - URL: https://www.ecb.europa.eu/press/pr/date/2026/html/ecb.mp260205~f0f0f0f0f0.en.html</w:t>
      </w:r>
    </w:p>
    <w:p w:rsidR="00B4512A" w:rsidRDefault="00B4512A" w:rsidP="00B4512A">
      <w:r>
        <w:t>41.ЕY European Economic Outlook March 2026 - URL: https://www.ey.com/en_gl/insights/economy/european-economic-outlook-march-2026</w:t>
      </w:r>
    </w:p>
    <w:p w:rsidR="00B4512A" w:rsidRDefault="00B4512A" w:rsidP="00B4512A">
      <w:r>
        <w:t xml:space="preserve">42. Сайта Investing.com - URL: https://ru.investing.com/ </w:t>
      </w:r>
    </w:p>
    <w:p w:rsidR="00B4512A" w:rsidRDefault="00B4512A" w:rsidP="00B4512A">
      <w:r>
        <w:t>43. Gopinath G. The International Role of the Euro IMF Working Paper - Washington, 2020 - P.5</w:t>
      </w:r>
    </w:p>
    <w:p w:rsidR="00B4512A" w:rsidRDefault="00B4512A" w:rsidP="00B4512A">
      <w:r>
        <w:t>44.Всемирный банк - URL: https://databank.worldbank.org/reports.aspx?source=2&amp;series</w:t>
      </w:r>
    </w:p>
    <w:p w:rsidR="00B4512A" w:rsidRDefault="00B4512A" w:rsidP="00B4512A">
      <w:r>
        <w:t>45.Всемирный банк - URL: https://databank.worldbank.org/reports.aspx?source=2&amp;series</w:t>
      </w:r>
    </w:p>
    <w:p w:rsidR="00B4512A" w:rsidRDefault="00B4512A" w:rsidP="00B4512A">
      <w:r>
        <w:t>46.Blanchard O. Macroeconomics - 7th ed. - Pearson Education, 2017 - P.612</w:t>
      </w:r>
    </w:p>
    <w:p w:rsidR="00B4512A" w:rsidRDefault="00B4512A" w:rsidP="00B4512A">
      <w:r>
        <w:t>47. Annual Report 2023, Section 4.2: Digital euro project - URL: https://www.ecb.europa.eu/pub/pdf/annrep/ecb.ar2023~d033c21ac2.en.pdf</w:t>
      </w:r>
    </w:p>
    <w:p w:rsidR="00B4512A" w:rsidRDefault="00B4512A" w:rsidP="00B4512A">
      <w:r>
        <w:t>48. Annual Report 2023, Section 4.2: Digital euro project - URL: https://www.ecb.europa.eu/pub/pdf/annrep/ecb.ar2023~d033c21ac2.en.pdf</w:t>
      </w:r>
    </w:p>
    <w:p w:rsidR="00B4512A" w:rsidRDefault="00B4512A" w:rsidP="00B4512A">
      <w:r>
        <w:t>49.Financial Stability Review, May 2021, Box 4: Credit risk transmission during the pandemic: the sovereign-bank-corporate nexus - URL: https://www.ecb.europa.eu/pub/pdf/fsr/ecb.fsr202105~73f272a2e7.en.pdf</w:t>
      </w:r>
    </w:p>
    <w:p w:rsidR="00B4512A" w:rsidRDefault="00B4512A" w:rsidP="00B4512A">
      <w:r>
        <w:t xml:space="preserve">50.European Central Bank - URL: https://www.ecb.europa.eu/mopo/strategy/html/index.en.html </w:t>
      </w:r>
    </w:p>
    <w:p w:rsidR="00B4512A" w:rsidRDefault="00B4512A" w:rsidP="00B4512A">
      <w:r>
        <w:t xml:space="preserve">51.European Central Bank - URL: https://www.ecb.europa.eu/mopo/strategy/html/index.en.html </w:t>
      </w:r>
    </w:p>
    <w:p w:rsidR="00B4512A" w:rsidRDefault="00B4512A" w:rsidP="00B4512A">
      <w:r>
        <w:t xml:space="preserve">52.European Central Bank - URL: https://www.ecb.europa.eu/mopo/strategy/html/index.en.html </w:t>
      </w:r>
    </w:p>
    <w:p w:rsidR="00B4512A" w:rsidRDefault="00B4512A" w:rsidP="00B4512A">
      <w:r>
        <w:t>53.EY European Economic Outlook - Germany's structural transition - URL: https://www.ey.com/en_gl/insights/economy/european-economic-outlook-march-2026</w:t>
      </w:r>
    </w:p>
    <w:p w:rsidR="00B4512A" w:rsidRDefault="00B4512A" w:rsidP="00B4512A">
      <w:r>
        <w:t xml:space="preserve">54.European Central Bank - URL: https://www.ecb.europa.eu/mopo/strategy/html/index.en.html </w:t>
      </w:r>
    </w:p>
    <w:p w:rsidR="00B4512A" w:rsidRDefault="00B4512A" w:rsidP="00B4512A">
      <w:r>
        <w:t xml:space="preserve">55.European Central Bank- URL: https://www.ecb.europa.eu/mopo/strategy/html/index.en.html </w:t>
      </w:r>
    </w:p>
    <w:p w:rsidR="00B4512A" w:rsidRDefault="00B4512A" w:rsidP="00B4512A">
      <w:r>
        <w:lastRenderedPageBreak/>
        <w:t>56.Autumn 2025 Economic Forecast - Greece details - URL: https://economy-finance.ec.europa.eu/economic-forecast-and-surveys/economic-forecasts/autumn-2025-economic-forecast_en</w:t>
      </w:r>
    </w:p>
    <w:p w:rsidR="00B4512A" w:rsidRDefault="00B4512A" w:rsidP="00B4512A">
      <w:r>
        <w:t xml:space="preserve">57.European Central Bank: https://www.ecb.europa.eu/mopo/strategy/html/index.en.html </w:t>
      </w:r>
    </w:p>
    <w:p w:rsidR="00B4512A" w:rsidRDefault="00B4512A" w:rsidP="00B4512A">
      <w:r>
        <w:t>58.Annual Report 2023, Section 2.3: Managing financial risks - URL: https://www.ecb.europa.eu/pub/pdf/annrep/ecb.ar2023~d033c21ac2.en.pdf</w:t>
      </w:r>
    </w:p>
    <w:p w:rsidR="00B4512A" w:rsidRDefault="00B4512A" w:rsidP="00B4512A">
      <w:r>
        <w:t xml:space="preserve">59.European Central Bank - URL: https://www.ecb.europa.eu/mopo/strategy/html/index.en.html </w:t>
      </w:r>
    </w:p>
    <w:p w:rsidR="00B4512A" w:rsidRDefault="00B4512A" w:rsidP="00B4512A">
      <w:r>
        <w:t>60.Economic Bulletin Issue 1, 2026 (Раздел Financial market developments) - URL: https://www.ecb.europa.eu/pub/pdf/ecbu/eb202601.en.pdf</w:t>
      </w:r>
    </w:p>
    <w:p w:rsidR="00B4512A" w:rsidRDefault="00B4512A" w:rsidP="00B4512A">
      <w:r>
        <w:t>61.Economic Bulletin Issue 8, 2025, Box 1: Bulgaria adopts the euro - URL: https://www.ecb.europa.eu/pub/pdf/ecbu/eb202508.en.pdf</w:t>
      </w:r>
    </w:p>
    <w:p w:rsidR="00B4512A" w:rsidRDefault="00B4512A" w:rsidP="00B4512A">
      <w:r>
        <w:t xml:space="preserve">62.European Central Bank - URL: https://www.ecb.europa.eu/mopo/strategy/html/index.en.html </w:t>
      </w:r>
    </w:p>
    <w:p w:rsidR="00B4512A" w:rsidRDefault="00B4512A" w:rsidP="00B4512A">
      <w:r>
        <w:t>63.Economic Bulletin Issue 8, 2025 (Раздел Prices and costs) - URL: https://www.ecb.europa.eu/pub/pdf/ecbu/eb202508.en.pdf</w:t>
      </w:r>
    </w:p>
    <w:p w:rsidR="00B4512A" w:rsidRDefault="00B4512A" w:rsidP="00B4512A">
      <w:r>
        <w:t>64.Annual Report 2020 (Раздел 4.1 Enlarging the SSM) - URL: https://www.ecb.europa.eu/pub/pdf/annrep/ecb.ar2023~d033c21ac2.en.pdf</w:t>
      </w:r>
    </w:p>
    <w:p w:rsidR="00B4512A" w:rsidRDefault="00B4512A" w:rsidP="00B4512A">
      <w:r>
        <w:t>65.Joining the euro area - Consilium - URL: https://www.consilium.europa.eu/en/policies/joining-the-euro-area/convergence-criteria/</w:t>
      </w:r>
    </w:p>
    <w:p w:rsidR="00B4512A" w:rsidRDefault="00B4512A" w:rsidP="00B4512A">
      <w:r>
        <w:t>66.ECB Annual Report 2023 - Digital euro project (Раздел 4.2) - URL: https://www.ecb.europa.eu/pub/pdf/annrep/ecb.ar2023~d033c21ac2.en.pdf</w:t>
      </w:r>
    </w:p>
    <w:p w:rsidR="00B4512A" w:rsidRDefault="00B4512A" w:rsidP="00B4512A">
      <w:r>
        <w:t>67.Visa Investor Relations - URL: https://investor.visa.com/?utm</w:t>
      </w:r>
    </w:p>
    <w:p w:rsidR="00B4512A" w:rsidRDefault="00B4512A" w:rsidP="00B4512A">
      <w:r>
        <w:t>68. Mastercard Investor Relations - URL: https://investor.mastercard.com/overview/default.aspx</w:t>
      </w:r>
    </w:p>
    <w:p w:rsidR="00B4512A" w:rsidRDefault="00B4512A" w:rsidP="00B4512A">
      <w:r>
        <w:t>69.Economic Bulletin Issue 1, 2026 (Box 1: Global trade redirection) - URL: https://www.ecb.europa.eu/pub/pdf/ecbu/eb202601.en.pdf</w:t>
      </w:r>
    </w:p>
    <w:p w:rsidR="00B4512A" w:rsidRDefault="00B4512A" w:rsidP="00B4512A">
      <w:r>
        <w:t>70.Articles - European Central Bank (Статья "Unveiling the hidden costs of critical dependencies") - URL: https://www.ecb.europa.eu/pub/pdf/other/ecb.article202508_dependencies.en.pdf</w:t>
      </w:r>
    </w:p>
    <w:p w:rsidR="00B4512A" w:rsidRDefault="00B4512A" w:rsidP="00B4512A">
      <w:r>
        <w:t>71.Financial stability risks from geoeconomic fragmentation, January 2026, (Раздел 6.3) - URL: https://www.ecb.europa.eu/pub/pdf/other/ecb.report202601_financialstabilityrisks.en.pdf</w:t>
      </w:r>
    </w:p>
    <w:p w:rsidR="00B4512A" w:rsidRDefault="00B4512A" w:rsidP="00B4512A">
      <w:r>
        <w:t>72.Convergence Reports - Economy and Finance - European Commission - URL: https://economy-finance.ec.europa.eu/euro/enlargement-euro-area/convergence-reports_en</w:t>
      </w:r>
    </w:p>
    <w:p w:rsidR="00B4512A" w:rsidRDefault="00B4512A" w:rsidP="00B4512A">
      <w:r>
        <w:t>73. Pisani-Ferry J. The Future of European Integration - Paris, 2022 - P. 41.</w:t>
      </w:r>
    </w:p>
    <w:p w:rsidR="00B4512A" w:rsidRDefault="00B4512A" w:rsidP="00B4512A">
      <w:r>
        <w:t>74. Deepening and widening Economic and Monetary Union: finding the right speed - URL: https://www.ecb.europa.eu/press/key/date/2020/html/ecb.sp200218~7581177685.en.html</w:t>
      </w:r>
    </w:p>
    <w:p w:rsidR="00B4512A" w:rsidRDefault="00B4512A" w:rsidP="00B4512A">
      <w:r>
        <w:t>75.Digital euro | European Central Bank - URL: https://www.ecb.europa.eu/euro/digital_euro/html/index.en.html</w:t>
      </w:r>
    </w:p>
    <w:p w:rsidR="00B4512A" w:rsidRDefault="00B4512A" w:rsidP="00B4512A">
      <w:r>
        <w:lastRenderedPageBreak/>
        <w:t xml:space="preserve">76.Bank for International Settlements (BIS) - Innovation Hub Projects - URL: https://www.bis.org/about/bisih/topics/cbdc/mbridge.htm </w:t>
      </w:r>
    </w:p>
    <w:p w:rsidR="00B4512A" w:rsidRDefault="00B4512A" w:rsidP="00B4512A">
      <w:r>
        <w:t>77. Digital euro | European Central Bank - URL: https://www.ecb.europa.eu/euro/digital_euro/html/index.en.html</w:t>
      </w:r>
    </w:p>
    <w:p w:rsidR="00B4512A" w:rsidRDefault="00B4512A" w:rsidP="00B4512A">
      <w:r>
        <w:t>78.Annual Report 2023 (Section 4.2 Digital euro project) - URL: https://www.ecb.europa.eu/pub/pdf/annrep/ecb.ar2023~d033c21ac2.en.pdf</w:t>
      </w:r>
    </w:p>
    <w:p w:rsidR="00B4512A" w:rsidRDefault="00B4512A" w:rsidP="00B4512A">
      <w:r>
        <w:t>79.Uzbekistan - World Bank Group - URL: https://www.worldbank.org/ext/en/country/uzbekistan</w:t>
      </w:r>
    </w:p>
    <w:p w:rsidR="00B4512A" w:rsidRDefault="00B4512A" w:rsidP="00B4512A">
      <w:r>
        <w:t>80.Нурмуратов М. Выступление на международном банковско-финансовом форуме - Ташкент, 2023</w:t>
      </w:r>
    </w:p>
    <w:p w:rsidR="00B4512A" w:rsidRDefault="00B4512A" w:rsidP="00B4512A">
      <w:r>
        <w:t>81.Всемирный банк - URL: https://databank.worldbank.org/reports.aspx?source=2&amp;series</w:t>
      </w:r>
    </w:p>
    <w:p w:rsidR="00B4512A" w:rsidRDefault="00B4512A" w:rsidP="00B4512A"/>
    <w:p w:rsidR="00B4512A" w:rsidRDefault="00B4512A" w:rsidP="00B4512A">
      <w:r>
        <w:t xml:space="preserve">82.EY European Economic Outlook March 2026 - URL: https://www.ey.com/en_pl/insights/economic-analysis-team/ey-european-economic-outlook-march-2026 </w:t>
      </w:r>
    </w:p>
    <w:p w:rsidR="00B4512A" w:rsidRDefault="00B4512A" w:rsidP="00B4512A">
      <w:r>
        <w:t>83.Всемирный банк - URL: https://databank.worldbank.org/reports.aspx?source=2&amp;series</w:t>
      </w:r>
    </w:p>
    <w:p w:rsidR="00B4512A" w:rsidRDefault="00B4512A" w:rsidP="00B4512A"/>
    <w:p w:rsidR="00B4512A" w:rsidRDefault="00B4512A" w:rsidP="00B4512A">
      <w:r>
        <w:t>84.World Bank Group - Uzbekistan - URL: https://www.worldbank.org/ext/en/country/uzbekistan</w:t>
      </w:r>
    </w:p>
    <w:p w:rsidR="00B4512A" w:rsidRDefault="00B4512A" w:rsidP="00B4512A">
      <w:r>
        <w:t>85.Всемирный банк - URL: https://databank.worldbank.org/reports.aspx?source=2&amp;series</w:t>
      </w:r>
    </w:p>
    <w:p w:rsidR="00B4512A" w:rsidRDefault="00B4512A" w:rsidP="00B4512A">
      <w:r>
        <w:t xml:space="preserve">86.World Bank Group - Uzbekistan - URL: https://www.worldbank.org/ext/en/country/uzbekistan </w:t>
      </w:r>
    </w:p>
    <w:p w:rsidR="00B4512A" w:rsidRDefault="00B4512A" w:rsidP="00B4512A">
      <w:r>
        <w:t>87. Ишметов Т. Доклад Министерства финансов Республики Узбекистан. - Ташкент, 2021</w:t>
      </w:r>
    </w:p>
    <w:p w:rsidR="00B4512A" w:rsidRDefault="00B4512A" w:rsidP="00B4512A">
      <w:r>
        <w:t>88.Всемирный банк - URL: https://databank.worldbank.org/reports.aspx?source=2&amp;series</w:t>
      </w:r>
    </w:p>
    <w:p w:rsidR="00B4512A" w:rsidRDefault="00B4512A" w:rsidP="00B4512A"/>
    <w:p w:rsidR="00B4512A" w:rsidRDefault="00B4512A" w:rsidP="00B4512A">
      <w:r>
        <w:t>89.European Central Bank - Speeches - URL: https://www.ecb.europa.eu/home/html/index.en.html</w:t>
      </w:r>
    </w:p>
    <w:p w:rsidR="004F7D24" w:rsidRPr="00B4512A" w:rsidRDefault="00B4512A" w:rsidP="00B4512A">
      <w:r>
        <w:t>90.The international role of the euro - URL: https://www.ecb.europa.eu/press/other-publications/ire/html/index.en.html</w:t>
      </w:r>
    </w:p>
    <w:sectPr w:rsidR="004F7D24" w:rsidRPr="00B4512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E7E"/>
    <w:rsid w:val="006E5A5E"/>
    <w:rsid w:val="00814E7E"/>
    <w:rsid w:val="009C4BB1"/>
    <w:rsid w:val="00B45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147D"/>
  <w15:chartTrackingRefBased/>
  <w15:docId w15:val="{71AC969D-ECFE-401D-95E7-DC46B932D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AAE45-34C8-4F47-9E53-EC300D60F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21742</Words>
  <Characters>123934</Characters>
  <Application>Microsoft Office Word</Application>
  <DocSecurity>0</DocSecurity>
  <Lines>1032</Lines>
  <Paragraphs>290</Paragraphs>
  <ScaleCrop>false</ScaleCrop>
  <Company>SPecialiST RePack</Company>
  <LinksUpToDate>false</LinksUpToDate>
  <CharactersWithSpaces>145386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Muhammadjon</dc:creator>
  <cp:keywords/>
  <dc:description/>
  <cp:lastModifiedBy>Muhammadjon</cp:lastModifiedBy>
  <cp:revision>2</cp:revision>
  <dcterms:created xsi:type="dcterms:W3CDTF">2026-06-07T12:35:00Z</dcterms:created>
  <dcterms:modified xsi:type="dcterms:W3CDTF">2026-06-07T12:36:00Z</dcterms:modified>
</cp:coreProperties>
</file>