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p14">
  <w:body>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ВВЕДЕНИЕ</w:t>
      </w:r>
    </w:p>
    <w:p w:rsidR="00131B45" w:rsidRDefault="00131B45" w:rsidP="00131B45">
      <w:pPr>
        <w:jc w:val="both"/>
        <w:ind w:firstLine="709"/>
        <w:spacing w:before="0" w:after="0" w:line="360" w:lineRule="auto"/>
      </w:pPr>
      <w:r>
        <w:rPr>
          <w:rFonts w:ascii="Times New Roman" w:hAnsi="Times New Roman" w:cs="Times New Roman"/>
          <w:sz w:val="28"/>
          <w:szCs w:val="28"/>
        </w:rPr>
        <w:t>Актуальность темы исследования. Три волны глобальных кризисов - 2008-2009, 2020-2021 и 2022 годов - обнажили одну закономерность, которую сложно игнорировать: одинаковый по силе внешний удар даёт разные траектории восстановления даже у стран со схожим уровнем развития. Одни экономики возвращались к росту достаточно быстро, другие ещё долго несли последствия шока. Классические инструменты - фискальная и монетарная политика - объясняют многое, но явно не всё.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страны без банковского кризиса - около 4 кварталов.¹ Разрыв в три раза при сопоставимой макроэкономической политике - это достаточно весомый аргумент в пользу того, что устойчивость экономики определяется не только реакцией на шок, но и тем, что было выстроено до него.</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условиях четвёртой промышленной революции цифровизация всё чаще рассматривается как один из таких структурных факторов. Опыт пандемии COVID-19²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рано. В научной литературе до сих пор нет достаточно системного объяснения того, через какие конкретно механизмы цифровые технологии влияют на отдельные элементы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Особую значимость данная проблематика приобретает для Республики Узбекистан, реализующей программу цифровой трансформации в рамках Стратегии «Цифровой Узбекистан - 2030».³ Для национальной экономики здесь важно не просто перенять отдельные решения стран-лидеров, а разобраться - 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восстановления в кризисный период 2020-2022 годов. Отсюда и научная, и практическая значимость темы.</w:t>
        <w:rPr>
          <w:rFonts w:ascii="Times New Roman" w:hAnsi="Times New Roman" w:cs="Times New Roman"/>
          <w:sz w:val="28"/>
          <w:szCs w:val="28"/>
        </w:rPr>
      </w:r>
      <w:pPr>
        <w:jc w:val="both"/>
        <w:ind w:firstLine="709"/>
        <w:spacing w:before="0" w:after="0" w:line="360" w:lineRule="auto"/>
      </w:pPr>
    </w:p>
    <w:p w:rsidR="00131B45" w:rsidRDefault="00131B45" w:rsidP="00131B45"/>
    <w:p w:rsidR="00C13A70" w:rsidRDefault="00131B45" w:rsidP="00131B45">
      <w:pPr>
        <w:jc w:val="both"/>
        <w:ind w:firstLine="709"/>
        <w:spacing w:before="0" w:after="0" w:line="360" w:lineRule="auto"/>
      </w:pPr>
      <w:r>
        <w:rPr>
          <w:rFonts w:ascii="Times New Roman" w:hAnsi="Times New Roman" w:cs="Times New Roman"/>
          <w:sz w:val="28"/>
          <w:szCs w:val="28"/>
        </w:rPr>
        <w:t>Степень изученности проблемы.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структурной уязвимостью экономики и её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Хермансена⁴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 в работах М. Ойкономоу, Н. Пьерри и Й. Тиммера. Проблема в том, что оба направления - устойчивость и цифровизация - в большинстве работ существуют как бы параллельно, не пересекаясь. Комплексного анализа каналов через которые цифровые технологии воздействуют на макроэкономическую устойчивость в условиях глобальных кризисов, пока недостаточно. Этот пробел и стал отправной точкой данной работы.</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Объект исследования - процесс цифровой трансформации национальных экономик и формирование их устойчивости к глобальным экзогенным шокам.</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Предмет исследования -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Цель исследования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Задачи исследования. Для достижения поставленной цели необходимо решить следующие задачи: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Проанализировать теоретические подходы к категории устойчивости национальных экономик к экзогенным шокам и определить её ключевые компоненты.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Провести сравнительный анализ моделей цифровой трансформации Эстонии, Республики Корея, Сингапура и Польши - и оценить как каждая из этих экономик реагировала на глобальные кризисы 2020-2022 годов с учётом уровня цифровой зрелости.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Оценить текущее состояние цифровой трансформации экономики Узбекистана в рамках Стратегии «Цифровой Узбекистан - 2030» и определить, какие элементы международного опыта здесь реально применимы.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 xml:space="preserve">Основные результаты исследования. В работе систематизированы каналы, через которые цифровые технологии могут влиять на устойчивость национальных экономик в период глобальных кризисов. В качестве ключевых выделены пять направлений: непрерывность государственных функций, фискальная трансмиссия,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w:t>
        <w:rPr>
          <w:rFonts w:ascii="Times New Roman" w:hAnsi="Times New Roman" w:cs="Times New Roman"/>
          <w:sz w:val="28"/>
          <w:szCs w:val="28"/>
        </w:rPr>
      </w:r>
      <w:r>
        <w:rPr>
          <w:rFonts w:ascii="Times New Roman" w:hAnsi="Times New Roman" w:cs="Times New Roman"/>
          <w:sz w:val="28"/>
          <w:szCs w:val="28"/>
        </w:rPr>
        <w:lastRenderedPageBreak/>
        <w:t>сравнительный анализ моделей цифровой трансформации Эстонии, Республики Корея, Сингапура и Польши - с учётом институциональных особенностей каждой страны и того, как они проходили кризисы 2020-2022 годов. На основе панельных данных в среде RStudio построена эконометрическая модель, которая позволяет оценить связь между показателями цифровой зрелости и отдельными индикаторами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Практическая значимость исследования. Полученные результаты могут использоваться при уточнении стратегических документов цифровой трансформации Республики Узбекистан, включая Стратегию «Цифровой Узбекистан - 2030»,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образовательным организациям работающим на пересечении вопросов международной экономики, цифровой трансформации и устойчивого развития.</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Методология исследования. Методологической основой работы выступает системный подход - цифровизация и устойчивость рассматриваются здесь как взаимосвязанные характеристики национальной экономики, а не как отдельные явления. В работе используются методы сравнительного анализа, корреляционно-регрессионного моделирования на панельных данных и графической визуализации. Эконометрический анализ выполнен в среде RStudio с применением пакета plm.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E-Government⁵ 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Indicators⁶,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Структура работы.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первой главе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Во второй главе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w:t>
        <w:rPr>
          <w:rFonts w:ascii="Times New Roman" w:hAnsi="Times New Roman" w:cs="Times New Roman"/>
          <w:sz w:val="28"/>
          <w:szCs w:val="28"/>
        </w:rPr>
      </w:r>
      <w:r>
        <w:rPr>
          <w:rFonts w:ascii="Times New Roman" w:hAnsi="Times New Roman" w:cs="Times New Roman"/>
          <w:sz w:val="28"/>
          <w:szCs w:val="28"/>
        </w:rPr>
        <w:lastRenderedPageBreak/>
        <w:t>анализ влияния цифровизации на устойчивость национальных экономик на основе панельных данных.</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третьей главе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заключении обобщаются основные результаты исследования, формулируются выводы и практические рекомендации.</w:t>
        <w:rPr>
          <w:rFonts w:ascii="Times New Roman" w:hAnsi="Times New Roman" w:cs="Times New Roman"/>
          <w:sz w:val="28"/>
          <w:szCs w:val="28"/>
        </w:rPr>
      </w:r>
    </w:p>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ГЛАВА I. ТЕОРЕТИКО-МЕТОДОЛОГИЧЕСКИЕ ОСНОВЫ ЦИФРОВИЗАЦИИ ЭКОНОМИКИ И УСТОЙЧИВОСТИ СТРАН К ГЛОБАЛЬНЫМ КРИЗИСАМ</w:t>
      </w:r>
    </w:p>
    <w:p w:rsidR="00131B45" w:rsidRPr="00131B45" w:rsidRDefault="00131B45" w:rsidP="00131B45">
      <w:pPr>
        <w:rPr>
          <w:lang w:val="ru-RU"/>
        </w:rPr>
      </w:pPr>
    </w:p>
    <w:p w:rsidR="00131B45" w:rsidRPr="00131B45" w:rsidRDefault="00131B45" w:rsidP="00131B45">
      <w:pPr>
        <w:jc w:val="left"/>
        <w:spacing w:before="0" w:after="0" w:line="360" w:lineRule="auto"/>
      </w:pPr>
      <w:r w:rsidRPr="00131B45">
        <w:rPr>
          <w:lang w:val="ru-RU"/>
          <w:b/>
          <w:rFonts w:ascii="Times New Roman" w:hAnsi="Times New Roman" w:cs="Times New Roman"/>
          <w:sz w:val="28"/>
          <w:szCs w:val="28"/>
        </w:rPr>
        <w:t>1.1. Сущность, содержание и основные направления цифровизации современной экономики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Понятие «цифровизация экономики» в научной литературе трактуется неоднозначно - 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активности.⁷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 в результате меняется её отраслевая структура, модели государственного управления и формы взаимодействия экономических агентов.</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информационных услуг.⁸ При этом цифровая экономика не ограничивается только ИКТ-сектором - она охватывает и распространение цифровых технологий в традиционные отрасли: промышленность, торговлю, финансы и государственное управление. Именно через такое распространение цифровизация начинает влиять на более широкие показатели национальной экономики - ВВП на душу населения и производительность труда.</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Эмпирические данные показывают: ИКТ-сектор стабильно растёт быстрее экономики в целом. По оценкам ОЭСР, основанным на nowcasting-модели, в течение 2013-2023 годов ИКТ-сектор стран ОЭСР </w:t>
      </w:r>
      <w:r w:rsidRPr="00131B45">
        <w:rPr>
          <w:lang w:val="ru-RU"/>
          <w:rFonts w:ascii="Times New Roman" w:hAnsi="Times New Roman" w:cs="Times New Roman"/>
          <w:sz w:val="28"/>
          <w:szCs w:val="28"/>
        </w:rPr>
        <w:lastRenderedPageBreak/>
        <w:t>рос примерно в три раза быстрее совокупной экономики. В 2023 году средний темп роста ИКТ-сектора достиг 7,6%, причём в десяти странах - включая Великобританию, Бельгию, Германию и США - этот показатель превысил 9%. Доля валовой добавленной стоимости, генерируемой ИКТ-сектором в странах ОЭСР, увеличилась с 3,9% в 2010 году до 5,4% в 2019 году, а к 2023 году достигла около 6,2%.⁹ Динамика доли ИКТ-сектора в валовой добавленной стоимости стран ОЭСР представлена на рисунке 1.1.</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1.1. Динамика доли ИКТ-сектора в валовой добавленной стоимости стран ОЭСР, 2010-2023 гг., % Источник: составлено автором по данным OECD Digital Economy Outlook 2024 и OECD STAN Industrial Analysis Database.</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Index и Network Readiness Index.¹⁰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и не упрощать исследуемый процесс сверх меры.</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Содержание цифровизации можно раскрыть через несколько основных направлений, каждое из которых по своему влияет на развитие национальной экономики. На основе аналитических документов ОЭСР и Европейской комиссии в этой работе выделяются пять таких направлений, представленных на рисунке 1.2.</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1.2 - Основные направления цифровизации экономики Источник: составлено автором на основе OECD Digital Economy Outlook 2024 и аналитических материалов Европейской комиссии.</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Первое направление - развитие цифровой инфраструктуры. Речь идёт о совокупности сетей фиксированной и мобильной связи, центров обработки данных, спутниковых систем, а также инфраструктуры цифровой идентификации и обмена данными. Расширение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других направлений цифровизации.¹¹ Такая инфраструктура создаёт мультипликативный эффект - она стимулирует электронную коммерцию, удалённую занятость и цифровые государственные сервисы.</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Второе направление -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больших данных и искусственного интеллекта. 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искусственным интеллектом - 8%.¹²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w:t>
      </w:r>
      <w:r w:rsidRPr="00131B45">
        <w:rPr>
          <w:lang w:val="ru-RU"/>
          <w:rFonts w:ascii="Times New Roman" w:hAnsi="Times New Roman" w:cs="Times New Roman"/>
          <w:sz w:val="28"/>
          <w:szCs w:val="28"/>
        </w:rPr>
        <w:lastRenderedPageBreak/>
        <w:t>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лет для аналитики больших данных.¹³</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важно не только как часть технологического развития - 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предоставления государственных кредитов.¹⁴</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Четвёртое направление -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причинам: они расширяют доступ к ликвидности и снижают транзакционные издержки - особенно когда физические каналы финансового обслуживания ограничены. Кроме того цифровые платёжные системы усиливают фискальную трансмиссию - государственная поддержка доходит до конечных получателей быстрее и с меньшими административными затратами.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Перечисленные направления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рассматривать цифровую экономику не как набор отдельных технологий, а как систему которая влияет на развитие и устойчивость национальной экономики в целом.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Влияние цифровизации на экономический рост проявляется на разных уровнях. На макроуровне оно связано с ростом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странах с переходной экономикой.¹⁶ 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шоков.¹⁷ Это позволяет связать цифровизацию не только с экономическим ростом, но и с устойчивостью экономики - что подробнее рассматривается в следующем параграфе.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раскрывается в следующем параграфе.</w:t>
      </w:r>
    </w:p>
    <w:p w:rsidR="00801C73" w:rsidRPr="00801C73" w:rsidRDefault="00801C73" w:rsidP="00801C73">
      <w:pPr>
        <w:rPr>
          <w:lang w:val="ru-RU"/>
        </w:rPr>
      </w:pPr>
    </w:p>
    <w:p w:rsidR="00801C73" w:rsidRDefault="00801C73" w:rsidP="00801C73">
      <w:pPr>
        <w:jc w:val="left"/>
        <w:spacing w:before="0" w:after="0" w:line="360" w:lineRule="auto"/>
      </w:pPr>
      <w:r w:rsidRPr="00801C73">
        <w:rPr>
          <w:lang w:val="ru-RU"/>
          <w:b/>
          <w:rFonts w:ascii="Times New Roman" w:hAnsi="Times New Roman" w:cs="Times New Roman"/>
          <w:sz w:val="28"/>
          <w:szCs w:val="28"/>
        </w:rPr>
        <w:t>1.2. Теоретические подходы к категории устойчивости национальных экономик к экзогенным шокам и глобальным кризисам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Категория «устойчивость» (resilience) применительно к национальной экономике стала активно использоваться в последние два десятилетия - когда стало очевидно,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противостоять шокам и быстро возвращаться к траектории восстановления.¹⁸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 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w:t>
      </w:r>
      <w:r w:rsidRPr="00801C73">
        <w:rPr>
          <w:lang w:val="ru-RU"/>
          <w:rFonts w:ascii="Times New Roman" w:hAnsi="Times New Roman" w:cs="Times New Roman"/>
          <w:sz w:val="28"/>
          <w:szCs w:val="28"/>
        </w:rPr>
        <w:lastRenderedPageBreak/>
        <w:t>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управления и социальное развитие.¹⁹ 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восстановления.²⁰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восстановление.²¹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ВВП.²²</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странах без банковского кризиса - около 4 кварталов, а в отдельных странах вне ОЭСР - около 3 кварталов.²³ Иными словами, финансовая составляющая кризиса способна заметно удлинять период восстановления - и это нужно учитывать при разработке антикризисной политики.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цикла.²⁴ Для этого исследования такой подход важен тем, что показывает: устойчивость экономики можно оценивать через систему количественных показателей - которые затем используются в сравнительном и эконометрическом анализе.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системой и государственными финансами.²⁵ 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 наряду с фискальными и финансовыми резервами.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 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1.3. Системные механизмы и каналы влияния цифровых технологий на макроэкономическую стабильность государств</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этого исследования такая систематизация важна - 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адаптации бизнеса и государственного сектора в период пандемии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населения.²⁶</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социальных и иных государственных систем.²⁷ С макроэкономической точки зрения этот канал уменьшает временные лаги и административные издержки при распределении средств - благодаря чему государственные расходы быстрее дают стабилизирующий эффект.</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Третий канал - 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менее цифровизированными фирмами.²⁸ Это объясняется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ограничениям.²⁹</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 Так, в 2020 году розничные онлайн-продажи в Европейском союзе и США заметно выросли, а спрос на широкополосную связь у отдельных операторов увеличился до 60%.³⁰ По оценкам исследователей, пандемия продвинула долгосрочный тренд цифровизации потребительских рынков примерно на 2,5 года вперёд относительно допандемийной траектории.³¹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Пятый канал - 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уже практически не прослеживался.³² Это показывает, что ИКТ-сектор в кризисных условиях оказывается устойчивее многих традиционных отраслей. Его значение проявляется в двух аспектах: во-первых, более высокая доля ИКТ-сектора в экономике создаёт дополнительную опору для </w:t>
      </w:r>
      <w:r w:rsidRPr="00801C73">
        <w:rPr>
          <w:lang w:val="ru-RU"/>
          <w:rFonts w:ascii="Times New Roman" w:hAnsi="Times New Roman" w:cs="Times New Roman"/>
          <w:sz w:val="28"/>
          <w:szCs w:val="28"/>
        </w:rPr>
        <w:lastRenderedPageBreak/>
        <w:t>совокупного выпуска; во-вторых, этот сектор обеспечивает другие отрасли цифровыми решениями которые повышают их способность к адаптации.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операций.³³ Для этого исследования такой вывод важен: 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распространение финансовых рисков.³⁴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 условиях глобальных кризисов - что рассматривается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второй.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действие этих каналов дополняет классическое понимание устойчивости - </w:t>
      </w:r>
      <w:r w:rsidRPr="00801C73">
        <w:rPr>
          <w:lang w:val="ru-RU"/>
          <w:rFonts w:ascii="Times New Roman" w:hAnsi="Times New Roman" w:cs="Times New Roman"/>
          <w:sz w:val="28"/>
          <w:szCs w:val="28"/>
        </w:rPr>
        <w:lastRenderedPageBreak/>
        <w:t>то, что представлено в работах Бригульо и ОЭСР -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Выводы по первой главе. Первая глава дала несколько результатов которые определяют логику дальнейшего анализа. Цифровизация - 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устойчивости сходятся в одном - 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адаптация частного сектора, диверсификация конечного спроса и устойчивость ИКТ-сектора - это не просто классификация. Каждый из них представляет конкретный механизм через который уровень цифровой зрелости страны либо смягчает удар кризиса, либо нет. Именно поэтому следующий шаг - не дальнейшая теория, а сравнение реальных стран и эконометрика.</w:t>
      </w:r>
    </w:p>
    <w:p w:rsidR="00801C73" w:rsidRPr="00801C73" w:rsidRDefault="00801C73" w:rsidP="00801C73">
      <w:pPr>
        <w:jc w:val="center"/>
        <w:spacing w:before="0" w:after="0" w:line="360" w:lineRule="auto"/>
        <w:rPr>
          <w:b/>
        </w:rPr>
        <w:pageBreakBefore w:val="on"/>
      </w:pPr>
      <w:r w:rsidRPr="00801C73">
        <w:rPr>
          <w:lang w:val="ru-RU"/>
          <w:b/>
          <w:rFonts w:ascii="Times New Roman" w:hAnsi="Times New Roman" w:cs="Times New Roman"/>
          <w:sz w:val="28"/>
          <w:szCs w:val="28"/>
        </w:rPr>
        <w:t>ГЛАВА II. МЕЖДУНАРОДНЫЙ ОПЫТ ЦИФРОВИЗАЦИИ ЭКОНОМИКИ И ЭКОНОМЕТРИЧЕСКИЙ АНАЛИЗ ЕЁ ВЛИЯНИЯ НА УСТОЙЧИВОСТЬ СТРАН К ГЛОБАЛЬНЫМ КРИЗИСАМ</w:t>
      </w:r>
    </w:p>
    <w:p w:rsidR="00801C73" w:rsidRPr="00801C73" w:rsidRDefault="00801C73" w:rsidP="00801C73">
      <w:pPr>
        <w:rPr>
          <w:lang w:val="ru-RU"/>
        </w:rPr>
      </w:pP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2.1. Сравнительный анализ моделей цифровой трансформации стран-лидеров (на примере Эстонии, Республики Корея, Сингапура и Польши)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четырёх стран в ключевых международных индексах цифровой зрелости представлены в таблице 2.1.</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Таблица 2.1. Позиции четырёх стран в международных индексах цифровой зрелости (2024) Источники: UN DESA (EGDI 2024); Portulans Institute (NRI 2024); IMD WDCR 2024.</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w:t>
      </w:r>
      <w:r w:rsidRPr="00801C73">
        <w:rPr>
          <w:lang w:val="ru-RU"/>
          <w:rFonts w:ascii="Times New Roman" w:hAnsi="Times New Roman" w:cs="Times New Roman"/>
          <w:sz w:val="28"/>
          <w:szCs w:val="28"/>
        </w:rPr>
        <w:lastRenderedPageBreak/>
        <w:t>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Эстония: модель «цифрового государства» малой постсоветской экономики. Цифровая трансформация Эстонии началась с программы Tiger Leap (Tiigrihüpe), запущенной в 1996 году и направленной на компьютеризацию школ, подключение их к интернету, подготовку учителей и создание учебного контента на эстонском языке.³⁵ К 2000 году все школы Эстонии были оснащены компьютерами, а к 2001 году подключены к интернету.³⁶ Благодаря этому страна сформировала раннюю базу цифровой грамотности и подготовила общество к дальнейшему развитию электронного государства.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Следующим ключевым шагом стало создание технологической основы эстонского цифрового государства. Центральное место заняла платформа X-Road (X-tee) - 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цифровой подписи.³⁷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год.³⁸ Открытие исходного кода центральных компонентов X-Road под лицензией MIT усилило международное значение этой модели - в частности, в 2018 году были соединены системы обмена данными Эстонии и Финляндии.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Продолжением этой модели стала программа электронного резидентства -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для бюджета составил 342 млн евро.³⁹ В 2024 году e-резиденты создали 4818 новых компаний, а налоговые поступления от программы достигли 66,8 млн евро.⁴⁰ В Индексе развития электронного правительства ООН EGDI 2024 года Эстония заняла 2-е место в мире со значением индекса 0,9727.⁴¹ В итоге эстонская модель держится на четырёх опорах: цифровая грамотность, межведомственная интероперабельность, цифровая идентификация и продвижение государственных решений на международном уровне.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Республика Корея: 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соответствовало 5,9% ВВП 2020 года.⁴² Программа была направлена на создание 1,9 млн рабочих мест и включала три блока: Digital New Deal, Green New Deal и укрепление системы социальной защиты.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Центральным цифровым блоком стал Digital New Deal. На его реализацию было выделено 58,2 трлн вон, из которых 44,8 трлн финансировались из государственной казны.⁴³ В основе программы лежала концепция DNA - Data, Network, AI - 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интернету.⁴⁴ В июле 2021 года был объявлен Korean New Deal 2.0 - общий бюджет программы расширили примерно до 220 трлн вон.</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По данным Министерства науки и ИКТ Кореи, совокупный бюджет на развитие ведущих цифровых технологий в первый год реализации Digital New Deal составил 10,1 трлн вон, или 8,7 млрд долларов США.⁴⁵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искусственного интеллекта Oxford Insights -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ИИ-полупроводников в течение 10 лет.⁴⁶ В EGDI 2024 Республика Корея занимает 4-е место со значением индекса 0,9679, а в OECD Digital Government Index 2023 - 1-е место среди стран ОЭСР.⁴⁷ В целом корейская модель отличается крупным масштабом государственных инвестиций и тесной связью цифровой трансформации с антикризисной политикой - Digital New Deal был запущен именно как ответ на последствия пандемии COVID-19.</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экономику.⁴⁸ Для реализации этой политики были созданы специализированные институты -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 что показывает дальнейшее институциональное укрепление цифровой трансформации в стране.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экономики в целом.⁴⁹ Около 99% домохозяйств подключены к интернету, а 99% государственных услуг доступны в цифровом формате. 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развития.⁵⁰ В период пандемии COVID-19 </w:t>
      </w:r>
      <w:r w:rsidRPr="00801C73">
        <w:rPr>
          <w:lang w:val="ru-RU"/>
          <w:rFonts w:ascii="Times New Roman" w:hAnsi="Times New Roman" w:cs="Times New Roman"/>
          <w:sz w:val="28"/>
          <w:szCs w:val="28"/>
        </w:rPr>
        <w:lastRenderedPageBreak/>
        <w:t>Сингапур оперативно развернул систему TraceTogether для отслеживания контактов - это показало способность цифровой инфраструктуры быстро адаптироваться к кризисным условиям.</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области искусственного интеллекта.⁵¹ Новая стратегия переносит акцент с создания базовой цифровой инфраструктуры на практическое использование технологий - прежде всего генеративного искусственного интеллекта - для дальнейшего развития экономики и общества. В IMD World Digital Competitiveness Ranking 2024 Сингапур занимает 1-е место в мире, в Network Readiness Index 2024 - 2-е место, а в EGDI 2024 - 3-е место со значением индекса 0,9691.⁵² Отличительная черта сингапурской модели -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Польша: модель догоняющей цифровизации переходной экономики. Цифровая трансформация Польши развивалась иначе чем у Эстонии, Кореи или Сингапура - 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цифровых государственных сервисов.⁵³ Её продолжением стала программа FERC на период 2021-2027 годов, реализуемая под координацией Министерства цифровых дел и Центра проектов «Цифровая Польша».⁵⁴</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Заметным результатом этой политики стало развитие цифровых государственных сервисов. Одним из ключевых элементов польской цифровой трансформации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mObywatel 2.0 с пластиковым документом.⁵⁵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услуг.⁵⁶ Параллельно Польша развивает Profil Zaufany и платформу ePUAP - они обеспечивают доступ к государственным порталам, электронное подписание документов и взаимодействие с органами власти.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Вместе с тем польская модель показывает разрыв между развитием государственных цифровых сервисов и уровнем цифровой зрелости населения и бизнеса. По данным Digital Decade Report Европейской комиссии за 2024 год, базовыми цифровыми навыками обладают 44% населения Польши при среднем показателе по ЕС 56%; искусственный интеллект полностью внедрили 3,7% </w:t>
      </w:r>
      <w:r w:rsidRPr="00801C73">
        <w:rPr>
          <w:lang w:val="ru-RU"/>
          <w:rFonts w:ascii="Times New Roman" w:hAnsi="Times New Roman" w:cs="Times New Roman"/>
          <w:sz w:val="28"/>
          <w:szCs w:val="28"/>
        </w:rPr>
        <w:lastRenderedPageBreak/>
        <w:t>компаний при среднем уровне ЕС 8%, а аналитику данных используют 19,3% компаний при среднем уровне ЕС 33,2%.⁵⁷ При этом ИКТ-сектор страны растёт достаточно быстро. Согласно OECD Digital Economy Outlook 2024, среднегодовой темп роста ИКТ-сектора Польши за период 2013-2023 годов превысил 8%.⁵⁸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стран с переходной экономикой - включая Узбекистан.</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году этот показатель достиг 17,7%.⁵⁹ Польская модель отражает особенности догоняющей цифровизации - развитые государственные сервисы сочетаются здесь с более низкой цифровой зрелостью населения и частного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Четыре страны представляют разные модели цифровой трансформации: Эстония - интероперабельное цифровое государство, 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Цифровизация развивается не по единой схеме, а через разные институциональные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2.2. Реакция национальных экономик на глобальные кризисы 2020-2022 годов в контексте уровня цифровой зрелости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Для согласования сравнительного анализа с эконометрической моделью параграфа 2.3 в работе выделяются два кризисных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 что позволяет отдельно </w:t>
      </w:r>
      <w:r w:rsidRPr="00801C73">
        <w:rPr>
          <w:lang w:val="ru-RU"/>
          <w:rFonts w:ascii="Times New Roman" w:hAnsi="Times New Roman" w:cs="Times New Roman"/>
          <w:sz w:val="28"/>
          <w:szCs w:val="28"/>
        </w:rPr>
        <w:lastRenderedPageBreak/>
        <w:t>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позволяет оценить не только способность цифровой инфраструктуры смягчать последствия кризисов, но и её пределы там где шок находится вне прямого воздействия цифровых технологий.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Реакция Эстонии. В 2020 году экономика Эстонии показала сравнительно мягкое падение: снижение ВВП составило 3,0% против среднего показателя по ЕС на уровне -6,1%.⁶⁰ Уже в 2021 году экономика восстановилась с темпом роста 8,6% - один из наиболее высоких показателей в ЕС.⁶¹ 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правительство оперативно запустило новые сервисы - упрощённые процедуры регистрации браков, рождений и обращений за пособиями через e-ID и X-Road.</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Кризис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инфляцией, превысившей 19% по HICP.⁶² 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 План восстановления и устойчивости Эстонии, утверждённый в 2021 году, предусматривал 953,3 млн евро, или около 3,4% ВВП 2019 года; 21,5% ресурсов направлено на цифровую трансформацию, 41,5% - на климатические цели.⁶³ Адаптация Эстонии была направлена сразу на два блока рисков - цифровой и энергетико-климатический.</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Реакция Республики Корея. Среди рассматриваемых стран Корея прошла 2020 год мягче всех: ВВП снизился лишь на 0,7%, а докризисный уровень активности восстановился уже к маю 2021 года. В 2021 году рост ВВП составил 4,6% - наиболее высокий показатель за одиннадцать лет, обусловленный устойчивым внешним спросом на полупроводники и потребительскую электронику.⁶⁴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глобального спроса на цифровые технологии.⁶⁵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 Инфляция достигла пика в июле 2022 года на уровне 6,3% - максимум с ноября 1998 года, однако этот показатель оставался ниже уровней большинства европейских стран.⁶⁶ В 2023 году прогноз роста был снижен до 1,4% - замедление экспортного цикла полупроводников дало о себе знать. В этом контексте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экономики.⁶⁷ Это подтверждается подъёмом Кореи в рейтинге цифровой конкурентоспособности IMD - с 10-го места в 2019 году на 8-е в 2020-м.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Реакция Сингапура. В 2020 году экономика Сингапура сократилась на 3,9% - высокая зависимость от международной торговли, туризма и трансграничной мобильности дала о себе знать. Однако уже в 2021 году ВВП вырос на 7,6%, а в 2022 году - на 3,6%.⁶⁸ Важную роль сыграла быстрая мобилизация цифровой инфраструктуры. В марте 2020 года GovTech за восемь недель разработал и запустил TraceTogether - первое в мире национальное приложение для отслеживания контактов; к началу 2022 года в нём было зарегистрировано более 6,2 млн пользователей.⁶⁹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Использование TraceTogether позволило сократить время между выявлением случая заболевания и установлением близких контактов с четырёх дней до менее чем полутора суток.⁷⁰ Одновременно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денежные переводы домохозяйствам.⁷¹ Singpass и платёжная инфраструктура позволили точнее направлять поддержку, сокращая временные лаги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Реакция Польши. В 2020 году экономика Польши сократилась на 2,0% - один из наиболее мягких спадов в ЕС, значительно лучше среднего по союзу (-6,1%).⁷² В 2021 году рост ВВП составил 5,9%, а в 2022-м - 4,9%, несмотря на войну в Украине, энергетический кризис и инфляцию.⁷³ Такая устойчивость объясняется несколькими факторами: 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Кризис 2022 года показал более высокую чувствительность Польши к энергетическому и инфляционному шоку. Зависимость от угольной энергетики - одна из самых высоких среди стран МЭА - и доля ископаемого топлива на уровне 85% общего энергоснабжения в 2020 году создавали структурную уязвимость. Дополнительное давление добавили близость к зоне конфликта и значительный приток украинских беженцев. Инфляция достигла 18,4% в феврале 2023 года.⁷⁴ Для смягчения последствий правительство ввело Антиинфляционный щит: снижение НДС на электроэнергию с 23% до 5%, на отопление - с 23% до 8%, а также снижение НДС и акцизов на топливо; общая стоимость мер составила около 2,1% ВВП.⁷⁵ Сравнение польского и эстонского кейсов подтверждает одну и ту же логику: цифровая зрелость смягчает шоки мобильности и административных ограничений, но не закрывает структурную уязвимость к энергетическим и ценовым потрясениям.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составило 0,7%, в Польше - 2,0%, в Эстонии - 3,0%, в Сингапуре - 3,9%, тогда как средний спад по ЕС достиг -6,1%. Это говорит о том что высокий уровень цифровой зрелости может повышать устойчивость экономик к шокам связанным с ограничением физической мобильности и </w:t>
      </w:r>
      <w:r w:rsidRPr="00801C73">
        <w:rPr>
          <w:lang w:val="ru-RU"/>
          <w:rFonts w:ascii="Times New Roman" w:hAnsi="Times New Roman" w:cs="Times New Roman"/>
          <w:sz w:val="28"/>
          <w:szCs w:val="28"/>
        </w:rPr>
        <w:lastRenderedPageBreak/>
        <w:t>административных процессов. Во-вторых, в 2021 году все четыре страны показали быстрое восстановление: наиболее высокие темпы роста у Эстонии - 8,6% и Сингапура - 7,6%, тогда как Польша выросла на 5,9%, а Республика Корея - на 4,6%.⁷⁶ 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стран в сопоставлении со средним показателем по ЕС за 2019-2022 годы представлена на рисунке 2.1.</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 Источник: составлено автором по данным IMF World Economic Outlook (April 2024), Eurostat.</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В-третьих, энергетический и инфляционный шок 2022 года обнажил пределы цифровой зрелости. Она могла поддерживать государственные сервисы, бизнес-процессы и коммуникации -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2.2 Пиковые значения потребительской инфляции в Эстонии, Польше, Республике Корея и Сингапуре в 2022 году, % Источник: составлено автором по данным Eurostat (HICP), Bank of Korea, Monetary Authority of Singapore.</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Полученные наблюдения создают основу для количественного анализа. 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pPr>
        <w:jc w:val="both"/>
        <w:ind w:firstLine="709"/>
        <w:spacing w:before="0" w:after="0" w:line="360" w:lineRule="auto"/>
      </w:pPr>
    </w:p>
    <w:p w:rsidR="00801C73" w:rsidRDefault="00801C73" w:rsidP="00801C73">
      <w:pPr>
        <w:jc w:val="left"/>
        <w:spacing w:before="0" w:after="0" w:line="360" w:lineRule="auto"/>
      </w:pPr>
      <w:r>
        <w:rPr>
          <w:b/>
          <w:rFonts w:ascii="Times New Roman" w:hAnsi="Times New Roman" w:cs="Times New Roman"/>
          <w:sz w:val="28"/>
          <w:szCs w:val="28"/>
        </w:rPr>
        <w:t>2.3. Эконометрическая оценка влияния цифровизации на устойчивость национальных экономик на основе панельных данных</w:t>
        <w:rPr>
          <w:b/>
          <w:rFonts w:ascii="Times New Roman" w:hAnsi="Times New Roman" w:cs="Times New Roman"/>
          <w:sz w:val="28"/>
          <w:szCs w:val="28"/>
        </w:rPr>
      </w:r>
      <w:pPr>
        <w:jc w:val="left"/>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Сравнительный анализ четырёх стран в параграфе 2.1 и оценка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этом параграфе наблюдение проверяется количественно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(World Development Indicators).⁷⁷</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Выборка включает 49 стран, классифицированных на три группы в соответствии с критериями Всемирного банка⁷⁸ и методологией ЮНКТАД⁷⁹: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Зависимая переменная - натуральный логарифм ВВП на душу населения в постоянных ценах 2015 года (NY.GDP.PCAP.KD). Основной регрессор - логарифм доли интернет-пользователей (IT.NET.USER.ZS). Контрольные переменные включают логарифм валового накопления основного капитала (NE.GDI.FTOT.ZS), инфляцию (FP.CPI.TOTL.ZG), безработицу (SL.UEM.TOTL.ZS) и долю экспорта высокотехнологичных товаров (TX.VAL.TECH.MF.ZS).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2.2 - Описательная статистика основных переменных модели по группам стран Источник: составлено автором на основе данных Всемирного банка и результатов обработки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2.3 - Boxplot-распределение переменных эконометрической модели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lastRenderedPageBreak/>
        <w:t>Необходимость раздельной оценки по группам стран подтверждается тестом Чоу на структурную однородность - результаты представлены в таблице 2.3. Значение F-статистики составило 5,3377 (df₁ = 18; df₂ = 631; p = 1,151 × 10⁻¹¹), что позволяет отвергнуть нулевую гипотезу об одинаковости коэффициентов между тремя группами стран на уровне значимости менее 0,001. Иными словами, оценка единой модели по всей выборке дала бы смещённую интерпретацию результатов - параметры влияния цифровизации на экономический рост реально различаются между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Таблица 2.3 - Результаты теста Чоу на структурную однородность между группами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Выбор между моделями с фиксированными (FE) и случайными (RE) эффектами был сделан на основе теста Хаусмана и дополнительной теоретической аргументации. Формальный тест Хаусмана для группы развитых стран (χ² = 4,576; p = 0,87) и переходных экономик (χ² = 1,363; p = 0,998) указывает на допустимость RE-модели.⁸⁰ В группе развивающихся экономик RE-модель не была идентифицирована из-за сингулярной матрицы - это связано с небольшим размером подвыборки: 144 наблюдения на 11 стран при 9 переменных. Тем не менее во всех трёх группах используется FE-модель. Во-первых, это обеспечивает сопоставимость результатов между группами. Во-вторых, страновая гетерогенность - качество институтов, географическое положение, историческая траектория развития - с высокой вероятностью коррелирует с уровнем цифровизации, что делает FE состоятельным, а RE несостоятельным. В-третьих, диагностика остатков показала чувствительность теста Хаусмана к гетероскедастичности, что может завышать p-value. В-четвёртых, в панельных исследованиях межстрановых различий в цифровизации модель с фиксированными эффектами является более надёжным выбором.</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10⁻¹⁵) и переходных экономик (BP = 38,888; p = 1,21 × 10⁻⁵),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&lt; 2 × 10⁻¹⁶).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модели.⁸¹ Итоговые результаты оценки FE-моделей представлены в таблице 2.4.</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2.4 - Результаты оценки FE-моделей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Результаты FE-модели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log_internet составил β = 0,2117 (p = 0,050) - 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что отражает значительное отрицательное воздействие пандемийного шока. При этом interaction term log_internet × Crisis_COVID положителен и статистически значим: β = </w:t>
        <w:rPr>
          <w:rFonts w:ascii="Times New Roman" w:hAnsi="Times New Roman" w:cs="Times New Roman"/>
          <w:sz w:val="28"/>
          <w:szCs w:val="28"/>
        </w:rPr>
      </w:r>
      <w:r>
        <w:rPr>
          <w:rFonts w:ascii="Times New Roman" w:hAnsi="Times New Roman" w:cs="Times New Roman"/>
          <w:sz w:val="28"/>
          <w:szCs w:val="28"/>
        </w:rPr>
        <w:lastRenderedPageBreak/>
        <w:t>0,3940 (p = 0,003) - это говорит о смягчающей роли цифровизации в период пандемии. Аналогично, interaction term log_internet × Crisis_Geo также значим: β = 0,3943 (p = 0,020). В развитых странах более высокий уровень интернет-проникновения был связан с меньшим негативным эффектом кризисов 2020 и 2022 годов.</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переходных экономик (16 стран, 233 наблюдения) основной эффект цифровизации оказался наиболее выраженным: коэффициент при log_internet составил β = 0,3085 (p &lt; 0,001).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развивающихся экономик включающей Узбекистан (11 стран, 144 наблюдения), основной эффект цифровизации также положителен и статистически значим: β = 0,1978 (p &lt; 0,001). Рост интернет-проникновения на 1% связан с увеличением ВВП на душу населения примерно на 0,20% при прочих равных условиях. При этом кризисные interaction terms незначимы: β_covid = 0,0184 (p = 0,697), β_geo = 0,0457 (p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 Для Узбекистана это означает конкретное: расширение цифрового доступа само по себе работает на рост, но для смягчения внешних шоков нужен более высокий уровень цифровой инфраструктуры, институциональной интеграции и реального использования технологий в бизнесе. Дополнительно стоит учитывать ограничение статистической мощности: 144 наблюдения на 11 стран при 9 переменных снижают вероятность выявления слабых эффектов.</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Визуальное сопоставление интернет-проникновения и ВВП на душу населения в кризисные годы представлено на рисунке 2.4. Рисунок дополняет результаты FE-моделей: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2.4 - Взаимосвязь между уровнем интернет-проникновения и ВВП на душу населения в кризисные годы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 они основаны на предположении ceteris paribus и показывают лишь относительный вклад цифровизации в динамику ВВП на душу населения. Сводные прогнозные значения по трём группам стран на 2025-2030 годы </w:t>
        <w:rPr>
          <w:rFonts w:ascii="Times New Roman" w:hAnsi="Times New Roman" w:cs="Times New Roman"/>
          <w:sz w:val="28"/>
          <w:szCs w:val="28"/>
        </w:rPr>
      </w:r>
      <w:r>
        <w:rPr>
          <w:rFonts w:ascii="Times New Roman" w:hAnsi="Times New Roman" w:cs="Times New Roman"/>
          <w:sz w:val="28"/>
          <w:szCs w:val="28"/>
        </w:rPr>
        <w:lastRenderedPageBreak/>
        <w:t>представлены в таблице 2.5. Детальная интерпретация сценария для Узбекистана рассматривается в §3.3.</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2.5 - Прогноз ВВП на душу населения по группам стран на 2025-2030 годы (FE-модели)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Проведённый эконометрический анализ на несбалансированной панели 49 стран за 2010-2024 годы (707 наблюдений) даёт несколько выводов. Основная гипотеза (H₁) подтверждается: коэффициент при log_internet положителен и статистически значим во всех трёх группах - β = 0,212 для развитых, β = 0,309 для переходных и β = 0,198 для развивающихся экономик. Вспомогательная гипотеза (H₂) также подтверждается - тест Чоу отвергает однородность коэффициентов между группами (p = 1,15 × 10⁻¹¹), а антикризисные interaction terms значимы только для развитых стран: β_covid = 0,394 (p = 0,003), β_geo = 0,394 (p = 0,020). 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Выводы по второй главе. Анализ показал что цифровизация повышает устойчивость национальных экономик, однако её эффект зависит от типа кризиса и уровня цифровой зрелости. В 2020 году Эстония, Республика Корея, Сингапур и Польша показали более мягкое падение ВВП по сравнению со средним по ЕС - это связано с развитием цифрового государства, онлайн-сервисов и механизмов адресной поддержки. Кризис 2022 года показал пределы цифровизации: энергетические и геополитические шоки не компенсируются цифровыми технологиями даже при высокой цифровой зрелости. Эконометрика на панели 49 стран подтвердила положительную связь между интернет-проникновением и ВВП на душу населения: β = 0,2117 для развитых экономик, β = 0,3085 для переходных и β = 0,1978 для развивающихся. Тест Чоу подтвердил структурные различия между группами (p = 1,151 × 10⁻¹¹). Антикризисный буферный эффект выявлен только у развитых стран: β_covid = 0,3940 (p = 0,003), β_geo = 0,3943 (p = 0,020). Цифровизация выступает фактором роста во всех группах, но функцию макроэкономического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Pr>
          <w:rFonts w:ascii="Times New Roman" w:hAnsi="Times New Roman" w:cs="Times New Roman"/>
          <w:sz w:val="28"/>
          <w:szCs w:val="28"/>
        </w:rPr>
      </w:r>
      <w:pPr>
        <w:jc w:val="both"/>
        <w:ind w:firstLine="709"/>
        <w:spacing w:before="0" w:after="0" w:line="360" w:lineRule="auto"/>
      </w:pPr>
    </w:p>
    <w:p w:rsidR="00FC09C1" w:rsidRDefault="00FC09C1" w:rsidP="00801C73"/>
    <w:p w:rsidR="00FC09C1" w:rsidRDefault="00FC09C1" w:rsidP="00FC09C1">
      <w:pPr>
        <w:jc w:val="center"/>
        <w:spacing w:before="0" w:after="0" w:line="360" w:lineRule="auto"/>
        <w:rPr>
          <w:b/>
        </w:rPr>
        <w:pageBreakBefore w:val="on"/>
      </w:pPr>
      <w:r>
        <w:rPr>
          <w:b/>
          <w:rFonts w:ascii="Times New Roman" w:hAnsi="Times New Roman" w:cs="Times New Roman"/>
          <w:sz w:val="28"/>
          <w:szCs w:val="28"/>
        </w:rPr>
        <w:t>ГЛАВА III. ИСПОЛЬЗОВАНИЕ МЕЖДУНАРОДНОГО ОПЫТА ЦИФРОВИЗАЦИИ В УСЛОВИЯХ РЕСПУБЛИКИ УЗБЕКИСТАН</w:t>
        <w:rPr>
          <w:b/>
          <w:rFonts w:ascii="Times New Roman" w:hAnsi="Times New Roman" w:cs="Times New Roman"/>
          <w:sz w:val="28"/>
          <w:szCs w:val="28"/>
        </w:rPr>
      </w:r>
      <w:pPr>
        <w:jc w:val="center"/>
        <w:spacing w:before="0" w:after="0" w:line="360" w:lineRule="auto"/>
        <w:rPr>
          <w:b/>
        </w:rPr>
        <w:pageBreakBefore w:val="on"/>
      </w:pPr>
    </w:p>
    <w:p w:rsidR="00FC09C1" w:rsidRDefault="00FC09C1" w:rsidP="00FC09C1"/>
    <w:p w:rsidR="00FC09C1" w:rsidRDefault="00FC09C1" w:rsidP="00FC09C1">
      <w:pPr>
        <w:jc w:val="left"/>
        <w:spacing w:before="0" w:after="0" w:line="360" w:lineRule="auto"/>
      </w:pPr>
      <w:r>
        <w:rPr>
          <w:b/>
          <w:rFonts w:ascii="Times New Roman" w:hAnsi="Times New Roman" w:cs="Times New Roman"/>
          <w:sz w:val="28"/>
          <w:szCs w:val="28"/>
        </w:rPr>
        <w:t>3.1. Современное состояние цифровой трансформации экономики Узбекистана в рамках Стратегии «Цифровой Узбекистан - 2030»</w:t>
        <w:rPr>
          <w:b/>
          <w:rFonts w:ascii="Times New Roman" w:hAnsi="Times New Roman" w:cs="Times New Roman"/>
          <w:sz w:val="28"/>
          <w:szCs w:val="28"/>
        </w:rPr>
      </w:r>
      <w:pPr>
        <w:jc w:val="left"/>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lastRenderedPageBreak/>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Узбекистан. Задача этого параграфа -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трансформации национальной экономики.⁸² В её рамках в 2023-2024 годах реализовывались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секторах реальной экономики и 137 - в области региональной цифровой трансформации.⁸³ Стратегия также устанавливает ряд количественных ориентиров: увеличение доли цифровой экономики в ВВП не менее чем в 2,5 раза к 2026 году, расширение экспорта программного обеспечения в 10 раз - до 500 млн долларов США, а также вхождение Узбекистана в число 30 ведущих стран мира по EGDI к 2030 году.⁸⁴ Эти ориентиры позволяют оценить насколько фактическая динамика цифровизации соответствует заявленным целям.</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Оценка международного позиционирования Узбекистана показывает что страна заметно продвинулась по ряду композитных индексов рассмотренных во второй главе. По данным E-Government Survey ООН за 2024 год, Узбекистан занял 63-е место среди 193 стран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правительства.⁸⁵ Тем самым целевой показатель EGDI ≥ 0,75, установленный Стратегией на 2025 год, был достигнут раньше срока. Одновременно Узбекистан поднялся на 37 позиций в GovTech Maturity Index Всемирного банка и впервые вошёл в высшую категорию «A».⁸⁶ В Индексе готовности к искусственному интеллекту Oxford Insights страна улучшила позиции: с 87-го места в 2023 году до 70-го в 2024 году и 62-го в 2025 году.⁸⁷ 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 xml:space="preserve">Состояние цифровой инфраструктуры - базовое условие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 прежде всего скорости передачи данных и развитию фиксированного широкополосного доступа - сохраняется отставание. К началу 2023 года протяжённость волоконно-оптических линий связи в Узбекистане превысила 227 тыс. км.⁸⁸ К 2024 году покрытие сетями 4G достигло 97% населения, тогда как покрытие сетями 5G составило лишь 18%.⁸⁹ По данным Международного союза электросвязи, уровень проникновения интернета в Узбекистане в 2023 году достиг 89% населения против 83,9% годом ранее.⁹⁰ При этом структура доступа остаётся преимущественно мобильной: подписка на активную мобильную широкополосную связь составила 107%, тогда как фиксированная широкополосная подписка - 30,3%.⁹¹ Согласно Speedtest Global Index, к началу 2025 года медианная скорость загрузки в </w:t>
        <w:rPr>
          <w:rFonts w:ascii="Times New Roman" w:hAnsi="Times New Roman" w:cs="Times New Roman"/>
          <w:sz w:val="28"/>
          <w:szCs w:val="28"/>
        </w:rPr>
      </w:r>
      <w:r>
        <w:rPr>
          <w:rFonts w:ascii="Times New Roman" w:hAnsi="Times New Roman" w:cs="Times New Roman"/>
          <w:sz w:val="28"/>
          <w:szCs w:val="28"/>
        </w:rPr>
        <w:lastRenderedPageBreak/>
        <w:t>фиксированной сети достигла 79 Мбит/с, увеличившись на 43% за год, а в мобильной сети - 38 Мбит/с, увеличившись на 53%.⁹² В целом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2,4%.⁹³ Внутри сектора основная часть добавленной стоимости приходится на телекоммуникационные услуги, компьютерное программирование и консультационные услуги, тогда как хостинг, обработка данных и разработка программного обеспечения занимают меньшую долю. Темп роста сектора информации и связи в 2024 году составил 24,7% в реальном выражении, что значительно превысило общий темп роста ВВП.⁹⁴ Это позволяет рассматривать ИКТ-сектор как один из наиболее динамичных элементов экономики. Вместе с тем сравнение со странами ОЭСР, где доля ВДС ИКТ-сектора в 2023 году в среднем составила 6,2%, показывает: Узбекистан пока находится на раннем этапе формирования цифровой экономики - высокие темпы роста сектора ещё не перешли в сопоставимую долю в ВДС.</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Развитие IT Park Узбекистана отражает формирование институциональной базы для экспортно-ориентированного ИКТ-сектора. Созданный в 2019 году, к концу 2024 года IT Park объединял более 2 500 компаний-резидентов и около 11 тыс. работников.⁹⁵ Экспорт ИКТ-услуг увеличился с 50 млн долларов США в 2015 году до 344 млн долларов США в 2023 году.⁹⁶ Оценки за 2024 год различаются в зависимости от источника и методологии учёта: в одних источниках указывается 620 млн долларов США, в других - 1,15 млрд долларов США.⁹⁷ Поэтому важнее учитывать не отдельную оценку, а общую динамику: экспорт ИКТ-услуг показывает устойчивый рост что подтверждает усиление роли IT Park как институционального центра цифровой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Цифровизация финансовой системы -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Mastercard «Fintech Market Uzbekistan» за 2023 год, число пользователей удалённых банковских услуг увеличилось с примерно 8 млн человек в 2018 году до 30 млн человек в 2022 году.⁹⁸ В 2020-2022 годах объём транзакций через системы QR-онлайн рос в среднем на 119% в год, а совокупная стоимость операций увеличилась примерно в 15 раз.⁹⁹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POS-терминала.¹⁰⁰ Совокупный объём транзакций через межбанковскую систему в 2024 году превысил 7 279 трлн сумов.¹⁰¹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 что во второй главе рассматривалось на примере Сингапура и Республики Корея.</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sidRPr="00D3510B">
        <w:rPr>
          <w:rFonts w:ascii="Times New Roman" w:hAnsi="Times New Roman" w:cs="Times New Roman"/>
          <w:sz w:val="28"/>
          <w:szCs w:val="28"/>
        </w:rPr>
        <w:lastRenderedPageBreak/>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 это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из §2.1: при активном развитии государственных цифровых сервисов сохраняется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Pr>
          <w:rFonts w:ascii="Times New Roman" w:hAnsi="Times New Roman" w:cs="Times New Roman"/>
          <w:sz w:val="28"/>
          <w:szCs w:val="28"/>
        </w:rPr>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3.2. Адаптация международного опыта цифровой трансформации к условиям Республики Узбекистан</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Отправной точкой является результат из §2.3: тест Чоу (F = 5,34; p = 1,15 × 10⁻¹¹)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lower-middle income¹⁰² и методологии ЮНКТАД¹⁰³, относится к группе развивающихся экономик, включающей 11 стран и 144 наблюдения. В этой группе коэффициент при основном регрессоре log_internet составил β = 0,198 (p &lt; 0,001) - это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Однако interaction terms в группе развивающихся экономик оказались статистически незначимыми: β_covid = 0,0184 (p = 0,697), β_geo = 0,0457 (p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Стратегическая задача Узбекистана поэтому состоит не только в расширении цифрового доступа, но и в превращении цифровизации в полноценный инструмент антикризисной устойчивости.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В развитых экономиках (22 страны, 330 наблюдений) антикризисный эффект цифровизации оказался статистически значимым. Коэффициент при log_internet × Crisis_COVID составил β = 0,394 (p = 0,003), а при log_internet × Crisis_Geo - β = 0,394 (p = 0,020).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lastRenderedPageBreak/>
        <w:t>Рисунок 3.1 - Дифференциальная эластичность цифровизации в кризисные периоды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издержки.¹⁰⁴ Дополнительным преимуществом является открытая архитектура X-Road, что снижает барьеры технологического заимствования.¹⁰⁵</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Вместе с тем прямое копирование эстонской модели невозможно из-за разницы в масштабе. Население Эстонии составляет около 1,3 млн человек¹⁰⁶, тогда как население Узбекистана превышает 36 млн.¹⁰⁷ Поэтому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3.2 - Динамика ln(GDPpc) и ln(интернет-проникновения) по группам стран за 2010-2024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дизайна.¹⁰⁸ 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Польская модель имеет значение для Узбекистана в контексте преодоления асимметрии цифровой зрелости¹⁰⁹, выявленной в §3.1. Её ключевой урок в том что развитие цифрового государства должно сопровождаться целевыми мерами по цифровизации малого и среднего бизнеса -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развития¹¹⁰, Европейского банка реконструкции и развития¹¹¹ и Всемирного банка, уже участвующие в финансировании проектов цифровой инфраструктуры.</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Сингапурская модель наименее пригодна для прямого переноса в Узбекистан - Сингапур является городом-государством площадью 728 км², тогда как Узбекистан занимает 448 тыс. км² и имеет </w:t>
        <w:rPr>
          <w:rFonts w:ascii="Times New Roman" w:hAnsi="Times New Roman" w:cs="Times New Roman"/>
          <w:sz w:val="28"/>
          <w:szCs w:val="28"/>
        </w:rPr>
      </w:r>
      <w:r>
        <w:rPr>
          <w:rFonts w:ascii="Times New Roman" w:hAnsi="Times New Roman" w:cs="Times New Roman"/>
          <w:sz w:val="28"/>
          <w:szCs w:val="28"/>
        </w:rPr>
        <w:lastRenderedPageBreak/>
        <w:t>выраженную региональную дисперсию. Вместе с тем отдельные элементы сингапурского опыта - прежде всего система цифровой идентификации SingPass¹¹²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Синтез сравнительного и эконометрического анализа позволяет сформулировать общую рамку адаптации: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платежей.¹¹³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года.¹¹⁴</w:t>
        <w:rPr>
          <w:rFonts w:ascii="Times New Roman" w:hAnsi="Times New Roman" w:cs="Times New Roman"/>
          <w:sz w:val="28"/>
          <w:szCs w:val="28"/>
        </w:rPr>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3.3. Практические рекомендации по укреплению цифровой устойчивости экономики Республики Узбекистан и оценка ожидаемого эффекта</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Поэтому рекомендации имеют двухуровневую логику: первый уровень - усиление прямого эффекта цифровизации как фактора роста, второй - создание институциональных условий для перехода цифровизации к функции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Первая рекомендация - дальнейшее расширение интернет-проникновения как основного показателя цифровизации использованного в модели. По данным Международного союза электросвязи, уровень проникновения интернета в Узбекистане в 2023 году достиг 89% населения.¹¹⁵ Прогнозный сценарий на основе FE-модели для группы развивающихся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3.3 - Прогнозный сценарий ВВП на душу населения для Узбекистана при росте интернет-проникновения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w:t>
        <w:rPr>
          <w:rFonts w:ascii="Times New Roman" w:hAnsi="Times New Roman" w:cs="Times New Roman"/>
          <w:sz w:val="28"/>
          <w:szCs w:val="28"/>
        </w:rPr>
      </w:r>
      <w:r>
        <w:rPr>
          <w:rFonts w:ascii="Times New Roman" w:hAnsi="Times New Roman" w:cs="Times New Roman"/>
          <w:sz w:val="28"/>
          <w:szCs w:val="28"/>
        </w:rPr>
        <w:lastRenderedPageBreak/>
        <w:t>При этом дополнительный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основаны на предположении ceteris paribus; более точная оценка доверительных интервалов для FE-прогнозов требует bootstrap-процедуры, что выходит за рамки этой работы. Детальные прогнозные значения по годам представлены в таблице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Таблица 3.1 - Прогноз ВВП на душу населения для Узбекистана на 2025-2030 годы (FE-модель, ceteris paribus)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Сравнение трёх сценариев роста интернет-проникновения и связанной с ними динамики ВВП на душу населения представлено на рисунке 3.4.</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3.4 - Прогноз ВВП на душу населения для Узбекистана по трём сценариям на 2025-2030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Вторая рекомендация - 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(β_hightech = -0,0013; p = 0,835), тогда как в группе развитых стран его вклад положителен и значим (β_hightech = 0,0067; p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 В практическом плане рекомендуется расширение программ IT Park Uzbekistan¹¹⁶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 В Узбекистане первый элемент уже формируется - система MyID; второй находится на ранней стадии; третий демонстрирует быстрый рост: объём QR-транзакций увеличивался на 119% в год в 2020-2022 годах.¹¹⁷ Рекомендуется ускоренное завершение интеграции MyID с межведомственными базами данных по модели эстонской X-Road¹¹⁸ - это создаст технологическую основу для адресного и быстрого развёртывания антикризисных программ при будущих внешних шоках.</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Четвёртая рекомендация - учёт типа кризиса при проектировании цифровой устойчивости. Эконометрический анализ показал различие между двумя видами шоков: при пандемии COVID-19 </w:t>
        <w:rPr>
          <w:rFonts w:ascii="Times New Roman" w:hAnsi="Times New Roman" w:cs="Times New Roman"/>
          <w:sz w:val="28"/>
          <w:szCs w:val="28"/>
        </w:rPr>
      </w:r>
      <w:r>
        <w:rPr>
          <w:rFonts w:ascii="Times New Roman" w:hAnsi="Times New Roman" w:cs="Times New Roman"/>
          <w:sz w:val="28"/>
          <w:szCs w:val="28"/>
        </w:rPr>
        <w:lastRenderedPageBreak/>
        <w:t>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 но не как замену политике энергетической безопасности и диверсификации внешней торговли.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interaction terms может объясняться не только отсутствием антикризисного эффекта, но и ограниченным объёмом данных.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- 2030»¹¹⁹ с периодической повторной оценкой эконометрической модели по мере накопления данных. 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&lt; 0,001).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Обобщение пяти рекомендаций позволяет определить последовательность приоритетов. На первом этапе (2025-2027 годы) -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 -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 Указанная последовательность согласуется с целевыми показателями Стратегии «Цифровой Узбекистан - 2030»¹²⁰ и опирается на количественные результаты настоящего исследования.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ВДС составляет лишь 2,4% -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(β = 0,1978; p &lt; 0,001), однако пока не достигла уровня при котором она выполняет функцию антикризисного стабилизатора. Для адаптации наиболее применимы: эстонская X-Road как модель межведомственной </w:t>
        <w:rPr>
          <w:rFonts w:ascii="Times New Roman" w:hAnsi="Times New Roman" w:cs="Times New Roman"/>
          <w:sz w:val="28"/>
          <w:szCs w:val="28"/>
        </w:rPr>
      </w:r>
      <w:r>
        <w:rPr>
          <w:rFonts w:ascii="Times New Roman" w:hAnsi="Times New Roman" w:cs="Times New Roman"/>
          <w:sz w:val="28"/>
          <w:szCs w:val="28"/>
        </w:rPr>
        <w:lastRenderedPageBreak/>
        <w:t>интероперабельности, корейская привязка цифровизации к антикризисным программам, польская поддержка цифровизации МСБ и сингапурские решения в сфере цифровой идентификации.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выполняет функцию не только фактора роста, но 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Pr>
        <w:jc w:val="center"/>
        <w:spacing w:before="0" w:after="0" w:line="360" w:lineRule="auto"/>
        <w:rPr>
          <w:b/>
        </w:rPr>
        <w:pageBreakBefore w:val="on"/>
      </w:pPr>
      <w:r>
        <w:rPr>
          <w:b/>
          <w:rFonts w:ascii="Times New Roman" w:hAnsi="Times New Roman" w:cs="Times New Roman"/>
          <w:sz w:val="28"/>
          <w:szCs w:val="28"/>
        </w:rPr>
        <w:t>ЗАКЛЮЧЕНИЕ</w:t>
        <w:rPr>
          <w:b/>
          <w:rFonts w:ascii="Times New Roman" w:hAnsi="Times New Roman" w:cs="Times New Roman"/>
          <w:sz w:val="28"/>
          <w:szCs w:val="28"/>
        </w:rPr>
      </w:r>
      <w:pPr>
        <w:jc w:val="center"/>
        <w:spacing w:before="0" w:after="0" w:line="360" w:lineRule="auto"/>
        <w:rPr>
          <w:b/>
        </w:rPr>
        <w:pageBreakBefore w:val="on"/>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Эта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работе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Теоретическая рамка первой главы опирается на подходы к экономической уязвимости и устойчивости из работ Л. Бригульо и соавторов,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быстро адаптироваться к внешним шокам.</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этого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Основной эмпирический результат работы получен в §2.3 на несбалансированной панели 49 стран за 2010-2024 годы (707 наблюдений). Тест Чоу (F = 5,3377; p = 1,151 × 10⁻¹¹) подтвердил структурную неоднородность выборки и обосновал раздельный анализ трёх групп стран. Основная гипотеза H₁ подтверждена: коэффициент при log_internet положителен и статистически значим во всех группах - β </w:t>
        <w:rPr>
          <w:rFonts w:ascii="Times New Roman" w:hAnsi="Times New Roman" w:cs="Times New Roman"/>
          <w:sz w:val="28"/>
          <w:szCs w:val="28"/>
        </w:rPr>
      </w:r>
      <w:r>
        <w:rPr>
          <w:rFonts w:ascii="Times New Roman" w:hAnsi="Times New Roman" w:cs="Times New Roman"/>
          <w:sz w:val="28"/>
          <w:szCs w:val="28"/>
        </w:rPr>
        <w:lastRenderedPageBreak/>
        <w:t>=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выраженный через interaction terms, статистически выявлен только в группе развитых стран (β_covid = 0,394; p = 0,003; β_geo = 0,394; p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w:t>
        <w:rPr>
          <w:rFonts w:ascii="Times New Roman" w:hAnsi="Times New Roman" w:cs="Times New Roman"/>
          <w:sz w:val="28"/>
          <w:szCs w:val="28"/>
        </w:rPr>
      </w:r>
      <w:r w:rsidRPr="00D3510B">
        <w:rPr>
          <w:rFonts w:ascii="Times New Roman" w:hAnsi="Times New Roman" w:cs="Times New Roman"/>
          <w:sz w:val="28"/>
          <w:szCs w:val="28"/>
        </w:rPr>
        <w:t xml:space="preserve"> </w:t>
        <w:rPr>
          <w:rFonts w:ascii="Times New Roman" w:hAnsi="Times New Roman" w:cs="Times New Roman"/>
          <w:sz w:val="28"/>
          <w:szCs w:val="28"/>
        </w:rPr>
      </w:r>
      <w:r>
        <w:rPr>
          <w:rFonts w:ascii="Times New Roman" w:hAnsi="Times New Roman" w:cs="Times New Roman"/>
          <w:sz w:val="28"/>
          <w:szCs w:val="28"/>
        </w:rPr>
        <w:t>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ВДС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для группы развивающихся экономик включая Узбекистан, пока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Сформулированные практические рекомендации образуют поэтапную программу цифрового развития с горизонтом до 2030 года и после. На первом этапе в 2025-2027 годах приоритет - развитие инфраструктуры фискальной трансмиссии: MyID, межведомственной интеграции, цифровых платежей и расширения интернет-проникновения. На втором этапе в 2027-2030 годах ключевая задача -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 года стратегический ориентир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X-Road - ориентир для межведомственной интероперабельности, опыт Республики Корея - пример привязки цифровизации к антикризисным программам, польская модель - основа для поддержки цифровизации МСБ, а отдельные элементы сингапурской системы цифровой идентификации - ориентир для развития единого доступа к государственным и финансовым сервисам.ого уровня цифровой зрелости.</w:t>
        <w:rPr>
          <w:rFonts w:ascii="Times New Roman" w:hAnsi="Times New Roman" w:cs="Times New Roman"/>
          <w:sz w:val="28"/>
          <w:szCs w:val="28"/>
        </w:rPr>
      </w:r>
      <w:pPr>
        <w:jc w:val="both"/>
        <w:ind w:firstLine="709"/>
        <w:spacing w:before="0" w:after="0" w:line="360" w:lineRule="auto"/>
      </w:pPr>
    </w:p>
    <w:p w:rsidR="00D3510B" w:rsidRPr="00D3510B" w:rsidRDefault="00D3510B" w:rsidP="00D3510B">
      <w:pPr>
        <w:jc w:val="both"/>
        <w:ind w:firstLine="709"/>
        <w:spacing w:before="0" w:after="0" w:line="360" w:lineRule="auto"/>
      </w:pPr>
      <w:r w:rsidRPr="00D3510B">
        <w:rPr>
          <w:rFonts w:ascii="Times New Roman" w:hAnsi="Times New Roman" w:cs="Times New Roman"/>
          <w:sz w:val="28"/>
          <w:szCs w:val="28"/>
        </w:rPr>
        <w:t xml:space="preserve">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w:t>
        <w:rPr>
          <w:rFonts w:ascii="Times New Roman" w:hAnsi="Times New Roman" w:cs="Times New Roman"/>
          <w:sz w:val="28"/>
          <w:szCs w:val="28"/>
        </w:rPr>
      </w:r>
      <w:r w:rsidRPr="00D3510B">
        <w:rPr>
          <w:rFonts w:ascii="Times New Roman" w:hAnsi="Times New Roman" w:cs="Times New Roman"/>
          <w:sz w:val="28"/>
          <w:szCs w:val="28"/>
        </w:rPr>
        <w:lastRenderedPageBreak/>
        <w:t>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 расширение набора цифровых индикаторов, применение методов IV/GMM и проведение отраслевого анализа цифровизации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bookmarkStart w:id="0" w:name="_GoBack"/>
      <w:bookmarkEnd w:id="0"/>
    </w:p>
    <w:p w:rsidR="00D3510B" w:rsidRPr="00801C73" w:rsidRDefault="00D3510B" w:rsidP="00D3510B"/>
    <w:sectPr w:rsidR="00D3510B" w:rsidRPr="00801C73" w:rsidSect="007547C5">
      <w:footerReference w:type="default" r:id="rId7"/>
      <w:pgSz w:w="12240" w:h="15840"/>
      <w:pgNumType w:start="2"/>
      <w:cols w:space="708"/>
      <w:docGrid w:linePitch="360"/>
      <w:pgMar w:top="1134" w:right="851" w:bottom="1134" w:left="1701" w:header="708" w:footer="708" w:gutter="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8E1" w:rsidRDefault="00A938E1" w:rsidP="00DD46F9">
      <w:pPr>
        <w:spacing w:after="0" w:line="240" w:lineRule="auto"/>
      </w:pPr>
      <w:r>
        <w:separator/>
      </w:r>
    </w:p>
  </w:endnote>
  <w:endnote w:type="continuationSeparator" w:id="0">
    <w:p w:rsidR="00A938E1" w:rsidRDefault="00A938E1"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EndPr/>
    <w:sdtContent>
      <w:p w:rsidR="004A65CB" w:rsidRPr="007547C5" w:rsidRDefault="004A65CB">
        <w:pPr>
          <w:pStyle w:val="af2"/>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D3510B" w:rsidRPr="00D3510B">
          <w:rPr>
            <w:rFonts w:ascii="Times New Roman" w:hAnsi="Times New Roman" w:cs="Times New Roman"/>
            <w:noProof/>
            <w:sz w:val="28"/>
            <w:szCs w:val="28"/>
            <w:lang w:val="ru-RU"/>
          </w:rPr>
          <w:t>32</w:t>
        </w:r>
        <w:r w:rsidRPr="007547C5">
          <w:rPr>
            <w:rFonts w:ascii="Times New Roman" w:hAnsi="Times New Roman" w:cs="Times New Roman"/>
            <w:sz w:val="28"/>
            <w:szCs w:val="28"/>
          </w:rPr>
          <w:fldChar w:fldCharType="end"/>
        </w:r>
      </w:p>
    </w:sdtContent>
  </w:sdt>
  <w:p w:rsidR="004A65CB" w:rsidRDefault="004A65CB">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8E1" w:rsidRDefault="00A938E1" w:rsidP="00DD46F9">
      <w:pPr>
        <w:spacing w:after="0" w:line="240" w:lineRule="auto"/>
      </w:pPr>
      <w:r>
        <w:separator/>
      </w:r>
    </w:p>
  </w:footnote>
  <w:footnote w:type="continuationSeparator" w:id="0">
    <w:p w:rsidR="00A938E1" w:rsidRDefault="00A938E1" w:rsidP="00DD4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15:restartNumberingAfterBreak="0">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15:restartNumberingAfterBreak="0">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15:restartNumberingAfterBreak="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15:restartNumberingAfterBreak="0">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15:restartNumberingAfterBreak="0">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15:restartNumberingAfterBreak="0">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15:restartNumberingAfterBreak="0">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15:restartNumberingAfterBreak="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15:restartNumberingAfterBreak="0">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24780"/>
    <w:rsid w:val="000262BA"/>
    <w:rsid w:val="000276B0"/>
    <w:rsid w:val="0005378B"/>
    <w:rsid w:val="00083864"/>
    <w:rsid w:val="00085E0F"/>
    <w:rsid w:val="000A2239"/>
    <w:rsid w:val="000A3326"/>
    <w:rsid w:val="000A48DB"/>
    <w:rsid w:val="000C3C44"/>
    <w:rsid w:val="000D5E04"/>
    <w:rsid w:val="000D7A66"/>
    <w:rsid w:val="0010192C"/>
    <w:rsid w:val="00116C2C"/>
    <w:rsid w:val="00131B45"/>
    <w:rsid w:val="0013468A"/>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922C5"/>
    <w:rsid w:val="002961B0"/>
    <w:rsid w:val="002A59ED"/>
    <w:rsid w:val="002B4F82"/>
    <w:rsid w:val="002B7CE4"/>
    <w:rsid w:val="002E05B5"/>
    <w:rsid w:val="00301CCB"/>
    <w:rsid w:val="003131EB"/>
    <w:rsid w:val="00331406"/>
    <w:rsid w:val="00341045"/>
    <w:rsid w:val="00350E39"/>
    <w:rsid w:val="00351318"/>
    <w:rsid w:val="00360F76"/>
    <w:rsid w:val="00364140"/>
    <w:rsid w:val="00376026"/>
    <w:rsid w:val="003767BF"/>
    <w:rsid w:val="00381C3C"/>
    <w:rsid w:val="00385653"/>
    <w:rsid w:val="0038629A"/>
    <w:rsid w:val="003B16C6"/>
    <w:rsid w:val="003C7851"/>
    <w:rsid w:val="003D17DF"/>
    <w:rsid w:val="003D2605"/>
    <w:rsid w:val="0040793A"/>
    <w:rsid w:val="00411251"/>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A65CB"/>
    <w:rsid w:val="004D0EAB"/>
    <w:rsid w:val="004D6702"/>
    <w:rsid w:val="004D6A0C"/>
    <w:rsid w:val="004F5F16"/>
    <w:rsid w:val="004F7546"/>
    <w:rsid w:val="00523D0D"/>
    <w:rsid w:val="0053233C"/>
    <w:rsid w:val="00541DC1"/>
    <w:rsid w:val="005423CF"/>
    <w:rsid w:val="00543270"/>
    <w:rsid w:val="005458A7"/>
    <w:rsid w:val="00547FF4"/>
    <w:rsid w:val="0055079B"/>
    <w:rsid w:val="0055121C"/>
    <w:rsid w:val="00553B51"/>
    <w:rsid w:val="0055444C"/>
    <w:rsid w:val="005669D6"/>
    <w:rsid w:val="00581D3C"/>
    <w:rsid w:val="005B37CB"/>
    <w:rsid w:val="005B772F"/>
    <w:rsid w:val="005E0AFD"/>
    <w:rsid w:val="0061343A"/>
    <w:rsid w:val="00641F35"/>
    <w:rsid w:val="006525DC"/>
    <w:rsid w:val="006564C7"/>
    <w:rsid w:val="00656C68"/>
    <w:rsid w:val="006600E8"/>
    <w:rsid w:val="006779B3"/>
    <w:rsid w:val="0068011A"/>
    <w:rsid w:val="006C39C0"/>
    <w:rsid w:val="006D401A"/>
    <w:rsid w:val="006D5545"/>
    <w:rsid w:val="006D63C5"/>
    <w:rsid w:val="006E5771"/>
    <w:rsid w:val="006E5A5E"/>
    <w:rsid w:val="00705D6C"/>
    <w:rsid w:val="00710971"/>
    <w:rsid w:val="00712F9A"/>
    <w:rsid w:val="0073665F"/>
    <w:rsid w:val="00743705"/>
    <w:rsid w:val="00751C81"/>
    <w:rsid w:val="007547C5"/>
    <w:rsid w:val="007553E7"/>
    <w:rsid w:val="00764BAA"/>
    <w:rsid w:val="007B02EF"/>
    <w:rsid w:val="007C199C"/>
    <w:rsid w:val="007C4420"/>
    <w:rsid w:val="007C5847"/>
    <w:rsid w:val="007C68E9"/>
    <w:rsid w:val="007D13A7"/>
    <w:rsid w:val="007E11A7"/>
    <w:rsid w:val="007E151E"/>
    <w:rsid w:val="007E259D"/>
    <w:rsid w:val="007E2BCB"/>
    <w:rsid w:val="00801C73"/>
    <w:rsid w:val="008119FC"/>
    <w:rsid w:val="00821DA2"/>
    <w:rsid w:val="00822CCF"/>
    <w:rsid w:val="00826550"/>
    <w:rsid w:val="0084029A"/>
    <w:rsid w:val="00863A31"/>
    <w:rsid w:val="008708C2"/>
    <w:rsid w:val="00870CF9"/>
    <w:rsid w:val="008723B3"/>
    <w:rsid w:val="00874DFE"/>
    <w:rsid w:val="00877A82"/>
    <w:rsid w:val="00882915"/>
    <w:rsid w:val="0088760D"/>
    <w:rsid w:val="00893341"/>
    <w:rsid w:val="008A1904"/>
    <w:rsid w:val="008B0496"/>
    <w:rsid w:val="008C03F6"/>
    <w:rsid w:val="008C216A"/>
    <w:rsid w:val="008D43FB"/>
    <w:rsid w:val="008E1172"/>
    <w:rsid w:val="009043ED"/>
    <w:rsid w:val="009204E2"/>
    <w:rsid w:val="00920550"/>
    <w:rsid w:val="00927DE3"/>
    <w:rsid w:val="00931986"/>
    <w:rsid w:val="00932820"/>
    <w:rsid w:val="009366F2"/>
    <w:rsid w:val="009450DC"/>
    <w:rsid w:val="009504F6"/>
    <w:rsid w:val="0096353A"/>
    <w:rsid w:val="009679C3"/>
    <w:rsid w:val="00982091"/>
    <w:rsid w:val="009943C6"/>
    <w:rsid w:val="009A48DB"/>
    <w:rsid w:val="009A4F59"/>
    <w:rsid w:val="009A66BA"/>
    <w:rsid w:val="009B28D9"/>
    <w:rsid w:val="009B6D8B"/>
    <w:rsid w:val="009C4BB1"/>
    <w:rsid w:val="009D407C"/>
    <w:rsid w:val="009F1C91"/>
    <w:rsid w:val="009F3563"/>
    <w:rsid w:val="00A14051"/>
    <w:rsid w:val="00A257A6"/>
    <w:rsid w:val="00A328CA"/>
    <w:rsid w:val="00A32D3E"/>
    <w:rsid w:val="00A4706B"/>
    <w:rsid w:val="00A513D6"/>
    <w:rsid w:val="00A654D5"/>
    <w:rsid w:val="00A820E4"/>
    <w:rsid w:val="00A82666"/>
    <w:rsid w:val="00A879C5"/>
    <w:rsid w:val="00A938E1"/>
    <w:rsid w:val="00A95FD3"/>
    <w:rsid w:val="00A96E0B"/>
    <w:rsid w:val="00AA3F52"/>
    <w:rsid w:val="00AA5A32"/>
    <w:rsid w:val="00AA6689"/>
    <w:rsid w:val="00AB3C61"/>
    <w:rsid w:val="00AB6598"/>
    <w:rsid w:val="00AC4B45"/>
    <w:rsid w:val="00AC7038"/>
    <w:rsid w:val="00AF419D"/>
    <w:rsid w:val="00B006AC"/>
    <w:rsid w:val="00B02B8F"/>
    <w:rsid w:val="00B433DA"/>
    <w:rsid w:val="00B732CA"/>
    <w:rsid w:val="00B80191"/>
    <w:rsid w:val="00B84CB6"/>
    <w:rsid w:val="00B915AA"/>
    <w:rsid w:val="00B919BE"/>
    <w:rsid w:val="00B965A8"/>
    <w:rsid w:val="00BA44CB"/>
    <w:rsid w:val="00BC7A5B"/>
    <w:rsid w:val="00BD0E91"/>
    <w:rsid w:val="00BD1FC4"/>
    <w:rsid w:val="00BD25F1"/>
    <w:rsid w:val="00BD3CFF"/>
    <w:rsid w:val="00BE2257"/>
    <w:rsid w:val="00BF7492"/>
    <w:rsid w:val="00C070D6"/>
    <w:rsid w:val="00C105E6"/>
    <w:rsid w:val="00C13A70"/>
    <w:rsid w:val="00C16044"/>
    <w:rsid w:val="00C22526"/>
    <w:rsid w:val="00C25DA2"/>
    <w:rsid w:val="00C4351F"/>
    <w:rsid w:val="00C4631A"/>
    <w:rsid w:val="00C52E90"/>
    <w:rsid w:val="00C750C6"/>
    <w:rsid w:val="00C846B7"/>
    <w:rsid w:val="00CA12D6"/>
    <w:rsid w:val="00CB5949"/>
    <w:rsid w:val="00CC43AD"/>
    <w:rsid w:val="00D0296B"/>
    <w:rsid w:val="00D04346"/>
    <w:rsid w:val="00D104B6"/>
    <w:rsid w:val="00D11876"/>
    <w:rsid w:val="00D12F6D"/>
    <w:rsid w:val="00D32FFA"/>
    <w:rsid w:val="00D3510B"/>
    <w:rsid w:val="00D437FE"/>
    <w:rsid w:val="00D577DC"/>
    <w:rsid w:val="00D62BC7"/>
    <w:rsid w:val="00D779A8"/>
    <w:rsid w:val="00D81BBA"/>
    <w:rsid w:val="00D82521"/>
    <w:rsid w:val="00D837B4"/>
    <w:rsid w:val="00DA3006"/>
    <w:rsid w:val="00DB02A2"/>
    <w:rsid w:val="00DD46F9"/>
    <w:rsid w:val="00DD75A8"/>
    <w:rsid w:val="00DE6433"/>
    <w:rsid w:val="00E13BFF"/>
    <w:rsid w:val="00E3397A"/>
    <w:rsid w:val="00E513A6"/>
    <w:rsid w:val="00E76BF6"/>
    <w:rsid w:val="00E95F17"/>
    <w:rsid w:val="00E965F0"/>
    <w:rsid w:val="00EA4045"/>
    <w:rsid w:val="00EA5ACA"/>
    <w:rsid w:val="00EB0EF0"/>
    <w:rsid w:val="00EB5131"/>
    <w:rsid w:val="00EC025C"/>
    <w:rsid w:val="00EC26AE"/>
    <w:rsid w:val="00EC28F9"/>
    <w:rsid w:val="00EC35CC"/>
    <w:rsid w:val="00ED263A"/>
    <w:rsid w:val="00F134DD"/>
    <w:rsid w:val="00F2188E"/>
    <w:rsid w:val="00F232FC"/>
    <w:rsid w:val="00F3522F"/>
    <w:rsid w:val="00F43C03"/>
    <w:rsid w:val="00F54756"/>
    <w:rsid w:val="00F64487"/>
    <w:rsid w:val="00F65165"/>
    <w:rsid w:val="00F66BB8"/>
    <w:rsid w:val="00F71F25"/>
    <w:rsid w:val="00F753D0"/>
    <w:rsid w:val="00F76507"/>
    <w:rsid w:val="00F87FD9"/>
    <w:rsid w:val="00FC0440"/>
    <w:rsid w:val="00FC09C1"/>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0E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styleId="af0">
    <w:name w:val="header"/>
    <w:basedOn w:val="a"/>
    <w:link w:val="af1"/>
    <w:uiPriority w:val="99"/>
    <w:unhideWhenUsed/>
    <w:rsid w:val="00411251"/>
    <w:pPr>
      <w:tabs>
        <w:tab w:val="center" w:pos="4844"/>
        <w:tab w:val="right" w:pos="9689"/>
      </w:tabs>
      <w:spacing w:after="0" w:line="240" w:lineRule="auto"/>
    </w:pPr>
  </w:style>
  <w:style w:type="character" w:customStyle="1" w:styleId="af1">
    <w:name w:val="Верхний колонтитул Знак"/>
    <w:basedOn w:val="a0"/>
    <w:link w:val="af0"/>
    <w:uiPriority w:val="99"/>
    <w:rsid w:val="00411251"/>
  </w:style>
  <w:style w:type="paragraph" w:styleId="af2">
    <w:name w:val="footer"/>
    <w:basedOn w:val="a"/>
    <w:link w:val="af3"/>
    <w:uiPriority w:val="99"/>
    <w:unhideWhenUsed/>
    <w:rsid w:val="00411251"/>
    <w:pPr>
      <w:tabs>
        <w:tab w:val="center" w:pos="4844"/>
        <w:tab w:val="right" w:pos="9689"/>
      </w:tabs>
      <w:spacing w:after="0" w:line="240" w:lineRule="auto"/>
    </w:pPr>
  </w:style>
  <w:style w:type="character" w:customStyle="1" w:styleId="af3">
    <w:name w:val="Нижний колонтитул Знак"/>
    <w:basedOn w:val="a0"/>
    <w:link w:val="af2"/>
    <w:uiPriority w:val="99"/>
    <w:rsid w:val="0041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60174864">
      <w:bodyDiv w:val="1"/>
      <w:marLeft w:val="0"/>
      <w:marRight w:val="0"/>
      <w:marTop w:val="0"/>
      <w:marBottom w:val="0"/>
      <w:divBdr>
        <w:top w:val="none" w:sz="0" w:space="0" w:color="auto"/>
        <w:left w:val="none" w:sz="0" w:space="0" w:color="auto"/>
        <w:bottom w:val="none" w:sz="0" w:space="0" w:color="auto"/>
        <w:right w:val="none" w:sz="0" w:space="0" w:color="auto"/>
      </w:divBdr>
    </w:div>
    <w:div w:id="96415170">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59401963">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1453186">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65191983">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36649418">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28769349">
      <w:bodyDiv w:val="1"/>
      <w:marLeft w:val="0"/>
      <w:marRight w:val="0"/>
      <w:marTop w:val="0"/>
      <w:marBottom w:val="0"/>
      <w:divBdr>
        <w:top w:val="none" w:sz="0" w:space="0" w:color="auto"/>
        <w:left w:val="none" w:sz="0" w:space="0" w:color="auto"/>
        <w:bottom w:val="none" w:sz="0" w:space="0" w:color="auto"/>
        <w:right w:val="none" w:sz="0" w:space="0" w:color="auto"/>
      </w:divBdr>
    </w:div>
    <w:div w:id="748387798">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7815987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306471598">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460152093">
      <w:bodyDiv w:val="1"/>
      <w:marLeft w:val="0"/>
      <w:marRight w:val="0"/>
      <w:marTop w:val="0"/>
      <w:marBottom w:val="0"/>
      <w:divBdr>
        <w:top w:val="none" w:sz="0" w:space="0" w:color="auto"/>
        <w:left w:val="none" w:sz="0" w:space="0" w:color="auto"/>
        <w:bottom w:val="none" w:sz="0" w:space="0" w:color="auto"/>
        <w:right w:val="none" w:sz="0" w:space="0" w:color="auto"/>
      </w:divBdr>
    </w:div>
    <w:div w:id="1537043979">
      <w:bodyDiv w:val="1"/>
      <w:marLeft w:val="0"/>
      <w:marRight w:val="0"/>
      <w:marTop w:val="0"/>
      <w:marBottom w:val="0"/>
      <w:divBdr>
        <w:top w:val="none" w:sz="0" w:space="0" w:color="auto"/>
        <w:left w:val="none" w:sz="0" w:space="0" w:color="auto"/>
        <w:bottom w:val="none" w:sz="0" w:space="0" w:color="auto"/>
        <w:right w:val="none" w:sz="0" w:space="0" w:color="auto"/>
      </w:divBdr>
    </w:div>
    <w:div w:id="1542210955">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15161</Words>
  <Characters>86418</Characters>
  <Application>Microsoft Office Word</Application>
  <DocSecurity>0</DocSecurity>
  <Lines>720</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2026-06-03T10:49:00Z</dcterms:created>
  <dcterms:modified xsi:type="dcterms:W3CDTF">2026-06-04T13:39:00Z</dcterms:modified>
</cp:coreProperties>
</file>