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A16" w:rsidRPr="000E5726" w:rsidRDefault="00C02A16" w:rsidP="00C02A16">
      <w:pPr>
        <w:pageBreakBefore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ВВЕДЕНИЕ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 темы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Три волны глобальных кризисов - 2008-2009, 2020-2021 и 2022 годов - обнажили одну закономерность, которую сложно игнорировать: одинаковый по силе внешний удар даёт разные траектории восстановления даже у стран со схожим уровнем развития. Одни экономики возвращались к росту достаточно быстро, другие ещё долго несли последствия ш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ока. Классические инструменты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искальная и монетарная политика</w:t>
      </w:r>
      <w:r w:rsidR="0093678C">
        <w:rPr>
          <w:rFonts w:ascii="Times New Roman" w:hAnsi="Times New Roman" w:cs="Times New Roman"/>
          <w:sz w:val="28"/>
          <w:szCs w:val="28"/>
        </w:rPr>
        <w:t> 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объясняют многое, но явно не всё. Так, по оценкам Организации экономического сотрудничества и развития, страны ОЭСР, столкнувшиеся с банковским кризисом в 2008-2009 годах, восстанавливались в среднем около 12 кварталов, тогда как страны без банковского кризиса - около 4 кварталов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Разрыв в три раза при сопоставимой макроэкономической политике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 достаточно весомый аргумент в пользу того, что устойчивость экономики определяется не только реакцией на шок, но и тем, что было выстроено до него.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 условиях четвёртой промышленной рев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 xml:space="preserve">олюции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93678C">
        <w:rPr>
          <w:rFonts w:ascii="Times New Roman" w:hAnsi="Times New Roman" w:cs="Times New Roman"/>
          <w:sz w:val="28"/>
          <w:szCs w:val="28"/>
          <w:lang w:val="ru-RU"/>
        </w:rPr>
        <w:t xml:space="preserve"> всё чаще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сматривается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один из таких структурных факторов. Опыт пандемии 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933D6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19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показал, что развитая цифровая инфраструктура, цифровое государство и онлайн-сервисы позволяют поддерживать непрерывность государственных функций, ускорять фискальную трансмиссию и смягчать падение деловой активности. Но называть эту связь полностью изученной пока рано. В научной литературе до сих пор нет достаточно системного объяснения того, через какие конкретно механизмы цифровые технологии влияют на отдельные элементы макроэкономической устойчивости.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Особую значимость данная проблематика приобретает для Республики Узбекистан, реализующей программу цифровой трансформации в рамках Стратегии «Цифровой Узбекистан - 2030»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национальной экономики здесь важно не просто перенять отдельные решения стран-лидеров, а разобраться - какие именно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реально работают на повышение устойчивости к внешним шокам. В отечественной литературе этот вопрос раскрыт слабо, особенно в части связи между количественными показателями цифрового развития и траекториями восстановления в кризисный период 2020-2022 годов. Отсюда и научная, и практическая значимость темы.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Степень изученности проблемы.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Концептуальные основы экономической устойчивости заложены в работах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Кордины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Фарругия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Веллы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там проводится принципиальное разграничение между структ</w:t>
      </w:r>
      <w:r w:rsidR="0093678C">
        <w:rPr>
          <w:rFonts w:ascii="Times New Roman" w:hAnsi="Times New Roman" w:cs="Times New Roman"/>
          <w:sz w:val="28"/>
          <w:szCs w:val="28"/>
          <w:lang w:val="ru-RU"/>
        </w:rPr>
        <w:t>урной уязвимостью экономики и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способностью противостоять шокам. Эмпирические аспекты влияния макроэкономической политики на устойчивость представлены в исследованиях А. Кальдера-Санчес, О.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других авторов в рамках аналитической программы ОЭСР. Вопросы цифровой трансформации национальных экономик раскрываются в докладах ОЭСР, Всемирного банка и Европейской комиссии, а влияние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поведение фирм в кризисных условиях - в работах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Ойкономоу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Пьерри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Й.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Тиммера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Пробле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ма в том, что оба направления - устойчивость и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большинстве работ </w:t>
      </w:r>
      <w:proofErr w:type="spellStart"/>
      <w:r w:rsidR="0093678C">
        <w:rPr>
          <w:rFonts w:ascii="Times New Roman" w:hAnsi="Times New Roman" w:cs="Times New Roman"/>
          <w:sz w:val="28"/>
          <w:szCs w:val="28"/>
          <w:lang w:val="ru-RU"/>
        </w:rPr>
        <w:t>существ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ют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бы параллельно, не пересекаясь.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Комплексного анализа каналов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которые цифровые технологии воздействуют на макроэкономическую устойчивость в условиях глобальных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кризисов, пока недостаточно. Этот пробел и стал отправной точкой данной работы.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 исследования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процесс цифровой трансформации национальных экономик и формирование их устойчивости к глобальным экзогенным шокам.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Предмет исследования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 механизмы и каналы воздействия цифровых технологий на макроэкономическую устойчивость национальных экономик в условиях глобальных кризисов 2020-2022 годов.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исследования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 выявить и эмпирически обосновать каналы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 к глобальным кризисам, а также разработать рекомендации по адаптации международного опыта цифровой трансформации к условиям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достижения поставленной цели необходимо решить следующие задачи: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Раскрыть теоретико-методологические основы </w:t>
      </w:r>
      <w:proofErr w:type="spellStart"/>
      <w:r w:rsidRPr="00433F08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экономики, выделить её основные направления и систематизировать каналы воздействия на макроэкономическую устойчивость.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>Проанализировать теоретические подходы к категории устойчивости национальных экономик к экзогенным шокам и определить её ключевые компоненты.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>Провести сравнительный анализ моделей цифровой трансформации Эстонии, Республ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ики Корея, Сингапура и Польши - </w:t>
      </w: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gramStart"/>
      <w:r w:rsidRPr="00433F08">
        <w:rPr>
          <w:rFonts w:ascii="Times New Roman" w:hAnsi="Times New Roman" w:cs="Times New Roman"/>
          <w:sz w:val="28"/>
          <w:szCs w:val="28"/>
          <w:lang w:val="ru-RU"/>
        </w:rPr>
        <w:t>оценить</w:t>
      </w:r>
      <w:proofErr w:type="gramEnd"/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как каждая из этих экономик реагировала на глобальные кризисы 2020-2022 годов с учётом уровня цифровой зрелости.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Построить эконометрическую модель на основе панельных данных, которая позволит оценить связь между показателями </w:t>
      </w:r>
      <w:proofErr w:type="spellStart"/>
      <w:r w:rsidRPr="00433F08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и индикаторами устойчивости национальных экономик, и интерпретировать полученные результаты.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lastRenderedPageBreak/>
        <w:t>Оценить текущее состояние цифровой трансформации экономики Узбекистана в рамках С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тратегии «Цифровой Узбекистан - </w:t>
      </w:r>
      <w:r w:rsidRPr="00433F08">
        <w:rPr>
          <w:rFonts w:ascii="Times New Roman" w:hAnsi="Times New Roman" w:cs="Times New Roman"/>
          <w:sz w:val="28"/>
          <w:szCs w:val="28"/>
          <w:lang w:val="ru-RU"/>
        </w:rPr>
        <w:t>2030» и определить, какие элементы международного опыта здесь реально применимы.</w:t>
      </w:r>
    </w:p>
    <w:p w:rsidR="00C02A16" w:rsidRPr="00433F08" w:rsidRDefault="00C02A16" w:rsidP="00C02A16">
      <w:pPr>
        <w:pStyle w:val="a3"/>
        <w:numPr>
          <w:ilvl w:val="0"/>
          <w:numId w:val="1"/>
        </w:numPr>
        <w:spacing w:after="0" w:line="36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sz w:val="28"/>
          <w:szCs w:val="28"/>
          <w:lang w:val="ru-RU"/>
        </w:rPr>
        <w:t>Разработат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ь практические рекомендаций</w:t>
      </w:r>
      <w:r w:rsidRPr="00433F08">
        <w:rPr>
          <w:rFonts w:ascii="Times New Roman" w:hAnsi="Times New Roman" w:cs="Times New Roman"/>
          <w:sz w:val="28"/>
          <w:szCs w:val="28"/>
          <w:lang w:val="ru-RU"/>
        </w:rPr>
        <w:t xml:space="preserve"> по укреплению цифровой инфраструктуры как фактора антикризисной устойчивости национальной экономики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результаты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работе систематизированы каналы, через которые цифровые технологии могут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влиять на устойчивость националь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ных экономик в период глобальных кризисов. В качестве ключевых выделены пять направлений: непрерывность государственн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ых функций, фискальная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трансмис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адаптация частного сектора, сдвиг структуры спроса в пользу цифровых услуг, а также устойчивость информационно-коммуникационного сектора. Отдельно проведён сравнительный анализ моделей цифровой трансформации Эстонии, Республики К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орея, Сингапура и Польши - с уче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том институциональных особенностей каждой страны и того, как они проходили кризисы 2020-2022 годов. На основе панельных данных в среде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построена эконометрическая модель, которая позвол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яет оценить связь между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показати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лями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цифровой зрелости и отдельными индикаторами макроэкономической устойчивости.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Полученные результаты могут использоваться при уточнении стратегических документов цифровой трансформации Республики Узбекистан, включая С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тратегию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2030», а также при подготовке мер по повышению устойчивости национальной экономики в кризисных условиях. Обобщённый международный опыт и сформулированные рекомендации адресованы прежде всего государственным органам в сфере цифрового развития, а также научным и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образова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тельным органи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зациям работающим </w:t>
      </w:r>
      <w:proofErr w:type="gramStart"/>
      <w:r w:rsidR="00390488">
        <w:rPr>
          <w:rFonts w:ascii="Times New Roman" w:hAnsi="Times New Roman" w:cs="Times New Roman"/>
          <w:sz w:val="28"/>
          <w:szCs w:val="28"/>
          <w:lang w:val="ru-RU"/>
        </w:rPr>
        <w:t>на пересечений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вопросов международной экономики, цифровой трансформации и устойчивого развития.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Методология исследования.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Методологической основой рабо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ты выступает системный подход - 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сматриваются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здесь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как взаимосвязанные </w:t>
      </w:r>
      <w:proofErr w:type="spellStart"/>
      <w:r w:rsidR="00390488">
        <w:rPr>
          <w:rFonts w:ascii="Times New Roman" w:hAnsi="Times New Roman" w:cs="Times New Roman"/>
          <w:sz w:val="28"/>
          <w:szCs w:val="28"/>
          <w:lang w:val="ru-RU"/>
        </w:rPr>
        <w:t>характерист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экономики, а не как отдельные явления. В работе используются методы сравнительного анализа, корреляционно-регрессионного моделирования на панельных данных и графической визуализации. Эконометрический анализ выполнен в среде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RStudio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применением пакета 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plm</w:t>
      </w:r>
      <w:proofErr w:type="spellEnd"/>
      <w:r w:rsidR="0039048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Эмпирическую базу составляют данные ОЭСР, Международного валютного фонда, Всемирного банка, Европейской комиссии и ООН. В сравнительном анализе используются международные индексы цифровой зрелости, включая </w:t>
      </w:r>
      <w:r w:rsidRPr="000E5726">
        <w:rPr>
          <w:rFonts w:ascii="Times New Roman" w:hAnsi="Times New Roman" w:cs="Times New Roman"/>
          <w:sz w:val="28"/>
          <w:szCs w:val="28"/>
        </w:rPr>
        <w:t>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Government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E5726">
        <w:rPr>
          <w:rFonts w:ascii="Times New Roman" w:hAnsi="Times New Roman" w:cs="Times New Roman"/>
          <w:sz w:val="28"/>
          <w:szCs w:val="28"/>
        </w:rPr>
        <w:t>Network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Readiness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E5726">
        <w:rPr>
          <w:rFonts w:ascii="Times New Roman" w:hAnsi="Times New Roman" w:cs="Times New Roman"/>
          <w:sz w:val="28"/>
          <w:szCs w:val="28"/>
        </w:rPr>
        <w:t>Digital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Economy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and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Society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В эконометрической модели основным индикатором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доля интернет-пользователей в численности населения по базе </w:t>
      </w:r>
      <w:r w:rsidRPr="000E5726">
        <w:rPr>
          <w:rFonts w:ascii="Times New Roman" w:hAnsi="Times New Roman" w:cs="Times New Roman"/>
          <w:sz w:val="28"/>
          <w:szCs w:val="28"/>
        </w:rPr>
        <w:t>World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Indicators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что обеспечивает сопоставимость данных по выборке из 49 стран за 2010-2024 годы. Также в работе используются нормативно-правовые акты и стратегические документы Республики Узбекистан.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Выпускная квалификационная</w:t>
      </w:r>
      <w:r w:rsidR="0039048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х глав, разделённых на девять параграфов, заключения, списка использованных источников и приложений.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первой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«Теоретико-методологические основы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устойчивости стран к глобальным кризисам» раскрываются сущность и основные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современной экономики,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рассматриваются теоретические подходы к категории устойчивости национальных экономик к экзогенным шокам, а также систематизируются каналы воздействия цифровых технологий на макроэкономическую стабильность.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Во второй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«Международный опыт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эконометрический анализ её влияния на устойчивость стран к глобальным кризисам» проводится сравнительный анализ моделей цифровой трансформации Эстонии, Республики Корея, Сингапура и Польши, оценивается реакция этих экономик на глобальные кризисы 2020-2022 годов, а также выполняется эконометрический анализ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 на основе панельных данных.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третьей главе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«Использование международного опыта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Республики Узбекистан» рассматривается текущее состояние цифровой трансформации экономики Узбекистана в рамках С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тратегии «Цифровой Узбекистан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2030», оцениваются возможности адаптации международног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 xml:space="preserve">о опыта и формулируются </w:t>
      </w:r>
      <w:proofErr w:type="spellStart"/>
      <w:r w:rsidR="00807BBC">
        <w:rPr>
          <w:rFonts w:ascii="Times New Roman" w:hAnsi="Times New Roman" w:cs="Times New Roman"/>
          <w:sz w:val="28"/>
          <w:szCs w:val="28"/>
          <w:lang w:val="ru-RU"/>
        </w:rPr>
        <w:t>практич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ские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рекомендации по укреплению цифровой устойчивости национальной экономики.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3F08">
        <w:rPr>
          <w:rFonts w:ascii="Times New Roman" w:hAnsi="Times New Roman" w:cs="Times New Roman"/>
          <w:b/>
          <w:bCs/>
          <w:sz w:val="28"/>
          <w:szCs w:val="28"/>
          <w:lang w:val="ru-RU"/>
        </w:rPr>
        <w:t>В заключении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обобщаются основные результаты исследования, формулируются выводы и практические рекомендации.</w:t>
      </w:r>
    </w:p>
    <w:p w:rsidR="00C02A16" w:rsidRPr="000E5726" w:rsidRDefault="00C02A16" w:rsidP="00C02A16">
      <w:pPr>
        <w:pageBreakBefore/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ГЛАВА I. ТЕОРЕТИКО-МЕТОДОЛОГИЧЕСКИЕ ОСНОВЫ ЦИФРОВИЗАЦИИ ЭКОНОМИКИ И УСТОЙЧИВОСТИ СТРАН К ГЛОБАЛЬНЫМ КРИЗИСАМ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1.1. Сущность, содержание и основные направления </w:t>
      </w:r>
      <w:proofErr w:type="spellStart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современной экономики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Понятие «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экономики» в научной литературе трактуется неоднозначно -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этот процесс охватывает не только внедрение технологий, но и более глубокие изменения: в экономических связях, управлении и организации хозяйственной деятельности. В аналитических документах Организации экономического сотрудничества и развития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рассматривается одновременно как процесс распространения цифровых технологий и как структурный сдвиг, влияющий на производство, потребление и регулирование экономической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активност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"/>
      </w:r>
      <w:r w:rsidRPr="00933D6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понимается как встраивание цифровых технологий и данных в производственные, обменные и распределительные процессы национальной экономики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CA"/>
        </w:rPr>
        <w:t>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результате меняется её отраслевая структура, модели государственного управления и формы взаимодействия экономических агентов.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Важно разграничивать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как широкий процесс и информационно-коммуникационный сектор как её технологическую основу. Согласно классификации ОЭСР, основанной на международном стандарте ISIC Rev.4, ИКТ-сектор включает производство компьютеров, электронных и оптических изделий, телекоммуникации, а также деятельность в области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информационных технологий и информацио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нных услуг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"/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цифровая экономика не огран</w:t>
      </w:r>
      <w:r w:rsidR="00807BBC">
        <w:rPr>
          <w:rFonts w:ascii="Times New Roman" w:hAnsi="Times New Roman" w:cs="Times New Roman"/>
          <w:sz w:val="28"/>
          <w:szCs w:val="28"/>
          <w:lang w:val="ru-RU"/>
        </w:rPr>
        <w:t>ичивается только ИКТ-сектором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она охв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 xml:space="preserve">атывает и распространение </w:t>
      </w:r>
      <w:proofErr w:type="spellStart"/>
      <w:r w:rsidR="00081992">
        <w:rPr>
          <w:rFonts w:ascii="Times New Roman" w:hAnsi="Times New Roman" w:cs="Times New Roman"/>
          <w:sz w:val="28"/>
          <w:szCs w:val="28"/>
          <w:lang w:val="ru-RU"/>
        </w:rPr>
        <w:t>цифро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технологий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тради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ционые</w:t>
      </w:r>
      <w:proofErr w:type="spellEnd"/>
      <w:r w:rsidR="00081992">
        <w:rPr>
          <w:rFonts w:ascii="Times New Roman" w:hAnsi="Times New Roman" w:cs="Times New Roman"/>
          <w:sz w:val="28"/>
          <w:szCs w:val="28"/>
          <w:lang w:val="ru-RU"/>
        </w:rPr>
        <w:t xml:space="preserve"> отрасли: промышленность торговлю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финансы и государственное управление. Именно через такое распространение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начинает влиять на более широкие пока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затели национальной экономики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ВВП на душу населения и производительность труда.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Эмпирические данные показы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вают: ИКТ-сектор стабильно расте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 быстрее экономики в целом. По оценкам ОЭСР, основанным на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nowcasting</w:t>
      </w:r>
      <w:proofErr w:type="spellEnd"/>
      <w:r w:rsidR="0008199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-модели, в течение 2013-2023 годов ИКТ-сектор стран ОЭСР рос примерно в три раза быстрее совокупной экономики. В 2023 году средний темп роста ИКТ-сектора достиг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7,6%, причем в десяти странах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включая Великобрит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анию, Бельгию, Германию и США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этот показатель превысил 9%. Доля валовой добавленной стоимости, генерируемой ИКТ-сектором в странах ОЭСР, увеличилась с 3,9% в 2010 году до 5,4% в 2019 году, а 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к 2023 году достигла около 6,2%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"/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Динамика доли ИКТ-сектора в валовой добавленной стоимости стран ОЭСР представлена на рисунке 1.1.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A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BD637C" wp14:editId="259E63B7">
            <wp:extent cx="5223510" cy="2621280"/>
            <wp:effectExtent l="0" t="0" r="15240" b="762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Рисунок 1.1. Динамика доли ИКТ-сектора в валовой добавленной стоимости стран ОЭСР, 2010-2023 гг., %</w:t>
      </w:r>
    </w:p>
    <w:p w:rsidR="00C02A16" w:rsidRPr="00A4607E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Источник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: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составлено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автором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данным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OECD Digital Economy Outlook 2024 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и</w:t>
      </w:r>
      <w:r w:rsidRPr="00A4607E">
        <w:rPr>
          <w:rFonts w:ascii="Times New Roman" w:hAnsi="Times New Roman" w:cs="Times New Roman"/>
          <w:i/>
          <w:iCs/>
          <w:sz w:val="24"/>
          <w:szCs w:val="24"/>
          <w:lang w:val="en-CA"/>
        </w:rPr>
        <w:t xml:space="preserve"> OECD STAN Industrial Analysis Database.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Измерить цифровую экономику в едином показателе достаточно сложно - она включает и самостоятельный ИКТ-сектор, и цифровые технологии в других отраслях. До формирования единого монетарного показателя цифровой экономики международные сравнения чаще опираются на промежуточные индикаторы: долю ИКТ-сектора в ВВП, уровень проникновения цифровых технологий среди населения и предприятий, а также композит</w:t>
      </w:r>
      <w:r w:rsidR="00081992">
        <w:rPr>
          <w:rFonts w:ascii="Times New Roman" w:hAnsi="Times New Roman" w:cs="Times New Roman"/>
          <w:sz w:val="28"/>
          <w:szCs w:val="28"/>
          <w:lang w:val="ru-RU"/>
        </w:rPr>
        <w:t>ные индексы цифровой зрелости - 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Society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E-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Development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Readiness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x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"/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в сравнительном и эконометрическом анализе лучше использовать несколько взаимодополняющих индикаторов, а не один универсальный. Это позволяет точнее отразить разные стороны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и не упрощать исследуемый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проце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сверх меры.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Содержание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можно раскрыть через несколько основных направлений, каждое из которых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 своему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влияет на развитие национальной экономики. На основе аналитических докуме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нтов ОЭСР и Европейской комиссий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этой работе выделяются пять таких направлений, представленных на рисунке 1.2.</w:t>
      </w:r>
    </w:p>
    <w:p w:rsidR="00C02A16" w:rsidRPr="00A4607E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A0C">
        <w:rPr>
          <w:rStyle w:val="30"/>
          <w:rFonts w:ascii="Times New Roman" w:hAnsi="Times New Roman" w:cs="Times New Roman"/>
          <w:noProof/>
          <w:color w:val="FF0000"/>
        </w:rPr>
        <w:lastRenderedPageBreak/>
        <w:drawing>
          <wp:inline distT="0" distB="0" distL="0" distR="0" wp14:anchorId="48642AE3" wp14:editId="45CE2446">
            <wp:extent cx="6151880" cy="4282633"/>
            <wp:effectExtent l="152400" t="171450" r="172720" b="1562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2826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Рисунок 1.2 - Основные направления </w:t>
      </w:r>
      <w:proofErr w:type="spellStart"/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цифровизации</w:t>
      </w:r>
      <w:proofErr w:type="spellEnd"/>
      <w:r w:rsidRPr="00A4607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экономики</w:t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Источник: составлено автором на основе OECD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Digital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Economy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>Outlook</w:t>
      </w:r>
      <w:proofErr w:type="spellEnd"/>
      <w:r w:rsidRPr="00A4607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2024 и аналитических материалов Европейской комиссии.</w:t>
      </w:r>
    </w:p>
    <w:p w:rsidR="00C02A16" w:rsidRPr="00933D6F" w:rsidRDefault="00C02A16" w:rsidP="00C02A16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:rsidR="00C02A16" w:rsidRPr="000E5726" w:rsidRDefault="00FB6BEB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Первое направление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развитие цифровой инфраструкт</w:t>
      </w:r>
      <w:r>
        <w:rPr>
          <w:rFonts w:ascii="Times New Roman" w:hAnsi="Times New Roman" w:cs="Times New Roman"/>
          <w:sz w:val="28"/>
          <w:szCs w:val="28"/>
          <w:lang w:val="ru-RU"/>
        </w:rPr>
        <w:t>уры. Речь иде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 о совокупности сетей фиксированной и мобильной связи, центров обработки данных, спутниковых систем, а также инфраструктуры цифровой идентиф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икации и обмена данными.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Расшири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ние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сетей 5G, развитие беспроводных технологий нового поколения и интеграция наземной и спутниковой связи формируют физическую основу цифровой экономики, без которой невозможна реализация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других направлений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инфраструктура создаёт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мультпликативный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эффект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она стимулирует электронную коммерцию, удалённую занятость и цифровые государственные сервисы.</w:t>
      </w:r>
    </w:p>
    <w:p w:rsidR="00C02A16" w:rsidRPr="00933D6F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Второе направление - распространение цифровых технологий среди предприятий. Речь идёт об использовании в бизнес-секторе облачных вычислений, интернета вещей, аналитики больши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х данных и искусственного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интел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екта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По данным ОЭСР за 2023 год, в среднем по странам ОЭСР облачными вычислениями пользов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 xml:space="preserve">ались 49% предприятий, </w:t>
      </w:r>
      <w:proofErr w:type="spellStart"/>
      <w:r w:rsidR="00FB6BEB">
        <w:rPr>
          <w:rFonts w:ascii="Times New Roman" w:hAnsi="Times New Roman" w:cs="Times New Roman"/>
          <w:sz w:val="28"/>
          <w:szCs w:val="28"/>
          <w:lang w:val="ru-RU"/>
        </w:rPr>
        <w:t>технолог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ями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интернета вещей - 2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7%, аналитикой больших данных 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14% по данным за 2022 год</w:t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, а искусственным интеллектом - 8%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2"/>
      </w:r>
      <w:r w:rsidR="00FB6BE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Цифры показывают очевидное: более доступные и уже освоенные технологии внедряются быстрее, тогда как сложные решения требуют серьёзной организационной, кадровой и технологической подготовки. Исследования ОЭСР также показывают, что облачные вы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числения распространяются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приме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три раза быстрее аналитики больших данных: переход доли предприятий-пользователей с 5% до 50% занимает около 12 лет для облачных технологий и около 36 л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ет для аналитики больших данных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3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D43AEC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Третье направление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цифровая трансформация государственного управления. Она включает развитие систем электронной идентификации, межведомственного обмена данными и цифровых услуг для граждан и бизнеса. Цифровое государство важ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но не только как часть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технологческого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развития 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кризисных условиях оно помогает сохранять выполнение ключевых государственных функций, что напрямую влияет на устойчивость экономики. По оценкам ОЭСР, готовность к 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стала одним из ключевых факторов адаптации государства и бизнеса в период пандемии COVID-19. Это подтверждается примерами Вьетнама, Казахстана и Швейцарии, где цифровые 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платформы использовались для онлайн-</w:t>
      </w:r>
      <w:proofErr w:type="spellStart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госуслуг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, экстренной поддержки населения и быстрого предоста</w:t>
      </w:r>
      <w:r>
        <w:rPr>
          <w:rFonts w:ascii="Times New Roman" w:hAnsi="Times New Roman" w:cs="Times New Roman"/>
          <w:sz w:val="28"/>
          <w:szCs w:val="28"/>
          <w:lang w:val="ru-RU"/>
        </w:rPr>
        <w:t>вления государственных кредитов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4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Четвёртое направление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финансовой системы. Сюда входят электронные платежи, цифровой банкинг, финансовые технологии и цифровая идентификация. Для макроэкономической устойчивости цифровые финансы важны по двум причи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нам: они расширяют доступ к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лик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идности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сн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ижают транзакционные издержки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особенно когда физические каналы финансового обс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луживания ограничены. </w:t>
      </w:r>
      <w:proofErr w:type="gramStart"/>
      <w:r w:rsidR="00D43AEC">
        <w:rPr>
          <w:rFonts w:ascii="Times New Roman" w:hAnsi="Times New Roman" w:cs="Times New Roman"/>
          <w:sz w:val="28"/>
          <w:szCs w:val="28"/>
          <w:lang w:val="ru-RU"/>
        </w:rPr>
        <w:t>Кроме того</w:t>
      </w:r>
      <w:proofErr w:type="gram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цифровые платёжные системы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силивают фискальную трансмиссию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государственная поддержка доходит до конечных получателей быстрее и с меньши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ми административными затратами.</w:t>
      </w:r>
    </w:p>
    <w:p w:rsidR="00C02A16" w:rsidRPr="000E5726" w:rsidRDefault="00D43AEC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Пятое направление - 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цифровая трансформация работы с данными. По мере тог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 как данные становятся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самостое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>тельным</w:t>
      </w:r>
      <w:proofErr w:type="spellEnd"/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экономическим ресурсом, государства выстраивают правила их сбора, хранения, обмена и использования, а также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02A1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разрабатывают национальные стратегии управления данными. ОЭСР подчёркивает, что доступ к данным определяет возможности применения искусственного интеллекта и продвинутой аналитики, поэтому становится</w:t>
      </w:r>
      <w:r w:rsidR="00C02A16"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5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Перечисленные направления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тесно связаны между собой и дают общий эффект только при совместном развитии. Цифровая инфраструктура создаёт основу для внедрения технологий в бизнесе, цифровое государство снижает административные и транзакционные издержки, а цифровые финансы и работа с данными помогают экономике быстрее реагировать на внешние шоки. Именно такая взаимосвязь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рассматривать цифровую экономику не как набор отдельных технологий, а как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систему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которая влияет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на развитие и устойчивость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нациа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нальной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в целом.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Влияние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экономический рост проявляется на разных уровнях. На макроуровне оно связано с ростом производительности труда, сокращением транзакционных издержек и расширением международной торговли услугами - всё это в итоге может отражаться на динамике ВВП на душу населения. Всемирный банк фиксирует положительную связь между уровнем проникновения цифровых технологий и темпами экономического роста, особенно в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странах с переходной экономикой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6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микроуровне исследования предприятий показывают, что более высокий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фирм связан с их способностью сохранять выпуск и занятость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экономических шоков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7"/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связать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цию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с экономическим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стом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н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о и с устойчивостью экономики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что подробнее рассматривается в следующем параграфе.</w:t>
      </w:r>
    </w:p>
    <w:p w:rsidR="00C02A16" w:rsidRDefault="00C02A16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Несмотря на перечисленные тенденции,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сама по себе 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 xml:space="preserve">не гарантирует экономических </w:t>
      </w:r>
      <w:proofErr w:type="spellStart"/>
      <w:r w:rsidR="00D43AEC">
        <w:rPr>
          <w:rFonts w:ascii="Times New Roman" w:hAnsi="Times New Roman" w:cs="Times New Roman"/>
          <w:sz w:val="28"/>
          <w:szCs w:val="28"/>
          <w:lang w:val="ru-RU"/>
        </w:rPr>
        <w:t>примуществ</w:t>
      </w:r>
      <w:proofErr w:type="spellEnd"/>
      <w:r w:rsidR="00D43AEC">
        <w:rPr>
          <w:rFonts w:ascii="Times New Roman" w:hAnsi="Times New Roman" w:cs="Times New Roman"/>
          <w:sz w:val="28"/>
          <w:szCs w:val="28"/>
          <w:lang w:val="ru-RU"/>
        </w:rPr>
        <w:t>. Ее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результат зависит от качества институтов, эффективности государственного управления, уровня человеческого капитала и объёма сопутствующих инвестиций. Поэтому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стоит рассматривать не только как технологический процесс, но и как фактор который при определённых условиях может усиливать макроэкономическую устойчивость. Этот аспект подробнее раск</w:t>
      </w:r>
      <w:r w:rsidR="00D43AEC">
        <w:rPr>
          <w:rFonts w:ascii="Times New Roman" w:hAnsi="Times New Roman" w:cs="Times New Roman"/>
          <w:sz w:val="28"/>
          <w:szCs w:val="28"/>
          <w:lang w:val="ru-RU"/>
        </w:rPr>
        <w:t>рывается в следующем параграфе.</w:t>
      </w:r>
    </w:p>
    <w:p w:rsidR="00D43AEC" w:rsidRPr="000E5726" w:rsidRDefault="00D43AEC" w:rsidP="00D43A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1.2. Теоретические подходы к категории устойчивости национальных экономик к экзогенным шокам и глобальным кризисам</w:t>
      </w:r>
    </w:p>
    <w:p w:rsidR="00D43AEC" w:rsidRPr="000E5726" w:rsidRDefault="00D43AEC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Категория «устойчивость»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resilience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) применительно к национальной экономике стала активно использоватьс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я в последние два десятилетия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когда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стало очевидно, что одних показателей макроэкономической стабильности недо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статочно для оценки спосо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бности экономики выдерживать внешние шоки и восстанавливаться после них. В подходе ОЭСР экономическая устойчивость рассматривается как способность экономики снижать уязвимость, противо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стоять шокам и быстро возвращать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ся к траектории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 xml:space="preserve"> восстановления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8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работах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Кордины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Н.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Фарругия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Веллы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рассматривается через различие между двумя категориями: уязвимостью и устойчивостью. Уязвимость отражает структурную подверженность экономики внешним шокам, тогда как устойчивость связана со способностью экономической политики смягчать последствия таких шоков или ускорять восстановлен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ие. В этом подходе уязвимость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более постоянная характеристика экономики, а устойчивость зависит от решений государства, качества институтов и поведения частных экономических агентов. На основе такого разграничения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предложил типологическую матрицу, в которой страны классифицируются по сочетанию уровня структурной уязвимости и способности экономики противостоять внешним шокам. Эта типология показывает, что даже страны с высокой уязвимостью могут достигать устойчивых результатов - при наличии эффективной экономической политики и развитых институтов. Эмпирическая проверка модели на выборке из 86 стран подтвердила положительную связь между ВВП на душу населения и уровнем устойчивости, а также отрицательную - между ВВП и уровнем уязвимости. Композитный индекс экономической устойчивости, предложенный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соавторами, включает четыре ключевые компоненты: макроэкономическую стабильность, микроэкономическую рыночную эффективность, качество государственного у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правления и социальное развитие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9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Такой подход позволяет рассматривать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устойчивость не только как теоретическую категорию, но и как измеримый показатель пригодный для сравнительного 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и эконометрического анализа.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Параллельно с подходом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исследованиях ОЭСР устойчивость рассматривается через три взаимосвязанные функции экономической политики: предотвращение накопления уязвимостей, ограничение глубины шока и ускорение восстановл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работе А. Кальдера-Санчес, М.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Расмуссена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показано, что на устойчивость влияют разные направления макроэкономической и структурной политики - фискальная, денежно-кредитная, финансовая и трудовая. Ключевая идея здесь в том, что одни и те же меры могут одновременно снижать уязвимость экономики, смягчать последствия кризиса и ускорять восстановление. Но между этими задачами нередко возникают компромиссы - и это требует более сбалансированного подхода к политике.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Согласно оценкам ОЭСР, меры экономической политики могут иметь неоднозначный эффект: например, фискальные резервы расширяют возможности стимулирования в период спада, тогда как жёсткое регулирование рынка труда может смягчать первоначальный удар по занятости, но замедлять последующее в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осстановление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экономики зависит поэтому не только от набора антикризисных инструментов, но и от того насколько политика учитывает возможные компромиссы между смягчением кризисного удара и скорост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ью последующего восстановления.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Эмпирическое направление теории устойчивости получило развитие в исследовании Кальдера-Санчес, де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Серра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Гори,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там были рассмотрены серьёзные рецессии и финансовые кризисы в 100 странах за период 1970-2014 годов. В этой работе серьёзная рецессия определяется как существенное снижение ВВП на душу населения, превышающее медианный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уровень по выборке. Глобальный финансовый кризис 2008-2009 годов был определён как один из наиболее распространённых и дорогостоящих кризисных эпизодов, поскольку в ряде развитых экономик п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отери выпуска превысили 10% ВВП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2"/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Важным результатом указанного исследования является вывод о том, что продолжительность рецессий зависит от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вовлечённости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банковского сектора: в странах ОЭСР, столкнувшихся с банковским кризисом, средний интервал «пик - дно» составил около 12 кварталов, тогда как в странах без банковского кризиса - около 4 кварталов, а в отдельных стран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ах вне ОЭСР - около 3 кварталов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Иными словами, финансовая составляющая кризиса способна заметно удлинять период восстановления - и это нужно учитывать при раз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работке антикризисной политики.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теории устойчивости важное место занимают индикаторы раннего предупреждения. Согласно методологии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Хермансена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Рёна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 наиболее информативным относятся рост частного кредитования, отклонения цен на жильё от долгосрочного тренда, дисбалансы текущего счёта и глобаль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ные показатели кредитного цикла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исследования такой подход важен тем, что показывает: устойчивость экономики можно оценивать через систему количественных показателей - которые затем используются в сравнитель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ном и эконометрическом анализе.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Современное понимание экономической устойчивости постепенно расширяется за счёт включения цифровых и технологических факторов. Если в классическом подходе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устойчивость объяснялась через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макроэкономические, институциональные и социальные переменные, то после пандемии COVID-19 всё большее значение стали получать показатели цифровой готовности. В докладе ОЭСР о сотрудничестве в области развития 2020 года цифровая готовность включается в число ключевых направлений устойчивости национальных экономик к глобальным шокам наряду с международными экономическими связями, системой здравоохранения, социальной защитой, финансовой систем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ой и государственными финансами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показывает, что природа современных кризисов изменилась: пандемия 2020 года выявила значимость цифровой инфраструктуры как одного из инструментов смягчения шока - наряду с фиска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льными и финансовыми резервами.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 учётом рассмотренных подходов устойчивость национальной экономики можно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понимать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многомерную категорию, объединяющую макроэкономическую стабильность, рыночную эффективность, качество государственного управления, социальное развитие и цифровую готовность. Она может быть выражена через систему композитных индексов и проверена с помощью эконометрических моделей - что позволяет использовать эту категорию не только в теоретическом, но и в сравнительно-аналитическом смысле. При этом важно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учитывать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устойчивость зависит не только от структурных характеристик экономики, но и от качества проводимой политики. Поэтому в следующем параграфе рассматриваются конкретные каналы влияния цифровых технологий на устойчивость национальных экономик.</w:t>
      </w:r>
    </w:p>
    <w:p w:rsidR="007F6B0F" w:rsidRPr="000E5726" w:rsidRDefault="007F6B0F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1.3. Системные механизмы и каналы влияния цифровых технологий на макроэкономическую стабильность государств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Связь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национальных экономик, рассмотренная в предыдущих параграфах, требует более конкретного раскрытия через отдельные каналы воздействия. Для этого исследования такая систематизация важна - она помогает объяснить каким образом цифровые технологии могут влиять на макроэкономическую устойчивость, а также обосновывает дальнейший выбор переменных для эконометрического анализа. В работе выделяются пять основных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национальной экономики: непрерывность государственных функций, фискальная трансмиссия, адаптация частного сектора, диверсификация конечного спроса и устойчивость информаци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онно-коммуникационного сектора.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Первый канал - обеспечение непрерывности государственных функций в условиях внешних шоков. Цифровое государство, включающее электронную идентификацию, межведомственный обмен данными и онлайн-сервисы для граждан и бизнеса, помогает сохранять работу государственных институтов даже при ограничении физического взаимодействия. По оценкам ОЭСР, готовность 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стала одним из ключевых факторов адаптации бизнеса и государственного сектора в период пандемии COVID-19. Этот канал подтверждается примерами Вьетнама, Швейцарии и Марокко, где цифровые платформы использовались для онлайн-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госуслуг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быстрого предоставления кредитов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и адресной поддержки населения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Второй канал связан с повышением эффективности фискальной трансмиссии. Цифровые платёжные системы, инфраструктура цифровой идентификации и объединённые базы данных помогают быстрее и точнее направлять государственную поддержку конечным получателям. В докладе ОЭСР 2020 года подчёркивается, что эффективная поддержка домохозяйств и фирм в условиях глобальных шоков требует продвинутого управления данными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 объединения информации из налоговых, социальны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х и иных государственных систем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макроэкономической точки зрения этот канал уменьшает временные лаги и административные издержки при распределении средств - благодаря чему государственные расходы быстрее дают стабилизирующий эффект.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Третий канал - адаптация частного сектора к шокам за счёт цифровых технологий. Эмпирические исследования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микроданных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предприятий показывают, что фирмы с более высоким уровнем внедрения информационных технологий в период пандемии демонстрировали меньшее падение занятости и выручки по сравнению с 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енее </w:t>
      </w:r>
      <w:proofErr w:type="spellStart"/>
      <w:r w:rsidR="00E872C1">
        <w:rPr>
          <w:rFonts w:ascii="Times New Roman" w:hAnsi="Times New Roman" w:cs="Times New Roman"/>
          <w:sz w:val="28"/>
          <w:szCs w:val="28"/>
          <w:lang w:val="ru-RU"/>
        </w:rPr>
        <w:t>цифровизированными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фирмами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8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объясняется тем, что цифровые решения облегчают переход на удалённую работу, развитие электронной коммерции и более гибкую организацию производственных и логистических процессов. По оценкам ОЭСР, в 2023 году облачными вычислениями пользовались в среднем 49% предприятий стран ОЭСР, что создавало технологическую основу для быстрой адаптации б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изнеса к кризисным ограничениям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29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Четвёртый канал связан с изменением структуры конечного спроса в пользу цифровых услуг и электронной коммерции. Во время пандемии COVID-19 ограничения физической мобильности ускорили переход потребителей к онлайн-каналам торговли, связи и получения услуг. Так, в 2020 году розничные онлайн-продажи в Европейском союзе и США заметно выросли, а спрос на широкополосную связь у отдельн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ых операторов увеличился до 60%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оценкам исследователей, пандемия продвинула долгосрочный тренд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потребительских рынков примерно на 2,5 года вперёд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относи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тельно </w:t>
      </w:r>
      <w:proofErr w:type="spellStart"/>
      <w:r w:rsidR="00E872C1">
        <w:rPr>
          <w:rFonts w:ascii="Times New Roman" w:hAnsi="Times New Roman" w:cs="Times New Roman"/>
          <w:sz w:val="28"/>
          <w:szCs w:val="28"/>
          <w:lang w:val="ru-RU"/>
        </w:rPr>
        <w:t>допандемийной</w:t>
      </w:r>
      <w:proofErr w:type="spellEnd"/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точки зрения экономической устойчивости это означает, что цифровые каналы частично сохраняют потребление даже тогда, когда физические форматы торговли и услуг ограничены. Поэтому развитие электронной коммерции и онлайн-сервисов может смягчать последствия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шоков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связанных с ограничением мобильности.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Пятый канал - устойчивость информационно-коммуникационного сектора как отдельного элемента национальной экономики. Согласно данным ОЭСР, в 2020 году средний темп роста ИКТ-сектора в странах ОЭСР составил 6,6%, а к 2021 году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 в большинстве стран данного сектора у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же практически не прослеживался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2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показывает, что ИКТ-сектор в кризисных условиях оказывается устойчивее многих традиционных отраслей. Его значение проявляется в двух аспектах: во-первых, более высокая доля ИКТ-сектора в экономике создаёт дополнительную опору для совокупного выпуска; во-вторых, этот сектор обеспечивает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другие отрасли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цифровыми решениями которые повышают их способнос</w:t>
      </w:r>
      <w:r w:rsidR="007F6B0F">
        <w:rPr>
          <w:rFonts w:ascii="Times New Roman" w:hAnsi="Times New Roman" w:cs="Times New Roman"/>
          <w:sz w:val="28"/>
          <w:szCs w:val="28"/>
          <w:lang w:val="ru-RU"/>
        </w:rPr>
        <w:t>ть к адаптации.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Исследования ОЭСР показывают, что среди ранних индикаторов серьёзных рецессий особое значение имеют показатели кредитного цикла, отклонения цен на жильё от долгосрочного тренда и ди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сбалансы счёта текущих операций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исследования такой вывод важен: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фискальной системы может повышать не только скорость антикризисного реагирования, но и качество раннего выявления макроэкономических дисбалансов - за счёт объединения и анализа данных в режиме близком к реальному времени.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Вопрос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финансового сектора следует рассматривать двойственно: с одной стороны, она ускоряет фискальную и финансовую трансмиссию, с другой - при слабом регулировании может усиливать ра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спространение финансовых рисков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развитие цифровых финансов должно сочетаться с надёжным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макропруденциальным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регулированием и постоянным контролем устойчивости финансовой системы.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Системная связь между перечисленными каналами проявляется в том, что они усиливают друг друга. Развитая цифровая инфраструктура создаёт условия для непрерывности государственных функций и более эффективной фискальной трансмиссии;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государственного управления и финансовых механизмов повышает адаптивность частного сектора; а расширение цифровых услуг поддерживает развитие самого ИКТ-сектора.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Устойчивость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связанная с цифровыми технологиями формируется не как простая сумма отдельных эффектов, а как результат взаимодействия нескольких каналов. Именно поэтому страны с более высоким уровнем цифровой трансформации могут показывать более устойчивые траектории в условиях глобальных кризисов - что рассматривается во второй главе.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 точки зрения эконометрического моделирования выделенные каналы позволяют обосновать выбор количественных индикаторов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устойчивости национальных экономик. Теоретически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может отражаться через показатели цифровой инфраструктуры, электронного правительства, развития ИКТ-сектора и распространения цифровых технологий среди предприятий. Однако в этой работе, с учётом доступности сопоставимых данных по широкой выборке стран, основным индикатором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выбрана доля интернет-пользователей в численности населения. В качестве зависимой переменной используется натуральный логарифм ВВП на душу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населения. В модель также включаются валовое накопление основного капитала, инфляция, безработица, экспорт высокотехнологичной продукции, кризисные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-переменные 2020 и 2022 годов, а также взаимодействия показателя интернет-проникновения с кризисными периодами. Такой подход связывает теоретические положения первой главы с эконометрическим анализом второй.</w:t>
      </w:r>
    </w:p>
    <w:p w:rsidR="00C02A16" w:rsidRPr="000E5726" w:rsidRDefault="00C02A16" w:rsidP="007F6B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Цифровые технологии влияют на макроэкономическую устойчивость не через один универсальный механизм, а через систему взаимосвязанных каналов. Они охватывают государственное управление, фискальную трансмиссию, адаптацию частного сектора, структуру конечного спроса и устойчивость ИКТ-сектора. Совместное действие этих каналов дополняет класси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ческое понимание устойчивости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то, что представлено в работах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ОЭСР - и позволяет рассматривать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самостоятельный фактор повышения адаптивности национальных экономик. Эмпирическая проверка этой связи и сравнительный анализ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страновых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траекторий в условиях глобальных кризисов представлены во второй главе.</w:t>
      </w:r>
      <w:r w:rsidR="007F6B0F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первой главе. Первая глава дала несколько результатов которые определяют логику дальнейшего анализа.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это не просто технологический сдвиг: она меняет саму архитектуру экономической адаптации, влияя на то как государство функционирует в кризис, как бизнес перестраивается и как передаётся фискальная поддержка. Подходы ОЭСР, Всемирного банка, Европейской комиссии и исследователей экономической устойчивости сходятся в одном - устойчивость не возникает в момент шока, она либо уже есть в экономике, либо её нет. Пять каналов, систематизированных в этой главе - непрерывность государственных функций, эффективность фискальной трансмиссии, адаптация частного сектора, диверсификация конечного спроса и устойчивость ИКТ-сектора - это не просто классификация. Каждый из них представляет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конкретный механизм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через который уровень цифровой зрелости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страны либо смягчает удар кризиса, либо нет. Именно поэтому следующий шаг - не дальнейшая теория, а сравнение реальных стран и эконометрика.</w:t>
      </w:r>
    </w:p>
    <w:p w:rsidR="00C02A16" w:rsidRPr="000E5726" w:rsidRDefault="00C02A16" w:rsidP="00C02A16">
      <w:pPr>
        <w:pageBreakBefore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ГЛАВА II. МЕЖДУНАРОДНЫЙ ОПЫТ ЦИФРОВИЗАЦИИ ЭКОНОМИКИ И ЭКОНОМЕТРИЧЕСКИЙ АНАЛИЗ ЕЁ ВЛИЯНИЯ НА УСТОЙЧИВОСТЬ СТРАН К ГЛОБАЛЬНЫМ КРИЗИСАМ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2.1. Сравнительный анализ моделей цифровой трансформации стран-лидеров (на примере Эстонии, Республики Корея, Сингапура и Польши)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Теоретическая база, заложенная в первой главе, позволяет перейти к анализу международного опыта цифровой трансформации. В этом параграфе сравниваются четыре национальные модели с разными институциональными условиями и подходами к цифровому развитию: Эстония - модель малого постсоветского государства, сделавшего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частью национального развития; Республика Корея - модель развитой экономики с государственно-направляемой цифровой модернизацией; Сингапур - модель города-государства с высоким уровнем цифровой конкурентоспособности; Польша - модель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переходной экономики интегрированной в Европейский союз. Выбор этих стран обусловлен их высокими позициями в международных индексах цифровой зрелости, наличием стратегических программ цифровой трансформации и доступностью сопоставимых количественных показателей для дальнейшего анализа. Сравнительные позиции четырёх стран в ключевых международных индексах цифровой зрелости представлены в таблице 2.1.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2.1. Позиции четырёх стран в международных индексах цифровой зрелости (2024) Источники: UN DESA (EGDI 2024);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Portulans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Insti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tute</w:t>
      </w:r>
      <w:proofErr w:type="spellEnd"/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(NRI 2024); IMD WDCR 2024.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Данные таблицы 2.1 показывают: все четыре страны занимают заметные позиции в международных рейтингах цифровой зрелости, но достигают этих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результатов разными путями. Эстония опирается на модель компактного цифрового государства, Республика Корея - на государственно-направляемую цифровую модернизацию, Сингапур - на высокий уровень институциональной координации и цифровой конкурентоспособности, а Польша - на постепенную догоняющую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рамках европейской интеграции.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Эстония: модель «цифрового государства» малой постсоветской экономики. Цифровая трансформация Эстонии началась с программы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Tiger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Leap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Tiigrihüpe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), запущенной в 1996 году и направленной на компьютеризацию школ, подключение их к интернету, подготовку учителей и создание учебн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ого контента на эстонском языке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2000 году все школы Эстонии были оснащены компьютерами, а к 2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001 году подключены к интернету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 этому страна сформировала раннюю базу цифровой грамотности и подготовила общество к дальнейшему развитию электронного государства.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Следующим ключевым шагом стало создание технологической основы эстонского цифрового государства. Центральное место заняла платформа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tee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) - распределённая система обмена данными между государственными и частными информационными системами. Проект развернули в 2001 году на принципе децентрализации: данные хранятся в исходных реестрах и передаются по запросу через защищённые каналы с использованием цифрово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й подписи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настоящему времени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более 450 организаций, включая свыше 150 учреждений государственного сектора, обеспечивает работу около 1300 информационных систем и обрабатывает при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мерно 2,2 млрд транзакций в год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8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Открытие исходного кода центральных компонентов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 лицензией MIT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усилило международное значение этой модели - в частности, в 2018 году были соединены системы обмена данными Эстонии и Финляндии.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Продолжением этой модели стала программа электронного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резидентства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она позволила Эстонии использовать цифровую инфраструктуру не только внутри страны, но и за её пределами. Программа e-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Residency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запущенная в конце 2014 года, по состоянию на 2025 год охватывает более 128 тыс. человек из 185 стран; ими основано свыше 36 тыс. эстонских компаний, а совокупный прямой экономический эффект дл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я бюджета составил 342 млн евро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39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2024 году e-резиденты создали 4818 новых компаний, а налоговые поступления от п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рограммы достигли 66,8 млн евро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0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Индексе развития электронного правительства ООН EGDI 2024 года Эстония заняла 2-е место в м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ире со значением индекса 0,9727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1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итоге эстонская модель держится на четырёх опорах: цифровая грамотность, межведомственная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цифровая идентификация и продвижение государственных решений на 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международном уровне.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Республика Корея: модель государственно-направляемой цифровой модернизации. Цифровая трансформация Республики Корея отличается сильной ролью государства, долгосрочным планированием и активным использованием фискальных стимулов для ускорения технологического развития. Одним из ключевых программных документов стал Корейский новый курс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объявленный 14 июля 2020 года. Общий объём инвестиций программы на 2020-2025 годы составил 160 трлн вон, или около 133 млрд долларов США, из которых 114,1 трлн вон финансировалось центральным правительством, что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тветствовало 5,9% ВВП 2020 года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2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была направлена на создание 1,9 млн рабочих мест и включала три блока: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Green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укрепление системы социаль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ной защиты.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Центральным цифровым блоком стал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На его реализацию было выделено 58,2 трлн вон, из которых 44,8 трлн финансиро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вались из государственной казны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3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основе программы лежала концепция DNA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AI - которая связывала развитие данных, сетевой инфраструктуры и искусственного интеллекта с модернизацией ключевых секторов экономики. В практическом плане программа включала создание отраслевых платформ больших данных, внедрение 5G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блокчейн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государственные услуги, оснащение 18 больниц технологиями 5G и интернета вещей, разработку программного обеспечения для диагностики 12 заболеваний, а также подключение более 310 000 классов к высокоскор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остному беспроводному интернету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4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июле 2021 года был объявлен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2.0 - общий бюджет программы расш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ирили примерно до 220 трлн вон.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 данным Министерства науки и ИКТ Кореи, совокупный бюджет на развитие ведущих цифровых технологий в первый год реализации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10,1 трлн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 xml:space="preserve"> вон, или 8,7 млрд долларов США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5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программы также отразилась на международных позициях страны: в рейтинге цифровой конкурентоспособности IMD Республика Корея поднялась с 10-го места в 2019 году на 8-е в 2020 году, а в индексе готовности правительств к использованию искусственного интеллекта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Oxford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Insights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с 26-го на 7-е место. Ещё в декабре 2019 года Корея приняла Национальную стратегию в области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искусственного интеллекта, предусматривающую цель войти в тройку наиболее конкурентоспособных цифровых экономик мира к 2030 году и инвестиции в размере 1 трлн вон на развитие ИИ-п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олупроводников в течение 10 лет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6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EGDI 2024 Республика Корея занимает 4-е место со значением индекса 0,9679, а в OECD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23 - 1-е место среди стран ОЭСР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7"/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целом корейская модель отличается крупным масштабом государственных инвестиций и тесной связью цифровой трансформации с антикризисной политикой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был запущен именно как ответ на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 xml:space="preserve"> последствия пандемии COVID-19.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Сингапур: модель города-государства как глобального эталона цифровой конкурентоспособности. Инициатива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была объявлена в 2014 году и стала основой сингапурской стратегии цифровой трансформации, ориентированной на внедрение информационно-коммуникационных технологий, цифровых платформ, сетей и больших данных в государ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ственное управление и экономику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8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реализации этой политики были созданы специализированные институты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Government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Group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которые объединили стратегическое планирование и техническую реализацию цифровых сервисов. В 2023 году координация цифровой повестки была передана Министерству цифрового развития и информации - что показывает дальнейшее институциональное укрепление цифровой трансформации в стране.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Практические результаты сингапурской модели проявляются в устойчивом росте цифровой экономики и широком распространении цифровых сервисов. Её вклад в ВВП Сингапура увеличился с 13,3% в 2017 году до 17,7% в 2023 году при среднегодовом темпе роста 11,2%, что почти вдвое превышало темп роста 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lastRenderedPageBreak/>
        <w:t>экономики в целом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49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Около 99% домохозяйств подключены к интернету, а 99% государственных услуг доступны в цифровом формате. Ключевыми элементами цифровой инфраструктуры являются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единая система цифровой идентификации, платёжная система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PayNow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платформа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Virtual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Singapore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трёхмерный цифровой двойник городской среды, используемый для моделировани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я сценариев городского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0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период пандемии COVID-19 Сингапур оперативно развернул систему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er</w:t>
      </w:r>
      <w:proofErr w:type="spellEnd"/>
      <w:r w:rsidR="00990EE6">
        <w:rPr>
          <w:rFonts w:ascii="Times New Roman" w:hAnsi="Times New Roman" w:cs="Times New Roman"/>
          <w:sz w:val="28"/>
          <w:szCs w:val="28"/>
          <w:lang w:val="ru-RU"/>
        </w:rPr>
        <w:t xml:space="preserve"> для отслеживания контактов - 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это показало способность цифровой инфраструктуры быстро адаптироваться к кризисным условиям.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Следующим этапом стала обновлённая стратегия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2.0. В октябре 2024 года премьер-министр Лоуренс Вонг представил концепцию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Smart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Nation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2.0, одним из ключевых элементов которой стало выделение 120 млн сингапурских долларов на программу AI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for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Science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развития междисциплинарных исследований в области искусственного интеллекта.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Новая стратегия переносит акцент с создания базовой цифровой инфраструктуры на практическое использование технологий - прежде всего генеративного искусственного интеллекта - для дальнейшего развития экономики и общества. В IMD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World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Competitiveness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Ranking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 Сингапур занимает 1-е место в мире,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Network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Readiness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2024 - 2-е место, а в EGDI 2024 - 3-е ме</w:t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сто со значением индекса 0,9691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2"/>
      </w:r>
      <w:r w:rsidR="00990EE6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0" w:name="_GoBack"/>
      <w:bookmarkEnd w:id="0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Отличительная черта сингапурской модели - сочетание стратегического государственного планирования, активного участия частного сектора и системной интеграции цифровых решений в городскую среду.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Польша: модель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переходной экономики. Цифровая трансформация Польши развивалась иначе чем у Эстонии, Кореи или Сингапура - не как единая централизованная стратегия, а как постепенный процесс сближения с цифровыми стандартами Европейского союза. Важную роль здесь сыграли финансовые инструменты ЕС, развитие внутреннего ИКТ-сектора и модернизация государственных цифровых сервисов. Первым крупным программным документом стала программа «Цифровая Польша» на период 2014-2020 годов с бюджетом около 2,17 млрд евро, направленная на развитие широкополосной инфраструктуры и цифровых государственных сервисов.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Её продолжением стала программа FERC на период 2021-2027 годов, реализуемая под координацией Министерства цифровых дел и Центра проектов «Цифровая Польша».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4"/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Заметным результатом этой политики стало развитие цифровых государственных сервисов. Одним из ключевых элементов польской цифровой трансформации стало мобильное приложение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запущенное в 2017 году. В 2020 году в приложение интегрировали электронные рецепты и мобильные водительские удостоверения. 14 июля 2023 года вступил в силу закон, уравнявший юридическую силу цифрового удостоверения личности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mDowód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приложении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2.0 с пластиковым документом.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2025 году число пользователей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превысило 10 млн человек, то есть около трети населения страны; цифровое водительское удостоверение используют 5,5 млн граждан, цифровое свидетельство о регистрации транспортного средства - 5,7 млн, а через приложение доступно более 40 государственных услуг.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Параллельно Польша развивает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Profil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Zaufany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платформу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ePUAP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они обеспечивают доступ к государственным порталам, электронное подписание документов и вз</w:t>
      </w:r>
      <w:r w:rsidR="004B1E76">
        <w:rPr>
          <w:rFonts w:ascii="Times New Roman" w:hAnsi="Times New Roman" w:cs="Times New Roman"/>
          <w:sz w:val="28"/>
          <w:szCs w:val="28"/>
          <w:lang w:val="ru-RU"/>
        </w:rPr>
        <w:t>аимодействие с органами власти.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Вместе с тем польская модель показывает разрыв между развитием государственных цифровых сервисов и уровнем цифровой зрелости населения и бизнеса. По данным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Decade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Report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Европейской комиссии за 2024 год, базовыми цифровыми навыками обладают 44% населения Польши при среднем показателе по ЕС 56%; искусственный интеллект полностью внедрили 3,7% компаний при среднем уровне ЕС 8%, а аналитику данных используют 19,3% компаний при среднем уровне ЕС 33,2%.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7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ИКТ-сектор страны растёт достаточно быстро. Согласно OECD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Outlook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2024, среднегодовой темп роста ИКТ-сектора Польши за период 2013-2023 годов превысил 8%.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Польша представляет собой модель «конвергенции с ограничениями»: цифровое государство и ИКТ-сектор развиваются, но проблемы цифровых навыков и внедрения технологий в частном секторе пока остаются. Именно поэтому польский опыт особенно интересен для стран с переходной экономикой - включая Узбекистан.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синтез четырёх моделей. Сравнение выбранных стран показывает, что во всех четырёх случаях цифровая трансформация опирается на институциональный центр координации: RIA в Эстонии, MSIT в Республике Корея,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/MDDI в Сингапуре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Ministerstwo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Cyfryzacji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Польше. Общей чертой является и использование цифровой идентификации как основы электронных государственных сервисов: e-ID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Mobile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-ID в Эстонии, национального цифрового идентификатора в Корее,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Сингапуре,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Profil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Zaufany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Польше.</w:t>
      </w:r>
    </w:p>
    <w:p w:rsidR="00C02A16" w:rsidRPr="000E5726" w:rsidRDefault="00C02A16" w:rsidP="004B1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Различия между моделями связаны прежде всего с масштабом инвестиций, институциональной средой и балансом между ролью государства и частного сектора. Корейская модель выделяется самым крупным объёмом государственных вложений: в рамках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общее финансирование составило 160 трлн вон на 2020-2025 годы, что соответствовало 5,9% ВВП 2020 года. Эстонская модель, напротив,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цифровая идентификация могут стать основой цифрового государства даже при сравнительно ограниченных ресурсах. Сингапурская модель отличается высокой степенью интеграции цифровых решений в городскую среду и значительным вкладом цифровой экономики в ВВП: в 2023 году этот показатель достиг 17,7%.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5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Польская модель отражает особенности догоняющей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развитые государственные сервисы сочетаются здесь с более низкой цифровой зрелостью населения и частного сектора.</w:t>
      </w:r>
      <w:r w:rsidR="004B1E76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Четыре страны представляют разные модели цифровой трансформации: Эстония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цифровое государство, Республика Корея - государственно-направляемую цифровую модернизацию, Сингапур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высокоинтегрированную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цифровую экономику города-государства, а Польша - конвергенцию с определёнными ограничениями.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развивается не по единой схеме, а через разные институциональные траектории. В следующем параграфе рассматривается как эти экономики реагировали на глобальные кризисы 2020-2022 годов с учётом уровня цифровой зрелости.</w:t>
      </w:r>
    </w:p>
    <w:p w:rsidR="004B1E76" w:rsidRDefault="004B1E7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2.2. Реакция национальных экономик на глобальные кризисы 2020-2022 годов в контексте уровня цифровой зрелости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согласования сравнительного анализа с эконометрической моделью параграфа 2.3 в работе выделяются два кризисных года. 2020-й рассматривается как период острой фазы пандемии COVID-19 и максимального падения ВВП, а 2022-й - как период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энергетического и инфляционного шока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связанного с геополитической эскалацией. При этом 2021 год трактуется как этап восстановления, а не как самостоятельный кризисный эпизод. В эконометрической модели эти кризисные годы отражены через бинарные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-переменные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Crisis_COVID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что позволяет отдельно оценить их влияние на зависимую переменную при контроле уровня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Такое разделение важно потому что пандемия COVID-19 выступила шоком неэкономического происхождения и ограничила физическую мобильность, тогда как кризис 2022 года проявился преимущественно через энергетический, ценовой и инфляционный каналы. Это позволяет оценить не только способность цифровой инфраструктуры смягчать последствия кризисов, но и её пределы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там где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 находится вне прямого воздействия цифровых технологий.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Эстонии. В 2020 году экономика Эстонии показала сравнительно мягкое падение: снижение ВВП составило 3,0% против среднего показателя по ЕС на уровне -6,1%.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Уже в 2021 году экономика восстановилась с темпом роста 8,6% - один из наиболее высоких показателей в ЕС.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Такой результат можно связать с высоким уровнем цифровой зрелости страны и возможностями инфраструктуры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которая помогла сохранить непрерывность государственных функций при ограничении физического взаимодействия. В период пандемии 99% государственных услуг оставались доступны онлайн, а правительство оперативно запустило новые сервисы - упрощённые процедуры регистрации браков, рождений и обращений за пособиями через e-ID и X-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Road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Кризис 2022 года обнажил пределы эстонской модели. Отказ от российских энергоносителей и высокая чувствительность к региональным энергетическим рынкам обернулись падением ВВП на 1,3% и инфляцией, превысившей 19% по HICP.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подтверждает вывод первой главы: цифровая зрелость смягчает шоки мобильности и информационной асимметрии, но не закрывает структурную уязвимость к энергетическим и ценовым потрясениям. План восстановления и устойчивости Эстонии, утверждённый в 2021 году, предусматривал 953,3 млн евро, или около 3,4% ВВП 2019 года; 21,5% ресурсов направлено на цифровую трансформацию, 41,5% - на климатические цели.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Адаптация Эстонии была направлена сразу на два блока рисков - цифровой и энергетико-климатический.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Республики Корея. Среди рассматриваемых стран Корея прошла 2020 год мягче всех: ВВП снизился лишь на 0,7%, а докризисный уровень активности восстановился уже к маю 2021 года. В 2021 году рост ВВП составил 4,6% - наиболее высокий показатель за одиннадцать лет, обусловленный устойчивым внешним спросом на полупроводники и потребительскую электронику.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Мягкость спада объясняется тремя факторами: эффективной системой цифрового отслеживания контактов, масштабным фискальным стимулированием в рамках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Korean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экспортных ИКТ-секторов на фоне роста глобального спроса на цифровые технологии.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5"/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2022 году Республика Корея сохранила положительный рост ВВП на уровне 2,7%, тогда как ряд европейских экономик сильнее ощутил последствия энергетического кризиса. Инфляция достигла пика в июле 2022 года на уровне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6,3% - максимум с ноября 1998 года, однако этот показатель оставался ниже уровней большинства европейских стран.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2023 году прогноз роста был снижен до 1,4% - замедление экспортного цикла полупроводников дало о себе знать. В этом контексте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Digital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Deal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выступил не только инструментом краткосрочной стабилизации в период пандемии, но и механизмом укрепления долгосрочной конкурентоспособности экономики.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7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подтверждается подъёмом Кореи в рейтинге цифровой конкурентоспособности IMD - с 10-го места в 2019 году на 8-е в 2020-м.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Сингапура. В 2020 году экономика Сингапура сократилась на 3,9% - высокая зависимость от международной торговли, туризма и трансграничной мобильности дала о себе знать. Однако уже в 2021 году ВВП вырос на 7,6%, а в 2022 году - на 3,6%.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Важную роль сыграла быстрая мобилизация цифровой инфраструктуры. В марте 2020 года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за восемь недель разработал и запустил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TraceTogether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первое в мире национальное приложение для отслеживания контактов; к началу 2022 года в нём было зарегистрировано более 6,2 млн пользователей.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69"/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TraceTogether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позволило сократить время между выявлением случая заболевания и установлением близких контактов с четырёх дней до менее чем полутора суток.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Одновременно цифровые системы обеспечили быструю реализацию бюджетной поддержки. В 2020 году правительство Сингапура объявило четыре пакета фискального стимулирования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общим объёмом более 20% ВВП 2019 года, включая субсидии на заработную плату до 75% от первых 4600 сингапурских долларов и денежные переводы домохозяйствам.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Singpass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платёжная инфраструктура позволили точнее направлять поддержку, сокращая временные лаги фискальной трансмиссии. В 2022 году инфляция в Сингапуре достигла 6,1%, что потребовало нескольких раундов денежно-кредитного ужесточения со стороны Денежно-кредитного управления Сингапура.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Реакция Польши. В 2020 году экономика Польши сократилась на 2,0% - один из наиболее мягких спадов в ЕС, значительно лучше среднего по союзу (-6,1%).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2021 году рост ВВП составил 5,9%, а в 2022-м - 4,9%, несмотря на войну в Украине, энергетический кризис и инфляцию.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устойчивость объясняется несколькими факторами: крупным внутренним рынком, диверсифицированной структурой экономики, гибким обменным курсом злотого и антикризисным пакетом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Tarcza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Antykryzysowa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объёмом около 55 млрд долларов. Цифровой компонент тоже имел значение: расширение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mObywatel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интеграция электронных рецептов и цифровых водительских удостоверений в 2020 году помогли сохранить часть административных процедур в дистанционном формате.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Кризис 2022 года показал более высокую чувствительность Польши к энергетическому и инфляционному шоку. Зависимость от угольной энергетики - одна из самых высоких среди стран МЭА - и доля ископаемого топлива на уровне 85% общего энергоснабжения в 2020 году создавали структурную уязвимость. Дополнительное давление добавили близость к зоне конфликта и значительный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приток украинских беженцев. Инфляция достигла 18,4% в феврале 2023 года.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смягчения последствий правительство ввело Антиинфляционный щит: снижение НДС на электроэнергию с 23% до 5%, на отопление - с 23% до 8%, а также снижение НДС и акцизов на топливо; общая стоимость мер составила около 2,1% ВВП.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польского и эстонского кейсов подтверждает одну и ту же логику: цифровая зрелость смягчает шоки мобильности и административных ограничений, но не закрывает структурную уязвимость к энергетическим и ценовым потрясениям.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синтез. Сопоставление траекторий четырёх экономик за 2020-2022 годы даёт несколько важных выводов. Во-первых, в период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 2020 года все четыре страны показали более мягкое падение ВВП чем средний показатель по ЕС: в Республике Корея снижение составило 0,7%, в Польше - 2,0%, в Эстонии - 3,0%, в Сингапуре - 3,9%, тогда как средний спад по ЕС достиг -6,1%. Это говорит 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высокий уровень цифровой зрелости может повышать устойчивость экономик к шокам связанным с ограничением физической мобильности и административных процессов. Во-вторых, в 2021 году все четыре страны показали быстрое восстановление: наиболее высокие темпы роста у Эстонии - 8,6% и Сингапура - 7,6%, тогда как Польша выросла на 5,9%, а Республика Корея - на 4,6%.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Такая динамика показывает что цифровая инфраструктура могла поддержать восстановление деловой активности, государственных сервисов и потребительского спроса. Динамика реального ВВП четырёх стран в сопоставлении со средним показателем по ЕС за 2019-2022 го</w:t>
      </w:r>
      <w:r w:rsidR="00E23D01">
        <w:rPr>
          <w:rFonts w:ascii="Times New Roman" w:hAnsi="Times New Roman" w:cs="Times New Roman"/>
          <w:sz w:val="28"/>
          <w:szCs w:val="28"/>
          <w:lang w:val="ru-RU"/>
        </w:rPr>
        <w:t>ды представлена на рисунке 2.1.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Рисунок 2.1 Динамика реального валового внутреннего продукта в Эстонии, Республике Корея, Сингапуре и Польше в сопоставлении со средним показателем по Европейскому союзу, 2019-2022 гг., % Источник: составлено автором по данным IMF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World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Economic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Outlook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April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2024),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Eurostat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В-третьих, энергетический и инфляционный шок 2022 года обнажил пределы цифровой зрелости. Она могла поддерживать государственные сервисы, бизнес-процессы и коммуникации - но не устраняла ценовые уязвимости связанные со структурой энергетики и внешними рынками. Поэтому Эстония и Польша, более зависимые от ископаемого топлива и региональных энергетических рисков, столкнулись с более высокой инфляцией чем Республика Корея и Сингапур. Сопоставление пиковых значений потребительской инфляции четырёх стран представлено на рисунке 2.2.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Пиковые значения потребительской инфляции в Эстонии, Польше, Республике Корея и Сингапуре в 2022 году, % Источник: составлено автором по данным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Eurostat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(HICP),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Bank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Korea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Monetary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Authority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of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Singapore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В-четвёртых, во всех четырёх странах значительную роль сыграли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фискальные меры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реализованные с опорой на цифровую инфраструктуру. Их масштаб различался - от 2,1% ВВП в Польше до более чем 20% ВВП в Сингапуре. Это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цифровая инфраструктура важна не только для развития электронного государства, но и для более быстрой передачи антикризисной поддержки населению и бизнесу.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Полученные наблюдения создают основу для количественного анализа. Для проверки выявленных закономерностей нужно перейти от описательного сравнения стран к статистической оценке связи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показателями устойчивости национальных экономик. Поэтому следующий параграф посвящён эконометрическому моделированию на панельных данных за 2010-2023 годы.</w:t>
      </w:r>
    </w:p>
    <w:p w:rsidR="00E23D01" w:rsidRPr="000E5726" w:rsidRDefault="00E23D01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2.3. Эконометрическая оценка влияния </w:t>
      </w:r>
      <w:proofErr w:type="spellStart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на устойчивость национальных экономик на основе панельных данных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Сравнительный анализ четырёх стран в параграфе 2.1 и оценка их реакции на кризисы 2020 и 2022 годов в параграфе 2.2 показали общую закономерность: экономики с более высоким уровнем цифровой зрелости проходили кризисные периоды мягче и быстрее возвращались к росту. В этом параграфе наблюдение проверяется количественно с использованием эконометрической модели на панельных данных. Количественная проверка выдвинутых гипотез проведена на несбалансированной панели 49 стран за период 2010-2024 годов с использованием данных Всемирного банка (</w:t>
      </w:r>
      <w:r w:rsidRPr="000E5726">
        <w:rPr>
          <w:rFonts w:ascii="Times New Roman" w:hAnsi="Times New Roman" w:cs="Times New Roman"/>
          <w:sz w:val="28"/>
          <w:szCs w:val="28"/>
        </w:rPr>
        <w:t>World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Development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Indicators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7"/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Исследование строится на двух гипотезах. Основная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₁)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предполагает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уровень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национальной экономики, выраженный через долю интернет-пользователей, положительно связан с ВВП на душу населения и может смягчать негативное влияние глобальных кризисов. Вспомогательная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₂) состоит в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сила и статистическая значимость этого эффекта различаются между тремя группами стран - развитыми, переходными и развивающимися экономиками.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Выборка включает 49 стран, классифицированных на три группы в соответствии с критериями Всемирного банка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методологией ЮНКТАД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7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22 развитых экономики ОЭСР с высоким доходом (ВВП на душу свыше 25 тысяч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долларов в ценах 2015 года), 16 переходных экономик (постсоветские и постсоциалистические страны со средним доходом, включая Эстонию, Польшу, Казахстан и Турцию) и 11 развивающихся экономик с низким и нижне-средним доходом (включая Узбекистан, Китай, Индию, Бразилию). После исключения наблюдений с пропущенными значениями итоговая панель содержит 707 наблюдений: 330 - по группе развитых стран, 233 - по переходным экономикам и 144 - по развивающимся.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Зависимая переменная - натуральный логарифм ВВП на душу населения в постоянных ценах 2015 года (</w:t>
      </w:r>
      <w:r w:rsidRPr="000E5726">
        <w:rPr>
          <w:rFonts w:ascii="Times New Roman" w:hAnsi="Times New Roman" w:cs="Times New Roman"/>
          <w:sz w:val="28"/>
          <w:szCs w:val="28"/>
        </w:rPr>
        <w:t>NY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GDP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PCAP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KD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). Основной регрессор - логарифм доли интернет-пользователей (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USER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). Контрольные переменные включают логарифм валового накопления основного капитала (</w:t>
      </w:r>
      <w:r w:rsidRPr="000E5726">
        <w:rPr>
          <w:rFonts w:ascii="Times New Roman" w:hAnsi="Times New Roman" w:cs="Times New Roman"/>
          <w:sz w:val="28"/>
          <w:szCs w:val="28"/>
        </w:rPr>
        <w:t>NE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FTOT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инфляцию (</w:t>
      </w:r>
      <w:r w:rsidRPr="000E5726">
        <w:rPr>
          <w:rFonts w:ascii="Times New Roman" w:hAnsi="Times New Roman" w:cs="Times New Roman"/>
          <w:sz w:val="28"/>
          <w:szCs w:val="28"/>
        </w:rPr>
        <w:t>FP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CPI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TOTL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безработицу (</w:t>
      </w:r>
      <w:r w:rsidRPr="000E5726">
        <w:rPr>
          <w:rFonts w:ascii="Times New Roman" w:hAnsi="Times New Roman" w:cs="Times New Roman"/>
          <w:sz w:val="28"/>
          <w:szCs w:val="28"/>
        </w:rPr>
        <w:t>SL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UEM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TOTL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долю экспорта высокотехнологичных товаров (</w:t>
      </w:r>
      <w:r w:rsidRPr="000E5726">
        <w:rPr>
          <w:rFonts w:ascii="Times New Roman" w:hAnsi="Times New Roman" w:cs="Times New Roman"/>
          <w:sz w:val="28"/>
          <w:szCs w:val="28"/>
        </w:rPr>
        <w:t>TX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VAL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TECH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MF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</w:rPr>
        <w:t>ZS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Кризисные периоды идентифицированы через две раздельные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дамми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-переменные: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(2020 год) и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(2022 год). Включение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тестировать гипотезу о дифференциальном антикризисном эффекте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Спецификация модели оценивается отдельно для каждой из трёх групп стран.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Описательная статистика по группам стран представлена в таблице 2.2 и показывает заметные различия по основным переменным модели. Средний логарифм ВВП на душу населения составляет 10,694 в группе развитых стран, 9,153 в переходных и 8,480 в развивающихся - что соответствует примерно 44 000, 9 400 и 4 800 долларов соответственно. Средний уровень интернет-проникновения равен 86,8%, 72,4% и 55,6%, а средняя инфляция в развивающихся экономиках (4,76%) заметно выше чем в развитых странах (2,06%). Распределение переменных на рисунке 2.3 в виде диаграмм размаха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также подтверждает различия между группами и обосновывает необходимость раздельного эконометрического анализа.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2.2 - Описательная статистика основных переменных модели по группам стран Источник: составлено автором на основе данных Всемирного банка и результатов обработки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="00E23D0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Pr="000E5726">
        <w:rPr>
          <w:rFonts w:ascii="Times New Roman" w:hAnsi="Times New Roman" w:cs="Times New Roman"/>
          <w:sz w:val="28"/>
          <w:szCs w:val="28"/>
        </w:rPr>
        <w:t>Boxplot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-распределение переменных эконометрической модели по группам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Необходимость раздельной оценки по группам стран подтверждается тестом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структурную однородность - результаты представлены в таблице 2.3. Значение 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-статистики составило 5,3377 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 = 18;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 = 631;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что позволяет отвергнуть нулевую гипотезу об одинаковости коэффициентов между тремя группами стран на уровне значимости менее 0,001. Иными словами, оценка единой модели по всей выборке дала бы смещённую интерпретацию результатов - параметры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экономический рост реально различаются между развитыми, переходными и развивающимися экономиками.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2.3 - Результаты теста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структурную однородность между группами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Выбор между моделями с фиксированными (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случайными (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эффектами был сделан на основе теста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дополнительной теоретической аргументации. Формальный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группы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χ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4,576;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0,87) и переходных экономик (</w:t>
      </w:r>
      <w:r w:rsidRPr="000E5726">
        <w:rPr>
          <w:rFonts w:ascii="Times New Roman" w:hAnsi="Times New Roman" w:cs="Times New Roman"/>
          <w:sz w:val="28"/>
          <w:szCs w:val="28"/>
        </w:rPr>
        <w:t>χ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1,363;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0,998) указывает на допустимость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группе развивающихся экономик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-модель не была идентифицирована из-за сингулярной матрицы - это связано с небольшим размером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144 наблюдения на 11 стран при 9 переменных. Тем не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менее во всех трёх группах используется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-модель. Во-первых, это обеспечивает сопоставимость результатов между группами. Во-вторых,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страновая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гетерогенность - качество институтов, географическое положение, историческая траектория развития - с высокой вероятностью коррелирует с уровнем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что делает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состоятельным, а </w:t>
      </w:r>
      <w:r w:rsidRPr="000E5726">
        <w:rPr>
          <w:rFonts w:ascii="Times New Roman" w:hAnsi="Times New Roman" w:cs="Times New Roman"/>
          <w:sz w:val="28"/>
          <w:szCs w:val="28"/>
        </w:rPr>
        <w:t>RE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несостоятельным. В-третьих, диагностика остатков показала чувствительность теста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Хаусмана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что может завышать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value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. В-четвёртых, в панельных исследованиях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межстрановых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различий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модель с фиксированными эффектами является более надёжным выбором.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Диагностика остатков проводилась отдельно для каждой группы стран.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Бройша-Пагана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выявил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группах развитых экономик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87,210;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5,9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 и переходных экономик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38,888;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1,21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⁵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), тогда как в группе развивающихся стран гомоскедастичность не отвергается (</w:t>
      </w:r>
      <w:r w:rsidRPr="000E5726">
        <w:rPr>
          <w:rFonts w:ascii="Times New Roman" w:hAnsi="Times New Roman" w:cs="Times New Roman"/>
          <w:sz w:val="28"/>
          <w:szCs w:val="28"/>
        </w:rPr>
        <w:t>BP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11,790;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0,225).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Вулдриджа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показал наличие серийной автокорреляции во всех трёх группах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2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¹⁶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Выявленная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гетероскедастичность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автокорреляция обосновывают применение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кластеризованных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странам стандартных ошибок </w:t>
      </w:r>
      <w:r w:rsidRPr="000E5726">
        <w:rPr>
          <w:rFonts w:ascii="Times New Roman" w:hAnsi="Times New Roman" w:cs="Times New Roman"/>
          <w:sz w:val="28"/>
          <w:szCs w:val="28"/>
        </w:rPr>
        <w:t>HC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1 во всех спецификациях модели.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Итоговые результаты оценки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-моделей представлены в таблице 2.4.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Таблица 2.4 - Результаты оценки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-моделей по группам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Результаты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 для группы развитых стран (22 страны, 330 наблюдений)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влияет как на общий уровень экономического роста, так и на реакцию экономики в кризисные периоды.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0,050) - это указывает на положительную эластичность: рост интернет-проникновения на 1% связан с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увеличением ВВП на душу населения примерно на 0,21% при прочих равных условиях.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равен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-1,7942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0,002), что отражает значительное отрицательное воздействие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пандемийного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шока. При этом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0E5726">
        <w:rPr>
          <w:rFonts w:ascii="Times New Roman" w:hAnsi="Times New Roman" w:cs="Times New Roman"/>
          <w:sz w:val="28"/>
          <w:szCs w:val="28"/>
        </w:rPr>
        <w:t>Crisis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статистически значим: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0,3940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 - это говорит о смягчающей роли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период пандемии.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Аналогично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, interaction term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также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значим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: β = 0,3943 (p = 0,020).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В развитых странах более высокий уровень интернет-проникновения был связан с меньшим негативным эффектом кризисов 2020 и 2022 годов.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группы переходных экономик (16 стран, 233 наблюдения)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наиболее выраженным: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Рост интернет-проникновения на 1% связан с увеличением ВВП на душу населения примерно на 0,31% при прочих равных условиях. Однако 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незначимы: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0,1105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0,661),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-0,1252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0,456).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Иными словами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переходных экономиках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скорее устойчивым фактором роста чем подтверждённым антикризисным буфером. Отрицательный знак коэффициента при геополитическом кризисе может быть связан со спецификой выборки - она включает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непосредственно затронутые шоком 2022 года, когда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 могла компенсировать структурные потери от разрыва торговых и энергетических цепочек.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Для группы развивающихся экономик включающей Узбекистан (11 стран, 144 наблюдения),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также положителен и статистически значим: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Рост интернет-проникновения на 1% связан с увеличением ВВП на душу населения примерно на 0,20% при прочих равных условиях. При этом 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незначимы: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0,0184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0,697),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0,0457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0,641). Такой результат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при текущем уровне цифровой зрелости развивающихся экономик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уже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поддерживает рост, но антикризисного эффекта пока не даёт. Для Узбекистана это означает конкретное: расширение цифрового доступа само по себе работает на рост, но для смягчения внешних шоков нужен более высокий уровень цифровой инфраструктуры, институциональной интеграции и реального использования технологий в бизнесе. Дополнительно стоит учитывать ограничение статистической мощности: 144 наблюдения на 11 стран при 9 переменных снижают вероятность выявления слабых эффектов.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Визуальное сопоставление интернет-проникновения и ВВП на душу населения в кризисные годы представлено на рисунке 2.4. Рисунок дополняет результаты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-моделей: развитые экономики находятся в зоне высоких значений обоих показателей, тогда как переходные и развивающиеся страны демонстрируют более неоднородную траекторию.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2.4 - Взаимосвязь между уровнем интернет-проникновения и ВВП на душу населения в кризисные годы по группам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Полученные коэффициенты позволяют построить условные прогнозные сценарии и сравнить потенциальный эффект дальнейшего роста интернет-проникновения между группами стран. Эти расчёты не являются полноценным макроэкономическим прогнозом - они основаны на предположении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показывают лишь относительный вклад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динамику ВВП на душу населения. Сводные прогнозные значения по трём группам стран на 2025-2030 годы представлены в таблице 2.5. Детальная интерпретация сценария для Узбекистана рассматривается в §3.3.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Таблица 2.5 - Прогноз ВВП на душу населения по группам стран на 2025-2030 годы (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-модели)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Проведённый эконометрический анализ на несбалансированной панели 49 стран за 2010-2024 годы (707 наблюдений) даёт несколько выводов. Основная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₁) подтверждается: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статистически значим во всех трёх группах -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0,212 для развитых,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0,309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 для развивающихся экономик. Вспомогательная гипотеза (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₂) также подтверждается -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отвергает однородность коэффициентов между группами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а антикризисные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значимы только для развитых стран: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Для переходных и развивающихся экономик такие эффекты статистически не подтверждаются. В развивающихся странах включая Узбекистан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пока выступает прежде всего фактором роста, но не выполняет функцию макроэкономического стабилизатора. Полученные результаты создают количественную основу для практических рекомендаций, рассматриваемых в параграфах 3.2 и 3.3.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второй главе. Анализ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повышает устойчивость национальных экономик, однако её эффект зависит от типа кризиса и уровня цифровой зрелости. В 2020 году Эстония, Республика Корея, Сингапур и Польша показали более мягкое падение ВВП по сравнению со средним по ЕС - это связано с развитием цифрового государства, онлайн-сервисов и механизмов адресной поддержки. Кризис 2022 года показал пределы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энергетические и геополитические шоки не компенсируются цифровыми технологиями даже при высокой цифровой зрелости. Эконометрика на панели 49 стран подтвердила положительную связь между интернет-проникновением и ВВП на душу населения: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для развитых экономик,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для развивающихся.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подтвердил структурные различия между группами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Антикризисный буферный эффект выявлен только у развитых стран: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0,3940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0,3943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выступает фактором роста во всех группах, но функцию макроэкономического стабилизатора начинает выполнять только при высоком уровне цифровой зрелости. Для Узбекистана вывод конкретный: расширение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интернет-проникновения усиливает рост, но для антикризисного эффекта нужна более глубокая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и частного сектора.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pageBreakBefore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ГЛАВА </w:t>
      </w:r>
      <w:r w:rsidRPr="000E5726">
        <w:rPr>
          <w:rFonts w:ascii="Times New Roman" w:hAnsi="Times New Roman" w:cs="Times New Roman"/>
          <w:b/>
          <w:sz w:val="28"/>
          <w:szCs w:val="28"/>
        </w:rPr>
        <w:t>III</w:t>
      </w: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. ИСПОЛЬЗОВАНИЕ МЕЖДУНАРОДНОГО ОПЫТА ЦИФРОВИЗАЦИИ В УСЛОВИЯХ РЕСПУБЛИКИ УЗБЕКИСТАН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3.1. Современное состояние цифровой трансформации экономики Узбекистана в рамках Стратегии «Цифровой Узбекистан - 2030»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международного опыта из второй главы и модель пяти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из первой главы позволяют перейти к оценке текущего состояния цифровой трансформации Республики Узбекистан. Задача этого параграфа - не просто описать государственные программы, а охарактеризовать стартовую позицию национальной экономики по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тем индикаторам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которые использовались при анализе Эстонии, Республики Корея, Сингапура и Польши. Это обеспечивает методологическую сопоставимость и позволяет оценить возможности адаптации международного опыта к условиям Узбекистана.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Стратегия «Цифровой Узбекистан - 2030», утверждённая Указом Президента Республики Узбекистан № УП-6079 от 5 октября 2020 года, определяет основные ориентиры цифровой трансформации национальной экономики.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её рамках в 2023-2024 годах реализовывались программы «Цифровое правительство» и «Цифровой регион», включавшие 300 приоритетных проектов, из них 112 - в сфере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государственного управления, 51 - в секторах реальной экономики и 137 - в области региональной цифровой трансформации.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Стратегия также устанавливает ряд количественных ориентиров: увеличение доли цифровой экономики в ВВП не менее чем в 2,5 раза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 2026 году, расширение экспорта программного обеспечения в 10 раз - до 500 млн долларов США, а также вхождение Узбекистана в число 30 ведущих стран мира по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2030 году.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Эти ориентиры позволяют оценить насколько фактическая динамика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заявленным целям.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Оценка международного позиционирования Узбекистана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страна заметно продвинулась по ряду композитных индексов рассмотренных во второй главе. По данным </w:t>
      </w:r>
      <w:r w:rsidRPr="000E5726">
        <w:rPr>
          <w:rFonts w:ascii="Times New Roman" w:hAnsi="Times New Roman" w:cs="Times New Roman"/>
          <w:sz w:val="28"/>
          <w:szCs w:val="28"/>
        </w:rPr>
        <w:t>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Government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Survey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ООН за 2024 год, Узбекистан занял 63-е место среди 193 стран со значением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0,7999, поднявшись с 69-й позиции в 2022 году, когда значение индекса составляло 0,7265, и впервые вошёл в группу стран с «очень высоким» уровнем развития электронного правительства.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Тем самым целевой показатель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≥ 0,75, установленный Стратегией на 2025 год, был достигнут раньше срока. Одновременно Узбекистан поднялся на 37 позиций в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GovTech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Maturity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Всемирного банка и впервые вошёл в высшую категорию «</w:t>
      </w:r>
      <w:r w:rsidRPr="000E5726">
        <w:rPr>
          <w:rFonts w:ascii="Times New Roman" w:hAnsi="Times New Roman" w:cs="Times New Roman"/>
          <w:sz w:val="28"/>
          <w:szCs w:val="28"/>
        </w:rPr>
        <w:t>A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».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Индексе готовности к искусственному интеллекту </w:t>
      </w:r>
      <w:r w:rsidRPr="000E5726">
        <w:rPr>
          <w:rFonts w:ascii="Times New Roman" w:hAnsi="Times New Roman" w:cs="Times New Roman"/>
          <w:sz w:val="28"/>
          <w:szCs w:val="28"/>
        </w:rPr>
        <w:t>Oxford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Insights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страна улучшила позиции: с 87-го места в 2023 году до 70-го в 2024 году и 62-го в 2025 году.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7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Вместе с тем разрыв с цифровыми лидерами сохраняется: по сравнению с Эстонией занявшей 2-е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2024, отставание Узбекистана составляет 0,1728 пункта индекса и 61 позицию рейтинга.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Состояние цифровой инфраструктуры - базовое условие для реализации пяти каналов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экономики. В Узбекистане наблюдается расширение сетевой связности, однако по отдельным качественным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параметрам - прежде всего скорости передачи данных и развитию фиксированного широкополосного доступа - сохраняется отставание. К началу 2023 года протяжённость волоконно-оптических линий связи в Узбекистане превысила 227 тыс. км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⁸⁸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2024 году покрытие сетями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достигло 97% населения, тогда как покрытие сетями 5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составило лишь 18%.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8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данным Международного союза электросвязи, уровень проникновения интернета в Узбекистане в 2023 году достиг 89% населения против 83,9% годом ранее.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этом структура доступа остаётся преимущественно мобильной: подписка на активную мобильную широкополосную связь составила 107%, тогда как фиксированная широкополосная подписка - 30,3%.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Согласно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Speedtest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Global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Index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к началу 2025 года медианная скорость загрузки в фиксированной сети достигла 79 Мбит/с, увеличившись на 43% за год, а в мобильной сети - 38 Мбит/с, увеличившись на 53%.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целом Узбекистан уже сформировал базовую цифровую инфраструктуру, но следующий этап требует повышения качества связи, расширения 5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-покрытия и развития фиксированного широкополосного доступа.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Оценка ИКТ-сектора важна для анализа пятого канала - устойчивости самого сектора как отдельного компонента национальной экономики. В случае Узбекистана этот сектор растёт быстро, хотя его доля в структуре экономики пока остаётся сравнительно небольшой. По данным Агентства государственной статистики Республики Узбекистан, в 2024 году ВВП страны в текущих ценах составил 1 454,6 трлн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сумов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или 114,96 млрд долларов США, увеличившись на 6,5% в реальном выражении; при этом доля услуг информации и связи в валовой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добавленной стоимости достигла 2,4%.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Внутри сектора основная часть добавленной стоимости приходится на телекоммуникационные услуги, компьютерное программирование и консультационные услуги, тогда как хостинг, обработка данных и разработка программного обеспечения занимают меньшую долю. Темп роста сектора информации и связи в 2024 году составил 24,7% в реальном выражении, что значительно превысило общий темп роста ВВП.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рассматривать ИКТ-сектор как один из наиболее динамичных элементов экономики. Вместе с тем сравнение со странами ОЭСР, где доля ВДС ИКТ-сектора в 2023 году в среднем составила 6,2%, показывает: Узбекистан пока находится на раннем этапе формирования цифровой экономики - высокие темпы роста сектора ещё не перешли в сопоставимую долю в ВДС.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Развитие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Узбекистана отражает формирование институциональной базы для экспортно-ориентированного ИКТ-сектора. Созданный в 2019 году, к концу 2024 года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объединял более 2 500 компаний-резидентов и около 11 тыс. работников.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Экспорт ИКТ-услуг увеличился с 50 млн долларов США в 2015 году до 344 млн долларов США в 2023 году.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Оценки за 2024 год различаются в зависимости от источника и методологии учёта: в одних источниках указывается 620 млн долларов США, в других - 1,15 млрд долларов США.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7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важнее учитывать не отдельную оценку, а общую динамику: экспорт ИКТ-услуг показывает устойчивый рост что подтверждает усиление роли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институционального центра цифровой экономики Узбекистана.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финансовой системы - одно из наиболее быстро развивающихся направлений цифровой трансформации Узбекистана. Она создаёт основу для канала фискальной трансмиссии. По данным отчёта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Mastercard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Pr="000E5726">
        <w:rPr>
          <w:rFonts w:ascii="Times New Roman" w:hAnsi="Times New Roman" w:cs="Times New Roman"/>
          <w:sz w:val="28"/>
          <w:szCs w:val="28"/>
        </w:rPr>
        <w:t>Fintech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Market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Uzbekistan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» за 2023 год, число пользователей удалённых банковских услуг увеличилось с примерно 8 млн человек в 2018 году до 30 млн человек в 2022 году.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2020-2022 годах объём транзакций через системы </w:t>
      </w:r>
      <w:r w:rsidRPr="000E5726">
        <w:rPr>
          <w:rFonts w:ascii="Times New Roman" w:hAnsi="Times New Roman" w:cs="Times New Roman"/>
          <w:sz w:val="28"/>
          <w:szCs w:val="28"/>
        </w:rPr>
        <w:t>QR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-онлайн рос в среднем на 119% в год, а совокупная стоимость операций увеличилась примерно в 15 раз.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9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началу 2024 года в обращении находилось более 5,6 млн держателей платёжных карт, число клиентов интернет-банкинга превысило 900 тыс., а на 100 тыс. населения приходилось 28,3 банкомата и 552,5 </w:t>
      </w:r>
      <w:r w:rsidRPr="000E5726">
        <w:rPr>
          <w:rFonts w:ascii="Times New Roman" w:hAnsi="Times New Roman" w:cs="Times New Roman"/>
          <w:sz w:val="28"/>
          <w:szCs w:val="28"/>
        </w:rPr>
        <w:t>POS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-терминала.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Совокупный объём транзакций через межбанковскую систему в 2024 году превысил 7 279 трлн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сумов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Эти данные показывают что цифровые финансы в Узбекистане уже формируют инфраструктурную базу для более быстрой передачи государственных выплат, поддержки бизнеса и антикризисных мер - что во второй главе рассматривалось на примере Сингапура и Республики Корея.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Систематизация рассмотренных показателей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цифровая трансформация Узбекистана развивается неравномерно. С одной стороны, страна заметно продвинулась в развитии цифрового государства, базовой инфраструктуры и цифровых финансов - это подтверждается международными индексами и ростом использования онлайн-сервисов.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другой стороны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отставание по доле ИКТ-сектора в валовой добавленной стоимости и по распространению продвинутых цифровых технологий среди предприятий.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В этом смысле Узбекистан близок к польской модели «конвергенции с ограничениями» из §2.1: при активном развитии государственных цифровых сервисов сохраняется разрыв в цифровой зрелости частного сектора. Возможности сокращения этой асимметрии на основе адаптации международного опыта рассматриваются в следующем параграфе.</w:t>
      </w:r>
    </w:p>
    <w:p w:rsidR="00E23D01" w:rsidRDefault="00E23D01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3.2. Адаптация международного опыта цифровой трансформации к условиям Республики Узбекистан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Результаты эконометрического анализа из параграфа 2.3 и сравнительный анализ четырёх стран-лидеров позволяют перейти к оценке того, какой международный опыт может быть адаптирован к условиям Узбекистана. В этом параграфе адаптация понимается не как прямое копирование отдельных инструментов, а как выборочное использование институциональных решений с учётом стартовых условий национальной экономики рассмотренных в параграфе 3.1.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Отправной точкой является результат из §2.3: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5,34;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подтвердил статистически значимые различия между развитыми, переходными и развивающимися экономиками. Узбекистан, согласно классификации Всемирного банка </w:t>
      </w:r>
      <w:r w:rsidRPr="000E5726">
        <w:rPr>
          <w:rFonts w:ascii="Times New Roman" w:hAnsi="Times New Roman" w:cs="Times New Roman"/>
          <w:sz w:val="28"/>
          <w:szCs w:val="28"/>
        </w:rPr>
        <w:t>lower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middle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income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методологии ЮНКТАД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относится к группе развивающихся экономик, включающей 11 стран и 144 наблюдения. В этой группе коэффициент при основном регрессоре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составил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) - это показывает положительную связь между интернет-проникновением и ВВП на душу населения: рост доли интернет-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пользователей на 1% ассоциируется с увеличением ВВП на душу населения примерно на 0,20%.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Однако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группе развивающихся экономик оказались статистически незначимыми: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0,0184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0,697),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0,0457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0,641). Это означает что при текущем уровне цифровой зрелости Узбекистана цифровые технологии поддерживают рост в обычных условиях, но пока не дают устойчивого буферного эффекта при внешних шоках. Стратегическая задача Узбекистана поэтому состоит не только в расширении цифрового доступа, но и в превращении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полноценный инструмент антикризисной устойчивости.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развитых экономиках (22 страны, 330 наблюдений) антикризисный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статистически значимым.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Crisis_COVID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составил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β = 0,394 (p = 0,003), 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log_internet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Crisis_Geo</w:t>
      </w:r>
      <w:proofErr w:type="spellEnd"/>
      <w:r w:rsidRPr="000E5726">
        <w:rPr>
          <w:rFonts w:ascii="Times New Roman" w:hAnsi="Times New Roman" w:cs="Times New Roman"/>
          <w:sz w:val="28"/>
          <w:szCs w:val="28"/>
        </w:rPr>
        <w:t xml:space="preserve"> - β = 0,394 (p = 0,020).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 развитых странах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не только функцию фактора роста, но и роль макроэкономического стабилизатора в период внешних шоков. Для Узбекистана этот результат задаёт стратегический ориентир: нужно достичь такого уровня цифровой зрелости при котором цифровые технологии смогут смягчать не только транзакционные ограничения, но и кризисные колебания экономической активности. Графическое сопоставление кризисных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 группам стран представлено на рисунке 3.1.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3.1 - Дифференциальная эластичность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кризисные периоды по группам стран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моделей цифровой трансформации из §2.1 позволяет выделить элементы международного опыта полезные для Узбекистана. Эстонская модель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особый интерес, поскольку обеспечивает защищённый обмен данными между государственными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органами и частным сектором, усиливая канал фискальной трансмиссии и снижая административные издержки.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4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Дополнительным преимуществом является открытая архитектура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что снижает барьеры технологического заимствования.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5"/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Вместе с тем прямое копирование эстонской модели невозможно из-за разницы в масштабе. Население Эстонии составляет около 1,3 млн человек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тогда как население Узбекистана превышает 36 млн.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7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Поэтому для Узбекистана важен не буквальный перенос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а адаптация её ключевых принципов -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, защищённого обмена данными, открытой архитектуры и масштабируемости цифровой инфраструктуры. Более широкие различия между группами стран по уровню экономического развития и интернет-проникновения представлены на рисунке 3.2.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3.2 - Динамика </w:t>
      </w:r>
      <w:r w:rsidRPr="000E5726">
        <w:rPr>
          <w:rFonts w:ascii="Times New Roman" w:hAnsi="Times New Roman" w:cs="Times New Roman"/>
          <w:sz w:val="28"/>
          <w:szCs w:val="28"/>
        </w:rPr>
        <w:t>ln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GDPpc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0E5726">
        <w:rPr>
          <w:rFonts w:ascii="Times New Roman" w:hAnsi="Times New Roman" w:cs="Times New Roman"/>
          <w:sz w:val="28"/>
          <w:szCs w:val="28"/>
        </w:rPr>
        <w:t>ln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(интернет-проникновения) по группам стран за 2010-2024 годы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Корейская модель масштабного государственного инвестирования 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релевантна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для Узбекистана прежде всего с точки зрения институционального дизайна.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Опыт Республики Корея показывает что включение цифровых проектов в антикризисные бюджетные программы позволяет одновременно поддерживать восстановление экономики и создавать основу для долгосрочной устойчивости. Вместе с тем прямое воспроизведение корейской модели ограничено масштабом финансирования: объём средств на развитие ведущих цифровых технологий составил 10,1 трлн вон, или около 8,5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млрд долларов США. Поэтому для Узбекистана целесообразно заимствовать не масштаб расходов, а сам принцип - привязку программ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бюджетным циклам.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Польская модель имеет значение для Узбекистана в контексте преодоления асимметрии цифровой зрелости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0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выявленной в §3.1. Её ключевой урок в том что развитие цифрового государства должно сопровождаться целевыми мерами по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малого и среднего бизнеса - иначе возникает разрыв между государственными сервисами и частным сектором. В условиях Узбекистана такую функцию могут выполнять программы Азиатского банка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Европейского банка реконструкции и развития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1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Всемирного банка, уже участвующие в финансировании проектов цифровой инфраструктуры.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Сингапурская модель наименее пригодна для прямого переноса в Узбекистан - Сингапур является городом-государством площадью 728 км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тогда как Узбекистан занимает 448 тыс. км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имеет выраженную региональную дисперсию. Вместе с тем отдельные элементы сингапурского опыта - прежде всего система цифровой идентификации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SingPass</w:t>
      </w:r>
      <w:proofErr w:type="spellEnd"/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2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механизмы адресной фискальной помощи через цифровые каналы - могут быть адаптированы для крупных городов Узбекистана, включая Ташкент, Самарканд и Бухару.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Синтез сравнительного и эконометрического анализа позволяет сформулировать общую рамку адаптации: для Узбекистана приоритетом должна стать не формальная максимизация композитных индексов цифровой зрелости, а развитие инфраструктуры канала фискальной трансмиссии - национальной системы цифровой идентификации, интегрированных межведомственных баз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данных и цифровых платежей.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3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Именно этот канал, как показано в §2.2, обеспечил высокую скорость развёртывания антикризисных программ в Сингапуре и Республике Корея в период пандемии 2020 года.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4"/>
      </w:r>
    </w:p>
    <w:p w:rsidR="00E23D01" w:rsidRDefault="00E23D01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t>3.3. Практические рекомендации по укреплению цифровой устойчивости экономики Республики Узбекистан и оценка ожидаемого эффекта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Практические рекомендации этого параграфа опираются на три результата полученные в ходе исследования. Во-первых, в группе развивающихся экономик выявлена статистически значимая положительная связь между интернет-проникновением и ВВП на душу населения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). Во-вторых, в этой же группе не подтверждён самостоятельный антикризисный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>. В-третьих, такой эффект выявлен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0,003). Поэтому рекомендации имеют двухуровневую логику: первый уровень - усиление прямого эффекта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фактора роста, второй - создание институциональных условий для перехода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функции макроэкономического стабилизатора.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Первая рекомендация - дальнейшее расширение интернет-проникновения как основного показателя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использованного в модели. По данным Международного союза электросвязи, уровень проникновения интернета в Узбекистане в 2023 году достиг 89% населения.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5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Прогнозный сценарий на основе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-модели для группы развивающихся экономик показывает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количественный эффект дальнейшего роста: при достижении уровня интернет-проникновения 90% прогнозный ВВП на душу населения составит примерно 3 653 доллара США в постоянных ценах 2015 года, а при достижении 95% - около 3 693 долларов США. Соответствующий сценарий представлен на рисунке 3.3.</w:t>
      </w:r>
    </w:p>
    <w:p w:rsidR="00C02A16" w:rsidRPr="000E5726" w:rsidRDefault="00C02A16" w:rsidP="00E2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3.3 - Прогнозный сценарий ВВП на душу населения для Узбекистана при росте интернет-проникновения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3D0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Сопоставление с базовым модельным уровнем 3 569 долларов при 80-процентном интернет-проникновении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дальнейшее расширение цифрового доступа может дать прирост порядка 84-124 долларов на душу населения. При численности населения свыше 36 млн человек это соответствует совокупному макроэкономическому эффекту примерно 3,0-4,5 млрд долларов США. При этом дополнительный эффект перехода от 90% к 95% интернет-проникновения составляет около 40 долларов США на душу населения, или примерно 1,4 млрд долларов США в масштабе экономики. Эти оценки условны и основаны на предположении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; более точная оценка доверительных интервалов для 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-прогнозов требует </w:t>
      </w:r>
      <w:r w:rsidRPr="000E5726">
        <w:rPr>
          <w:rFonts w:ascii="Times New Roman" w:hAnsi="Times New Roman" w:cs="Times New Roman"/>
          <w:sz w:val="28"/>
          <w:szCs w:val="28"/>
        </w:rPr>
        <w:t>bootstrap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-процедуры, что выходит за рамки этой работы. Детальные прогнозные значения по го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дам представлены в таблице 3.1.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Таблица 3.1 - Прогноз ВВП на душу населения для Узбекистана на 2025-2030 годы (</w:t>
      </w:r>
      <w:r w:rsidRPr="000E5726">
        <w:rPr>
          <w:rFonts w:ascii="Times New Roman" w:hAnsi="Times New Roman" w:cs="Times New Roman"/>
          <w:sz w:val="28"/>
          <w:szCs w:val="28"/>
        </w:rPr>
        <w:t>FE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-модель, </w:t>
      </w:r>
      <w:r w:rsidRPr="000E5726">
        <w:rPr>
          <w:rFonts w:ascii="Times New Roman" w:hAnsi="Times New Roman" w:cs="Times New Roman"/>
          <w:sz w:val="28"/>
          <w:szCs w:val="28"/>
        </w:rPr>
        <w:t>ceteris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paribus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>Сравнение трёх сценариев роста интернет-проникновения и связанной с ними динамики ВВП на душу населения представлено на рисунке 3.4.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Рисунок 3.4 - Прогноз ВВП на душу населения для Узбекистана по трём сценариям на 2025-2030 годы Источник: составлено автором на основе результатов эконометрического моделирования в </w:t>
      </w:r>
      <w:r w:rsidRPr="000E5726">
        <w:rPr>
          <w:rFonts w:ascii="Times New Roman" w:hAnsi="Times New Roman" w:cs="Times New Roman"/>
          <w:sz w:val="28"/>
          <w:szCs w:val="28"/>
        </w:rPr>
        <w:t>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Studio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Вторая рекомендация - преодоление асимметрии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цифровой зрелости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выявленной в §3.1, то есть разрыва между развитием государственных цифровых сервисов и более ограниченной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сектора. Эконометрический анализ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 группе развивающихся экономик экспорт высокотехнологичных товаров пока не является статистически значимым фактором роста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hightech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-0,0013;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0,835), тогда как в группе развитых стран его вклад положителен и значим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hightech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0,0067;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0,027). Это указывает на то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предприятий в Узбекистане пока не достигла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уровня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котором она транслируется в структурную диверсификацию экспорта. В практическом плане рекомендуется расширение программ </w:t>
      </w:r>
      <w:r w:rsidRPr="000E5726">
        <w:rPr>
          <w:rFonts w:ascii="Times New Roman" w:hAnsi="Times New Roman" w:cs="Times New Roman"/>
          <w:sz w:val="28"/>
          <w:szCs w:val="28"/>
        </w:rPr>
        <w:t>IT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Park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Uzbekistan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6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направлении поддержки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 - текстильной промышленности, агропромышленного комплекса,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горнодобычи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а не только экспорт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но-ориентированного ИТ-сектора.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Третья рекомендация касается развития инфраструктуры канала фискальной трансмиссии. Как показал анализ параграфа 2.2, антикризисная скорость Сингапура и Республики Корея в 2020 году определялась не столько общим масштабом цифровой экономики, сколько наличием трёх базовых элементов: национальной системы цифровой идентификации, интегрированных межведомственных баз данных и инфраструктуры мгновенных цифровых платежей. В Узбекистане первый элемент уже формируется - система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; второй находится на ранней стадии; третий демонстрирует быстрый рост: объём </w:t>
      </w:r>
      <w:r w:rsidRPr="000E5726">
        <w:rPr>
          <w:rFonts w:ascii="Times New Roman" w:hAnsi="Times New Roman" w:cs="Times New Roman"/>
          <w:sz w:val="28"/>
          <w:szCs w:val="28"/>
        </w:rPr>
        <w:t>QR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-транзакций увеличивался на 119% в год в 2020-2022 годах.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7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Рекомендуется ускоренное завершение интеграции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межведомственными базами данных по модели эстонской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8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это создаст технологическую основу для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>адресного и быстрого развёртывания антикризисных прог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рамм при будущих внешних шоках.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Четвёртая рекомендация - учёт типа кризиса при проектировании цифровой устойчивости. Эконометрический анализ показал различие между двумя видами шоков: при пандемии </w:t>
      </w:r>
      <w:r w:rsidRPr="000E5726">
        <w:rPr>
          <w:rFonts w:ascii="Times New Roman" w:hAnsi="Times New Roman" w:cs="Times New Roman"/>
          <w:sz w:val="28"/>
          <w:szCs w:val="28"/>
        </w:rPr>
        <w:t>COVID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-19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дала статистически значимый буферный эффект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0,003), тогда как при геополитическом кризисе 2022 года её эффект оказался менее универсальным. Для группы переходных экономик коэффициент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при геополитическом кризисе отрицателен, но статистически незначим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-0,1252;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0,456) - что отражает ограниченную способность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компенсировать потери от разрыва торговых и энергетических цепочек. Для Узбекистана это означает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стоит рассматривать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прежде всего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инструмент противодействия шокам мобильности и информационной асимметрии - пандемиям, логистическим сбоям и административным ограничениям - но не как замену политике энергетической безопасности и д</w:t>
      </w:r>
      <w:r w:rsidR="00E872C1">
        <w:rPr>
          <w:rFonts w:ascii="Times New Roman" w:hAnsi="Times New Roman" w:cs="Times New Roman"/>
          <w:sz w:val="28"/>
          <w:szCs w:val="28"/>
          <w:lang w:val="ru-RU"/>
        </w:rPr>
        <w:t>иверсификации внешней торговли.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Пятая рекомендация связана с ограничением статистической мощности модели для группы развивающихся экономик. В этой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подвыборке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использовались 144 наблюдения что снижает вероятность выявления слабых эффектов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кризисные периоды. Поэтому незначимость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может объясняться не только отсутствием антикризисного эффекта, но и ограниченным объёмом данных. В связи с этим рекомендуется организация систематического мониторинга показателей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экономической устойчивости Узбекистана в рамках Стратегии «Цифровой Узбекистан - 2030»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19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периодической повторной оценкой эконометрической модели по мере накопления данных. Включение Узбекистана в международные панельные базы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повысит сопоставимость результатов и позволит точнее отслеживать его сближение с группой переходных экономик, где основной эффект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рост выражен сильнее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0,309;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E872C1"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C02A16" w:rsidRPr="000E5726" w:rsidRDefault="00C02A16" w:rsidP="00E872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Обобщение пяти рекомендаций позволяет определить последовательность приоритетов. На первом этапе (2025-2027 годы) - завершить формирование инфраструктуры фискальной трансмиссии: интегрировать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 межведомственными базами данных, расширить инфраструктуру цифровых платежей и довести интернет-проникновение до 90%. На втором этапе (2027-2030 годы) основное внимание должно быть направлено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 и сокращение разрыва между государственными онлайн-сервисами и цифровой зрелостью предприятий через целевые программы для малого и среднего бизнеса. На третьем этапе, после 2030 года, приоритет - достижение такого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сможет выполнять функцию макроэкономического стабилизатора аналогичную выявленной в группе развитых стран. Указанная последовательность согласуется с целевыми показателями Стратегии «Цифровой Узбекистан - 2030»</w:t>
      </w:r>
      <w:r w:rsidRPr="000E5726">
        <w:rPr>
          <w:rStyle w:val="a4"/>
          <w:rFonts w:ascii="Times New Roman" w:hAnsi="Times New Roman" w:cs="Times New Roman"/>
          <w:sz w:val="28"/>
          <w:szCs w:val="28"/>
        </w:rPr>
        <w:footnoteReference w:id="120"/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опирается на количественные результаты настоящего исследования.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Выводы по третьей главе. Анализ цифровой трансформации Узбекистана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страна достигла заметного прогресса в развитии электронного правительства и базовой цифровой инфраструктуры. В 2024 году Узбекистан занял 63-е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0,7999, уровень интернет-проникновения достиг 89%, а покрытие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- 97%. Вместе с тем сохраняется структурная асимметрия: при активном развитии государственных цифровых сервисов доля услуг информации и связи в ВДС составляет лишь 2,4% - ниже среднего уровня стран ОЭСР. Сопоставление с результатами эконометрического анализа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показывает что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Узбекистане уже выступает фактором роста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&lt; 0,001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), однако пока не достигла уровня при котором она выполняет функцию антикризисного стабилизатора. Для адаптации наиболее применимы: эстонская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как модель 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корейская привязка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программам, польская поддержка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МСБ и сингапурские решения в сфере цифровой идентификации. Рекомендации предполагают поэтапный подход: в 2025-2027 годах - развитие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межведомственной интеграции, цифровых платежей и доведение интернет-проникновения до 90%; в 2027-2030 годах -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 и частного сектора; после 2030 года - достижение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функцию не только фактора роста, но и макроэкономического стабилизатора.</w:t>
      </w:r>
    </w:p>
    <w:p w:rsidR="00C02A16" w:rsidRPr="000E5726" w:rsidRDefault="00C02A16" w:rsidP="00C02A16">
      <w:pPr>
        <w:pageBreakBefore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ЗАКЛЮЧЕНИЕ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Эта выпускная квалификационная работа была посвящена теоретическому осмыслению и эмпирической проверке связи между цифровой трансформацией национальных экономик и их устойчивостью к глобальным кризисным шокам. В работе рассматривался вопрос о том является ли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 значимым фактором экономической устойчивости и при каких условиях её влияние проявляется наиболее заметно. Ответ был получен на основе сочетания теоретического анализа, сравнительного изучения международного опыта и эконометрического моделирования.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Теоретическая рамка первой главы опирается на подходы к экономической уязвимости и устойчивости из работ Л.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Бригульо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соавторов, аналитические материалы ОЭСР, а также трактовки цифровой экономики Всемирного банка и других международных организаций. В работе систематизирована пятиканальная модель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устойчивость национальных экономик: непрерывность государственных функций, фискальная трансмиссия, адаптация частного сектора, диверсификация конечного спроса и устойчивость информационно-коммуникационного сектора. Главный теоретический вывод первой главы в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том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устойчивость экономики формируется не только в момент кризиса, а заранее - через качество институтов, уровень инфраструктурного развития, цифровую готовность и способность быстро адаптироваться к внешним шокам.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Сравнительный анализ Эстонии, Республики Корея, Сингапура и Польши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показал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высокий уровень цифровой зрелости был связан с более мягкой реакцией экономик на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пандемийный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шок 2020 года. Цифровое государство, онлайн-сервисы, электронная идентификация, цифровые платежи и механизмы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адресной поддержки позволили этим странам быстрее сохранять государственные функции, поддерживать бизнес и население, а также частично компенсировать ограничения физической мобильности. Вместе с тем кризис 2022 года выявил пределы этого эффекта: энергетические, ценовые и геополитические шоки не могут быть полностью нейтрализованы цифровыми технологиями даже при высоком уровне цифровой инфраструктуры. Эстония и Польша, несмотря на развитые цифровые сервисы, столкнулись с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высоким инфляционным давлением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связанным с энергетическими и внешнеторговыми факторами. Это подтвердило необходимость раздельного учёта кризисов 2020 и 2022 годов в эконометрической модели.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Основной эмпирический результат работы получен в §2.3 на несбалансированной панели 49 стран за 2010-2024 годы (707 наблюдений). Тест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Чоу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E5726">
        <w:rPr>
          <w:rFonts w:ascii="Times New Roman" w:hAnsi="Times New Roman" w:cs="Times New Roman"/>
          <w:sz w:val="28"/>
          <w:szCs w:val="28"/>
        </w:rPr>
        <w:t>F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5,3377;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1,151 × 10⁻</w:t>
      </w:r>
      <w:r w:rsidRPr="000E5726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¹¹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) подтвердил структурную неоднородность выборки и обосновал раздельный анализ трёх групп стран. Основная гипотеза 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₁ подтверждена: коэффициент при </w:t>
      </w:r>
      <w:r w:rsidRPr="000E5726">
        <w:rPr>
          <w:rFonts w:ascii="Times New Roman" w:hAnsi="Times New Roman" w:cs="Times New Roman"/>
          <w:sz w:val="28"/>
          <w:szCs w:val="28"/>
        </w:rPr>
        <w:t>log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internet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положителен и статистически значим во всех группах -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0,2117 для развитых экономик,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0,3085 для переходных и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0,1978 для развивающихся. Вспомогательная гипотеза </w:t>
      </w:r>
      <w:r w:rsidRPr="000E5726">
        <w:rPr>
          <w:rFonts w:ascii="Times New Roman" w:hAnsi="Times New Roman" w:cs="Times New Roman"/>
          <w:sz w:val="28"/>
          <w:szCs w:val="28"/>
        </w:rPr>
        <w:t>H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₂ также получила подтверждение: антикризисный буферный эффект, выраженный через </w:t>
      </w:r>
      <w:r w:rsidRPr="000E5726">
        <w:rPr>
          <w:rFonts w:ascii="Times New Roman" w:hAnsi="Times New Roman" w:cs="Times New Roman"/>
          <w:sz w:val="28"/>
          <w:szCs w:val="28"/>
        </w:rPr>
        <w:t>interaction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E5726">
        <w:rPr>
          <w:rFonts w:ascii="Times New Roman" w:hAnsi="Times New Roman" w:cs="Times New Roman"/>
          <w:sz w:val="28"/>
          <w:szCs w:val="28"/>
        </w:rPr>
        <w:t>terms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, статистически выявлен только в группе развитых стран (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covid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0,003; </w:t>
      </w:r>
      <w:r w:rsidRPr="000E5726">
        <w:rPr>
          <w:rFonts w:ascii="Times New Roman" w:hAnsi="Times New Roman" w:cs="Times New Roman"/>
          <w:sz w:val="28"/>
          <w:szCs w:val="28"/>
        </w:rPr>
        <w:t>β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E5726">
        <w:rPr>
          <w:rFonts w:ascii="Times New Roman" w:hAnsi="Times New Roman" w:cs="Times New Roman"/>
          <w:sz w:val="28"/>
          <w:szCs w:val="28"/>
        </w:rPr>
        <w:t>geo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0,394; </w:t>
      </w:r>
      <w:r w:rsidRPr="000E5726">
        <w:rPr>
          <w:rFonts w:ascii="Times New Roman" w:hAnsi="Times New Roman" w:cs="Times New Roman"/>
          <w:sz w:val="28"/>
          <w:szCs w:val="28"/>
        </w:rPr>
        <w:t>p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= 0,020). В переходных и развивающихся экономиках аналогичные эффекты статистически не подтверждаются. Связь между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цифровизацией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устойчивостью имеет пороговый характер: цифровые технологии становятся полноценным антикризисным стабилизатором только при достижении высок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Применительно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Республике Узбекистан третья глава показала наличие асимметрии цифровой трансформации. С одной стороны, страна достигла заметного прогресса в развитии электронного правительства и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базовой цифровой инфраструктуры: в 2024 году Узбекистан занял 63-е место в </w:t>
      </w:r>
      <w:r w:rsidRPr="000E5726">
        <w:rPr>
          <w:rFonts w:ascii="Times New Roman" w:hAnsi="Times New Roman" w:cs="Times New Roman"/>
          <w:sz w:val="28"/>
          <w:szCs w:val="28"/>
        </w:rPr>
        <w:t>EGDI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0,7999, уровень интернет-проникновения достиг 89%, а покрытие 4</w:t>
      </w:r>
      <w:r w:rsidRPr="000E5726">
        <w:rPr>
          <w:rFonts w:ascii="Times New Roman" w:hAnsi="Times New Roman" w:cs="Times New Roman"/>
          <w:sz w:val="28"/>
          <w:szCs w:val="28"/>
        </w:rPr>
        <w:t>G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- 97% населения.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 другой стороны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отставание по глубине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частного сектора: доля услуг информации и связи в ВДС составляет 2,4%, что ниже среднего уровня стран ОЭСР. Эконометрические результаты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показывают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при текущем уровне развития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в Узбекистане уже поддерживает экономический рост: рост интернет-проникновения на 1% связан с увеличением ВВП на душу населения примерно на 0,20% при прочих равных условиях. Однако антикризисная буферная функция для группы развивающихся экономик включая Узбекистан, пока статистически не идентифицируется. Прогнозный сценарий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показывает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что дополнительный переход от 90% к 95% интернет-проникновения может быть связан с эффектом около 40 долларов США на душу населения, или примерно 1,4 млрд долларов США в масштабе экономики.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Сформулированные практические рекомендации образуют поэтапную программу цифрового развития с горизонтом до 2030 года и после. На первом этапе в 2025-2027 годах приоритет - развитие инфраструктуры фискальной трансмиссии: </w:t>
      </w:r>
      <w:proofErr w:type="spellStart"/>
      <w:r w:rsidRPr="000E5726">
        <w:rPr>
          <w:rFonts w:ascii="Times New Roman" w:hAnsi="Times New Roman" w:cs="Times New Roman"/>
          <w:sz w:val="28"/>
          <w:szCs w:val="28"/>
        </w:rPr>
        <w:t>MyID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межведомственной интеграции, цифровых платежей и расширения интернет-проникновения. На втором этапе в 2027-2030 годах ключевая задача - преодоление асимметрии цифровой зрелости через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цифровизацию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традиционных отраслей, малого и среднего бизнеса, а также расширение использования цифровых технологий в частном секторе. После 2030 года стратегический ориентир - достижение уровня цифровой зрелости при котором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цифровизация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сможет выполнять не только функцию фактора роста, но и функцию макроэкономического стабилизатора. Адаптация международного опыта при этом должна быть выборочной: эстонская </w:t>
      </w:r>
      <w:r w:rsidRPr="000E5726">
        <w:rPr>
          <w:rFonts w:ascii="Times New Roman" w:hAnsi="Times New Roman" w:cs="Times New Roman"/>
          <w:sz w:val="28"/>
          <w:szCs w:val="28"/>
        </w:rPr>
        <w:t>X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E5726">
        <w:rPr>
          <w:rFonts w:ascii="Times New Roman" w:hAnsi="Times New Roman" w:cs="Times New Roman"/>
          <w:sz w:val="28"/>
          <w:szCs w:val="28"/>
        </w:rPr>
        <w:t>Road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- ориентир для 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межведомственной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интероперабельности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опыт Республики Корея - пример привязки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к антикризисным программам, польская модель - основа для поддержки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МСБ, а отдельные элементы сингапурской системы цифровой идентификации - ориентир для развития единого доступа к государственным и финансовым </w:t>
      </w:r>
      <w:proofErr w:type="spellStart"/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сервисам.ого</w:t>
      </w:r>
      <w:proofErr w:type="spellEnd"/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уровня цифровой зрелости.</w:t>
      </w:r>
    </w:p>
    <w:p w:rsidR="00C02A16" w:rsidRPr="000E5726" w:rsidRDefault="00C02A16" w:rsidP="00C02A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Научная новизна исследования состоит в трёх аспектах. Во-первых, в работе систематизирована пятиканальная модель влияния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на экономическую устойчивость, связывающая конкретные направления цифрового развития с механизмами реакции экономики на внешние шоки. Во-вторых, на основе панельного анализа 49 стран эмпирически показан пороговый характер антикризисного буферного эффекта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: положительная связь с ростом наблюдается во всех группах, но стабилизирующий эффект статистически выявляется только в развитых экономиках. В-третьих, для Республики Узбекистан предложены </w:t>
      </w:r>
      <w:proofErr w:type="gram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прогнозные сценарии</w:t>
      </w:r>
      <w:proofErr w:type="gram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позволяющие связать целевые ориентиры Стратегии «Цифровой Узбекистан - 2030» с количественными эконометрическими оценками. Вместе с тем исследование имеет ряд ограничений: использование одного основного индикатора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, упрощённая идентификация кризисных периодов и ограниченный размер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подвыборки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развивающихся экономик. Эти ограничения определяют направления дальнейших исследований - расширение набора цифровых индикаторов, применение методов </w:t>
      </w:r>
      <w:r w:rsidRPr="000E5726">
        <w:rPr>
          <w:rFonts w:ascii="Times New Roman" w:hAnsi="Times New Roman" w:cs="Times New Roman"/>
          <w:sz w:val="28"/>
          <w:szCs w:val="28"/>
        </w:rPr>
        <w:t>IV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0E5726">
        <w:rPr>
          <w:rFonts w:ascii="Times New Roman" w:hAnsi="Times New Roman" w:cs="Times New Roman"/>
          <w:sz w:val="28"/>
          <w:szCs w:val="28"/>
        </w:rPr>
        <w:t>GMM</w:t>
      </w:r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и проведение отраслевого анализа </w:t>
      </w:r>
      <w:proofErr w:type="spellStart"/>
      <w:r w:rsidRPr="000E5726">
        <w:rPr>
          <w:rFonts w:ascii="Times New Roman" w:hAnsi="Times New Roman" w:cs="Times New Roman"/>
          <w:sz w:val="28"/>
          <w:szCs w:val="28"/>
          <w:lang w:val="ru-RU"/>
        </w:rPr>
        <w:t>цифровизации</w:t>
      </w:r>
      <w:proofErr w:type="spellEnd"/>
      <w:r w:rsidRPr="000E5726">
        <w:rPr>
          <w:rFonts w:ascii="Times New Roman" w:hAnsi="Times New Roman" w:cs="Times New Roman"/>
          <w:sz w:val="28"/>
          <w:szCs w:val="28"/>
          <w:lang w:val="ru-RU"/>
        </w:rPr>
        <w:t xml:space="preserve"> экономики Узбекистана.</w:t>
      </w: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C02A16" w:rsidRPr="000E5726" w:rsidRDefault="00C02A16" w:rsidP="00C02A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678C" w:rsidRDefault="0093678C" w:rsidP="00C02A16">
      <w:pPr>
        <w:spacing w:line="360" w:lineRule="auto"/>
        <w:ind w:firstLine="709"/>
      </w:pPr>
    </w:p>
    <w:sectPr w:rsidR="0093678C" w:rsidSect="0093678C">
      <w:footerReference w:type="default" r:id="rId9"/>
      <w:pgSz w:w="12240" w:h="15840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4A97" w:rsidRDefault="001D4A97" w:rsidP="00C02A16">
      <w:pPr>
        <w:spacing w:after="0" w:line="240" w:lineRule="auto"/>
      </w:pPr>
      <w:r>
        <w:separator/>
      </w:r>
    </w:p>
  </w:endnote>
  <w:endnote w:type="continuationSeparator" w:id="0">
    <w:p w:rsidR="001D4A97" w:rsidRDefault="001D4A97" w:rsidP="00C02A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8"/>
        <w:szCs w:val="28"/>
      </w:rPr>
      <w:id w:val="-1792662935"/>
      <w:docPartObj>
        <w:docPartGallery w:val="Page Numbers (Bottom of Page)"/>
        <w:docPartUnique/>
      </w:docPartObj>
    </w:sdtPr>
    <w:sdtContent>
      <w:p w:rsidR="0093678C" w:rsidRPr="007547C5" w:rsidRDefault="0093678C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547C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547C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547C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90EE6" w:rsidRPr="00990EE6">
          <w:rPr>
            <w:rFonts w:ascii="Times New Roman" w:hAnsi="Times New Roman" w:cs="Times New Roman"/>
            <w:noProof/>
            <w:sz w:val="28"/>
            <w:szCs w:val="28"/>
            <w:lang w:val="ru-RU"/>
          </w:rPr>
          <w:t>40</w:t>
        </w:r>
        <w:r w:rsidRPr="007547C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93678C" w:rsidRDefault="0093678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4A97" w:rsidRDefault="001D4A97" w:rsidP="00C02A16">
      <w:pPr>
        <w:spacing w:after="0" w:line="240" w:lineRule="auto"/>
      </w:pPr>
      <w:r>
        <w:separator/>
      </w:r>
    </w:p>
  </w:footnote>
  <w:footnote w:type="continuationSeparator" w:id="0">
    <w:p w:rsidR="001D4A97" w:rsidRDefault="001D4A97" w:rsidP="00C02A16">
      <w:pPr>
        <w:spacing w:after="0" w:line="240" w:lineRule="auto"/>
      </w:pPr>
      <w:r>
        <w:continuationSeparator/>
      </w:r>
    </w:p>
  </w:footnote>
  <w:footnote w:id="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Caldera Sánchez A. et al. Strengthening Economic Resilience: Insights from the Post-1970 Record of Severe Recessions and Financial Crises // OECD Economic Policy Papers. 2017. No. 20. P. 8. DOI: </w:t>
      </w:r>
      <w:hyperlink r:id="rId1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  <w:r w:rsidRPr="00081992">
        <w:rPr>
          <w:rFonts w:ascii="Times New Roman" w:hAnsi="Times New Roman" w:cs="Times New Roman"/>
        </w:rPr>
        <w:t>.</w:t>
      </w:r>
      <w:r w:rsidRPr="00081992">
        <w:rPr>
          <w:rFonts w:ascii="Times New Roman" w:hAnsi="Times New Roman" w:cs="Times New Roman"/>
          <w:lang w:val="en-CA"/>
        </w:rPr>
        <w:t xml:space="preserve"> </w:t>
      </w:r>
    </w:p>
  </w:footnote>
  <w:footnote w:id="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Pierri</w:t>
      </w:r>
      <w:proofErr w:type="spellEnd"/>
      <w:r w:rsidRPr="00081992">
        <w:rPr>
          <w:rFonts w:ascii="Times New Roman" w:hAnsi="Times New Roman" w:cs="Times New Roman"/>
        </w:rPr>
        <w:t xml:space="preserve"> N., </w:t>
      </w:r>
      <w:proofErr w:type="spellStart"/>
      <w:r w:rsidRPr="00081992">
        <w:rPr>
          <w:rFonts w:ascii="Times New Roman" w:hAnsi="Times New Roman" w:cs="Times New Roman"/>
        </w:rPr>
        <w:t>Timmer</w:t>
      </w:r>
      <w:proofErr w:type="spellEnd"/>
      <w:r w:rsidRPr="00081992">
        <w:rPr>
          <w:rFonts w:ascii="Times New Roman" w:hAnsi="Times New Roman" w:cs="Times New Roman"/>
        </w:rPr>
        <w:t xml:space="preserve"> Y. IT Shields: Technology Adoption and Economic Resilience during the COVID-19 Pandemic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</w:t>
      </w:r>
      <w:r w:rsidRPr="00081992">
        <w:rPr>
          <w:rFonts w:ascii="Times New Roman" w:hAnsi="Times New Roman" w:cs="Times New Roman"/>
          <w:lang w:val="ru-RU"/>
        </w:rPr>
        <w:t xml:space="preserve">2023. </w:t>
      </w:r>
      <w:r w:rsidRPr="00081992">
        <w:rPr>
          <w:rFonts w:ascii="Times New Roman" w:hAnsi="Times New Roman" w:cs="Times New Roman"/>
        </w:rPr>
        <w:t>Vol</w:t>
      </w:r>
      <w:r w:rsidRPr="00081992">
        <w:rPr>
          <w:rFonts w:ascii="Times New Roman" w:hAnsi="Times New Roman" w:cs="Times New Roman"/>
          <w:lang w:val="ru-RU"/>
        </w:rPr>
        <w:t xml:space="preserve">. 81. </w:t>
      </w:r>
      <w:r w:rsidRPr="00081992">
        <w:rPr>
          <w:rFonts w:ascii="Times New Roman" w:hAnsi="Times New Roman" w:cs="Times New Roman"/>
        </w:rPr>
        <w:t>Article</w:t>
      </w:r>
      <w:r w:rsidRPr="00081992">
        <w:rPr>
          <w:rFonts w:ascii="Times New Roman" w:hAnsi="Times New Roman" w:cs="Times New Roman"/>
          <w:lang w:val="ru-RU"/>
        </w:rPr>
        <w:t xml:space="preserve"> 102330. </w:t>
      </w:r>
      <w:r w:rsidRPr="00081992">
        <w:rPr>
          <w:rFonts w:ascii="Times New Roman" w:hAnsi="Times New Roman" w:cs="Times New Roman"/>
        </w:rPr>
        <w:t>DOI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2" w:tgtFrame="_new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doi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r w:rsidRPr="00081992">
          <w:rPr>
            <w:rStyle w:val="a5"/>
            <w:rFonts w:ascii="Times New Roman" w:hAnsi="Times New Roman" w:cs="Times New Roman"/>
          </w:rPr>
          <w:t>org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/10.1016/</w:t>
        </w:r>
        <w:r w:rsidRPr="00081992">
          <w:rPr>
            <w:rStyle w:val="a5"/>
            <w:rFonts w:ascii="Times New Roman" w:hAnsi="Times New Roman" w:cs="Times New Roman"/>
          </w:rPr>
          <w:t>j</w:t>
        </w:r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labeco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.2023.102330</w:t>
        </w:r>
      </w:hyperlink>
      <w:r w:rsidRPr="00081992">
        <w:rPr>
          <w:rFonts w:ascii="Times New Roman" w:hAnsi="Times New Roman" w:cs="Times New Roman"/>
          <w:lang w:val="ru-RU"/>
        </w:rPr>
        <w:t>.</w:t>
      </w:r>
    </w:p>
  </w:footnote>
  <w:footnote w:id="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от 5 октября 2020 г. № УП-6079 «Об утверждении Стратегии “Цифровой Узбекистан - 2030” и мерах по её эффективной реализации». Национальная база данных законодательства Республики Узбекистан, 2020.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3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  <w:footnote w:id="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Briguglio</w:t>
      </w:r>
      <w:proofErr w:type="spellEnd"/>
      <w:r w:rsidRPr="00081992">
        <w:rPr>
          <w:rFonts w:ascii="Times New Roman" w:hAnsi="Times New Roman" w:cs="Times New Roman"/>
        </w:rPr>
        <w:t xml:space="preserve"> L., </w:t>
      </w:r>
      <w:proofErr w:type="spellStart"/>
      <w:r w:rsidRPr="00081992">
        <w:rPr>
          <w:rFonts w:ascii="Times New Roman" w:hAnsi="Times New Roman" w:cs="Times New Roman"/>
        </w:rPr>
        <w:t>Cordina</w:t>
      </w:r>
      <w:proofErr w:type="spellEnd"/>
      <w:r w:rsidRPr="00081992">
        <w:rPr>
          <w:rFonts w:ascii="Times New Roman" w:hAnsi="Times New Roman" w:cs="Times New Roman"/>
        </w:rPr>
        <w:t xml:space="preserve"> G., </w:t>
      </w:r>
      <w:proofErr w:type="spellStart"/>
      <w:r w:rsidRPr="00081992">
        <w:rPr>
          <w:rFonts w:ascii="Times New Roman" w:hAnsi="Times New Roman" w:cs="Times New Roman"/>
        </w:rPr>
        <w:t>Farrugia</w:t>
      </w:r>
      <w:proofErr w:type="spellEnd"/>
      <w:r w:rsidRPr="00081992">
        <w:rPr>
          <w:rFonts w:ascii="Times New Roman" w:hAnsi="Times New Roman" w:cs="Times New Roman"/>
        </w:rPr>
        <w:t xml:space="preserve"> N., Vella S. Economic Vulnerability and Resilience: Concepts and Measurements // Oxford Development Studies. 2009. Vol. 37, No. 3. P. 229-247. DOI: </w:t>
      </w:r>
      <w:hyperlink r:id="rId4" w:tgtFrame="_new" w:history="1">
        <w:r w:rsidRPr="00081992">
          <w:rPr>
            <w:rStyle w:val="a5"/>
            <w:rFonts w:ascii="Times New Roman" w:hAnsi="Times New Roman" w:cs="Times New Roman"/>
          </w:rPr>
          <w:t>https://doi.org/10.1080/13600810903089893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United Nations Department of Economic and Social Affairs (UN DESA). UN E-Government Survey 2024: Accelerating Digital Transformation for Sustainable Development. New York: United Nations, 2024. URL: </w:t>
      </w:r>
      <w:hyperlink r:id="rId5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https://publicadministration.un.org/egovkb/en-us/reports/un-e-government-survey-2024</w:t>
        </w:r>
      </w:hyperlink>
    </w:p>
  </w:footnote>
  <w:footnote w:id="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Development Indicators </w:t>
      </w:r>
      <w:proofErr w:type="spellStart"/>
      <w:r w:rsidRPr="00081992">
        <w:rPr>
          <w:rFonts w:ascii="Times New Roman" w:hAnsi="Times New Roman" w:cs="Times New Roman"/>
        </w:rPr>
        <w:t>databaseWorld</w:t>
      </w:r>
      <w:proofErr w:type="spellEnd"/>
      <w:r w:rsidRPr="00081992">
        <w:rPr>
          <w:rFonts w:ascii="Times New Roman" w:hAnsi="Times New Roman" w:cs="Times New Roman"/>
        </w:rPr>
        <w:t xml:space="preserve"> Bank. World Development Indicators database. Washington, D.C.: World Bank, URL: </w:t>
      </w:r>
      <w:hyperlink r:id="rId6" w:history="1">
        <w:r w:rsidRPr="00081992">
          <w:rPr>
            <w:rStyle w:val="a5"/>
            <w:rFonts w:ascii="Times New Roman" w:hAnsi="Times New Roman" w:cs="Times New Roman"/>
          </w:rPr>
          <w:t>https://databank.worldbank.org/source/world-development-indicators</w:t>
        </w:r>
      </w:hyperlink>
    </w:p>
  </w:footnote>
  <w:footnote w:id="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17-18. DOI: </w:t>
      </w:r>
      <w:hyperlink r:id="rId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Structural Analysis (STAN) Database. Paris: OECD, 2024. URL: </w:t>
      </w:r>
      <w:hyperlink r:id="rId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https://doi.org/10.1787/data-00037-en</w:t>
        </w:r>
      </w:hyperlink>
      <w:r w:rsidRPr="00081992">
        <w:rPr>
          <w:rFonts w:ascii="Times New Roman" w:hAnsi="Times New Roman" w:cs="Times New Roman"/>
        </w:rPr>
        <w:t xml:space="preserve">. </w:t>
      </w:r>
      <w:r w:rsidRPr="00081992">
        <w:rPr>
          <w:rFonts w:ascii="Times New Roman" w:hAnsi="Times New Roman" w:cs="Times New Roman"/>
          <w:lang w:val="ru-RU"/>
        </w:rPr>
        <w:t xml:space="preserve">Классификация ИКТ-сектора приводится по </w:t>
      </w:r>
      <w:r w:rsidRPr="00081992">
        <w:rPr>
          <w:rFonts w:ascii="Times New Roman" w:hAnsi="Times New Roman" w:cs="Times New Roman"/>
        </w:rPr>
        <w:t>ISIC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Rev</w:t>
      </w:r>
      <w:r w:rsidRPr="00081992">
        <w:rPr>
          <w:rFonts w:ascii="Times New Roman" w:hAnsi="Times New Roman" w:cs="Times New Roman"/>
          <w:lang w:val="ru-RU"/>
        </w:rPr>
        <w:t xml:space="preserve">.4, </w:t>
      </w:r>
      <w:r w:rsidRPr="00081992">
        <w:rPr>
          <w:rFonts w:ascii="Times New Roman" w:hAnsi="Times New Roman" w:cs="Times New Roman"/>
        </w:rPr>
        <w:t>divisions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 xml:space="preserve">26,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 xml:space="preserve">61, </w:t>
      </w:r>
      <w:r w:rsidRPr="00081992">
        <w:rPr>
          <w:rFonts w:ascii="Times New Roman" w:hAnsi="Times New Roman" w:cs="Times New Roman"/>
        </w:rPr>
        <w:t>D</w:t>
      </w:r>
      <w:r w:rsidRPr="00081992">
        <w:rPr>
          <w:rFonts w:ascii="Times New Roman" w:hAnsi="Times New Roman" w:cs="Times New Roman"/>
          <w:lang w:val="ru-RU"/>
        </w:rPr>
        <w:t>62-63.</w:t>
      </w:r>
    </w:p>
  </w:footnote>
  <w:footnote w:id="9">
    <w:p w:rsidR="0093678C" w:rsidRPr="00081992" w:rsidRDefault="0093678C" w:rsidP="00C02A16">
      <w:pPr>
        <w:pStyle w:val="a6"/>
        <w:rPr>
          <w:rFonts w:ascii="Times New Roman" w:hAnsi="Times New Roman" w:cs="Times New Roman"/>
          <w:color w:val="0000FF"/>
          <w:u w:val="single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Digital Economy Outlook 2024. Vol. 1: Embracing the Technology Frontier. Paris: OECD Publishing, 2024. P. 22-24. DOI: </w:t>
      </w:r>
      <w:hyperlink r:id="rId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2024; European Commission. DESI; UN DESA. E-Government Survey 2024; </w:t>
      </w:r>
      <w:proofErr w:type="spellStart"/>
      <w:r w:rsidRPr="00081992">
        <w:rPr>
          <w:rFonts w:ascii="Times New Roman" w:hAnsi="Times New Roman" w:cs="Times New Roman"/>
        </w:rPr>
        <w:t>Portulans</w:t>
      </w:r>
      <w:proofErr w:type="spellEnd"/>
      <w:r w:rsidRPr="00081992">
        <w:rPr>
          <w:rFonts w:ascii="Times New Roman" w:hAnsi="Times New Roman" w:cs="Times New Roman"/>
        </w:rPr>
        <w:t xml:space="preserve"> Institute. Network Readiness Index 2024.</w:t>
      </w:r>
    </w:p>
  </w:footnote>
  <w:footnote w:id="11">
    <w:p w:rsidR="0093678C" w:rsidRPr="00081992" w:rsidRDefault="0093678C" w:rsidP="00C02A16">
      <w:pPr>
        <w:pStyle w:val="a6"/>
        <w:rPr>
          <w:rFonts w:ascii="Times New Roman" w:hAnsi="Times New Roman" w:cs="Times New Roman"/>
          <w:color w:val="0000FF"/>
          <w:u w:val="single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22-24. DOI: </w:t>
      </w:r>
      <w:hyperlink r:id="rId10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Cloud Computing - Statistics on the Use by Enterprises. Luxembourg: Eurostat, 2023. URL: </w:t>
      </w:r>
      <w:hyperlink r:id="rId11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https://ec.europa.eu/eurostat/statistics-explained/index.php?title=Cloud_computing_-_statistics_on_the_use_by_enterprises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1: Embracing the Technology Frontier. Paris: OECD Publishing, 2024. P. 22-24. DOI: </w:t>
      </w:r>
      <w:hyperlink r:id="rId12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  <w:lang w:val="en-CA"/>
        </w:rPr>
        <w:t>.</w:t>
      </w:r>
    </w:p>
  </w:footnote>
  <w:footnote w:id="1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36, 60. DOI: </w:t>
      </w:r>
      <w:hyperlink r:id="rId13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en-CA"/>
        </w:rPr>
        <w:t xml:space="preserve"> </w:t>
      </w:r>
      <w:r w:rsidRPr="00081992">
        <w:rPr>
          <w:rFonts w:ascii="Times New Roman" w:hAnsi="Times New Roman" w:cs="Times New Roman"/>
        </w:rPr>
        <w:t xml:space="preserve">OECD. OECD Digital Economy Outlook 2024. Vol. 1: Embracing the Technology Frontier. Paris: OECD Publishing, 2024. P. 89, 100. DOI: </w:t>
      </w:r>
      <w:hyperlink r:id="rId14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Bank. World Development Report 2016: Digital Dividends. Washington, D.C.: World Bank, 2016. DOI: </w:t>
      </w:r>
      <w:hyperlink r:id="rId15" w:tgtFrame="_new" w:history="1">
        <w:r w:rsidRPr="00081992">
          <w:rPr>
            <w:rStyle w:val="a5"/>
            <w:rFonts w:ascii="Times New Roman" w:hAnsi="Times New Roman" w:cs="Times New Roman"/>
          </w:rPr>
          <w:t>https://doi.org/10.1596/978-1-4648-0671-1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Pierri</w:t>
      </w:r>
      <w:proofErr w:type="spellEnd"/>
      <w:r w:rsidRPr="00081992">
        <w:rPr>
          <w:rFonts w:ascii="Times New Roman" w:hAnsi="Times New Roman" w:cs="Times New Roman"/>
        </w:rPr>
        <w:t xml:space="preserve"> N., </w:t>
      </w:r>
      <w:proofErr w:type="spellStart"/>
      <w:r w:rsidRPr="00081992">
        <w:rPr>
          <w:rFonts w:ascii="Times New Roman" w:hAnsi="Times New Roman" w:cs="Times New Roman"/>
        </w:rPr>
        <w:t>Timmer</w:t>
      </w:r>
      <w:proofErr w:type="spellEnd"/>
      <w:r w:rsidRPr="00081992">
        <w:rPr>
          <w:rFonts w:ascii="Times New Roman" w:hAnsi="Times New Roman" w:cs="Times New Roman"/>
        </w:rPr>
        <w:t xml:space="preserve"> Y. IT Shields: Technology Adoption and Economic Resilience during the COVID-19 Pandemic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2023. Vol. 81. Article 102330. DOI: </w:t>
      </w:r>
      <w:hyperlink r:id="rId16" w:tgtFrame="_new" w:history="1">
        <w:r w:rsidRPr="00081992">
          <w:rPr>
            <w:rStyle w:val="a5"/>
            <w:rFonts w:ascii="Times New Roman" w:hAnsi="Times New Roman" w:cs="Times New Roman"/>
          </w:rPr>
          <w:t>https://doi.org/10.1016/j.labeco.2023.102330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8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Rasmussen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What Role for Policies? // OECD Economics Department Working Papers. 2015. No. 1251. P. 5. DOI: </w:t>
      </w:r>
      <w:hyperlink r:id="rId1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19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Briguglio</w:t>
      </w:r>
      <w:proofErr w:type="spellEnd"/>
      <w:r w:rsidRPr="00081992">
        <w:rPr>
          <w:rFonts w:ascii="Times New Roman" w:hAnsi="Times New Roman" w:cs="Times New Roman"/>
        </w:rPr>
        <w:t xml:space="preserve"> L., </w:t>
      </w:r>
      <w:proofErr w:type="spellStart"/>
      <w:r w:rsidRPr="00081992">
        <w:rPr>
          <w:rFonts w:ascii="Times New Roman" w:hAnsi="Times New Roman" w:cs="Times New Roman"/>
        </w:rPr>
        <w:t>Cordina</w:t>
      </w:r>
      <w:proofErr w:type="spellEnd"/>
      <w:r w:rsidRPr="00081992">
        <w:rPr>
          <w:rFonts w:ascii="Times New Roman" w:hAnsi="Times New Roman" w:cs="Times New Roman"/>
        </w:rPr>
        <w:t xml:space="preserve"> G., </w:t>
      </w:r>
      <w:proofErr w:type="spellStart"/>
      <w:r w:rsidRPr="00081992">
        <w:rPr>
          <w:rFonts w:ascii="Times New Roman" w:hAnsi="Times New Roman" w:cs="Times New Roman"/>
        </w:rPr>
        <w:t>Farrugia</w:t>
      </w:r>
      <w:proofErr w:type="spellEnd"/>
      <w:r w:rsidRPr="00081992">
        <w:rPr>
          <w:rFonts w:ascii="Times New Roman" w:hAnsi="Times New Roman" w:cs="Times New Roman"/>
        </w:rPr>
        <w:t xml:space="preserve"> N., Vella S. Economic Vulnerability and Resilience: Concepts and Measurements // UNU-WIDER Research Paper. 2008. No. 2008/55. P. 2-4, 11-14.</w:t>
      </w:r>
    </w:p>
  </w:footnote>
  <w:footnote w:id="20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Economic Resilience: What Role for Policies? // OECD Economics Department Working Papers. 2015. No. 1251. P. 5-7. DOI: </w:t>
      </w:r>
      <w:hyperlink r:id="rId1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</w:p>
  </w:footnote>
  <w:footnote w:id="21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Rasmussen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What Role for Policies? // OECD Economics Department Working Papers. 2015. No. 1251. P. 6. DOI: </w:t>
      </w:r>
      <w:hyperlink r:id="rId1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https://doi.org/10.1787/5jrxhgf61q5j-en</w:t>
        </w:r>
      </w:hyperlink>
    </w:p>
  </w:footnote>
  <w:footnote w:id="2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Strengthening Economic Resilience // OECD Economic Policy Papers. No. 20. Paris: OECD Publishing, 2017. P. 7-8. DOI: </w:t>
      </w:r>
      <w:hyperlink r:id="rId20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2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 et al. Strengthening Economic Resilience // OECD Economic Policy Papers. 2017. No. 20. P. 8. DOI: </w:t>
      </w:r>
      <w:hyperlink r:id="rId21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2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Hermansen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The Usefulness of Early Warning Indicators in OECD Countries // OECD Economics Department Working Papers. 2015. No. 1250. P. 1-27. DOI: </w:t>
      </w:r>
      <w:hyperlink r:id="rId22" w:history="1">
        <w:r w:rsidRPr="00081992">
          <w:rPr>
            <w:rStyle w:val="a5"/>
            <w:rFonts w:ascii="Times New Roman" w:hAnsi="Times New Roman" w:cs="Times New Roman"/>
          </w:rPr>
          <w:t>https://doi.org/10.1787/5jrxhgfqx3mv-en</w:t>
        </w:r>
      </w:hyperlink>
    </w:p>
  </w:footnote>
  <w:footnote w:id="2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35-37. DOI: </w:t>
      </w:r>
      <w:hyperlink r:id="rId23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2020: Learning from Crises, Building Resilience. Paris: OECD Publishing, 2020. P. 57. DOI: </w:t>
      </w:r>
      <w:hyperlink r:id="rId24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7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Development Co-operation Report 2020. P. 57-59. DOI: </w:t>
      </w:r>
      <w:hyperlink r:id="rId25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https://doi.org/10.1787/f6d42aa5-en</w:t>
        </w:r>
      </w:hyperlink>
    </w:p>
  </w:footnote>
  <w:footnote w:id="28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Oikonomou</w:t>
      </w:r>
      <w:proofErr w:type="spellEnd"/>
      <w:r w:rsidRPr="00081992">
        <w:rPr>
          <w:rFonts w:ascii="Times New Roman" w:hAnsi="Times New Roman" w:cs="Times New Roman"/>
        </w:rPr>
        <w:t xml:space="preserve"> M. et al. IT Shields // </w:t>
      </w:r>
      <w:proofErr w:type="spellStart"/>
      <w:r w:rsidRPr="00081992">
        <w:rPr>
          <w:rFonts w:ascii="Times New Roman" w:hAnsi="Times New Roman" w:cs="Times New Roman"/>
        </w:rPr>
        <w:t>Labour</w:t>
      </w:r>
      <w:proofErr w:type="spellEnd"/>
      <w:r w:rsidRPr="00081992">
        <w:rPr>
          <w:rFonts w:ascii="Times New Roman" w:hAnsi="Times New Roman" w:cs="Times New Roman"/>
        </w:rPr>
        <w:t xml:space="preserve"> Economics. 2023. Vol. 81. Article 102330. DOI: </w:t>
      </w:r>
      <w:hyperlink r:id="rId26" w:tgtFrame="_new" w:history="1">
        <w:r w:rsidRPr="00081992">
          <w:rPr>
            <w:rStyle w:val="a5"/>
            <w:rFonts w:ascii="Times New Roman" w:hAnsi="Times New Roman" w:cs="Times New Roman"/>
          </w:rPr>
          <w:t>https://doi.org/10.1016/j.labeco.2023.102330</w:t>
        </w:r>
      </w:hyperlink>
    </w:p>
  </w:footnote>
  <w:footnote w:id="2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Digital Economy Outlook 2024. Vol. 1. P. 88. DOI: </w:t>
      </w:r>
      <w:hyperlink r:id="rId27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3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E-commerce statistics for individuals // Statistics Explained. Luxembourg: Eurostat, 2023. URL: </w:t>
      </w:r>
      <w:hyperlink r:id="rId28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https://ec.europa.eu/eurostat/statistics-explained/index.php/E-commerce_statistics_for_individuals</w:t>
        </w:r>
      </w:hyperlink>
    </w:p>
  </w:footnote>
  <w:footnote w:id="3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 Digital Economy Outlook 2024. Vol. 1. Paris: OECD Publishing, 2024. P. 92. DOI: </w:t>
      </w:r>
      <w:hyperlink r:id="rId29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32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UNCTAD. Digital Economy Report 2021. New York: United Nations, 2021. URL: </w:t>
      </w:r>
      <w:hyperlink r:id="rId30" w:tgtFrame="_new" w:history="1">
        <w:r w:rsidRPr="00081992">
          <w:rPr>
            <w:rStyle w:val="a5"/>
            <w:rFonts w:ascii="Times New Roman" w:hAnsi="Times New Roman" w:cs="Times New Roman"/>
          </w:rPr>
          <w:t>https://unctad.org/webflyer/digital-economy-report-2021</w:t>
        </w:r>
      </w:hyperlink>
    </w:p>
  </w:footnote>
  <w:footnote w:id="33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Hermansen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Röhn</w:t>
      </w:r>
      <w:proofErr w:type="spellEnd"/>
      <w:r w:rsidRPr="00081992">
        <w:rPr>
          <w:rFonts w:ascii="Times New Roman" w:hAnsi="Times New Roman" w:cs="Times New Roman"/>
        </w:rPr>
        <w:t xml:space="preserve"> O. Economic Resilience: The Usefulness of Early Warning Indicators in OECD Countries // OECD Economics Department Working Papers. 2015. No. 1250. P. 1-27. DOI: </w:t>
      </w:r>
      <w:hyperlink r:id="rId31" w:history="1">
        <w:r w:rsidRPr="00081992">
          <w:rPr>
            <w:rStyle w:val="a5"/>
            <w:rFonts w:ascii="Times New Roman" w:hAnsi="Times New Roman" w:cs="Times New Roman"/>
          </w:rPr>
          <w:t>https://doi.org/10.1787/5jrxhgfqx3mv-en</w:t>
        </w:r>
      </w:hyperlink>
    </w:p>
  </w:footnote>
  <w:footnote w:id="34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Caldera Sánchez A., Gori F. Can Reforms Promoting Growth Increase Financial Fragility? // OECD Economics Department Working Papers. 2016. No. 1340. DOI: </w:t>
      </w:r>
      <w:hyperlink r:id="rId32" w:history="1">
        <w:r w:rsidRPr="00081992">
          <w:rPr>
            <w:rStyle w:val="a5"/>
            <w:rFonts w:ascii="Times New Roman" w:hAnsi="Times New Roman" w:cs="Times New Roman"/>
          </w:rPr>
          <w:t>https://doi.org/10.1787/5jln0421ld25-en</w:t>
        </w:r>
      </w:hyperlink>
    </w:p>
  </w:footnote>
  <w:footnote w:id="35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Education Estonia. How it all began? From Tiger Leap to digital society. 2023. URL: </w:t>
      </w:r>
      <w:hyperlink r:id="rId33" w:tgtFrame="_new" w:history="1">
        <w:r w:rsidRPr="00081992">
          <w:rPr>
            <w:rStyle w:val="a5"/>
            <w:rFonts w:ascii="Times New Roman" w:hAnsi="Times New Roman" w:cs="Times New Roman"/>
          </w:rPr>
          <w:t>https://www.educationestonia.org/tiger-leap/</w:t>
        </w:r>
      </w:hyperlink>
    </w:p>
  </w:footnote>
  <w:footnote w:id="3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Tambur</w:t>
      </w:r>
      <w:proofErr w:type="spellEnd"/>
      <w:r w:rsidRPr="00081992">
        <w:rPr>
          <w:rFonts w:ascii="Times New Roman" w:hAnsi="Times New Roman" w:cs="Times New Roman"/>
        </w:rPr>
        <w:t xml:space="preserve"> S. Estonia’s Tiger Leap: The Schools Project That Wired a Nation for the Digital Age // Estonian World. 21.02.2026. URL: </w:t>
      </w:r>
      <w:hyperlink r:id="rId34" w:history="1">
        <w:r w:rsidRPr="00081992">
          <w:rPr>
            <w:rStyle w:val="a5"/>
            <w:rFonts w:ascii="Times New Roman" w:hAnsi="Times New Roman" w:cs="Times New Roman"/>
          </w:rPr>
          <w:t>https://estonianworld.com/technology/estonias-tiger-leap-the-schools-project-that-wired-a-nation-for-the-digital-age/</w:t>
        </w:r>
      </w:hyperlink>
    </w:p>
  </w:footnote>
  <w:footnote w:id="3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X-Road Global. X-Road History. URL: </w:t>
      </w:r>
      <w:hyperlink r:id="rId35" w:tgtFrame="_new" w:history="1">
        <w:r w:rsidRPr="00081992">
          <w:rPr>
            <w:rStyle w:val="a5"/>
            <w:rFonts w:ascii="Times New Roman" w:hAnsi="Times New Roman" w:cs="Times New Roman"/>
          </w:rPr>
          <w:t>https://x-road.global/xroad-history</w:t>
        </w:r>
      </w:hyperlink>
    </w:p>
  </w:footnote>
  <w:footnote w:id="3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Cybernetica</w:t>
      </w:r>
      <w:proofErr w:type="spellEnd"/>
      <w:r w:rsidRPr="00081992">
        <w:rPr>
          <w:rFonts w:ascii="Times New Roman" w:hAnsi="Times New Roman" w:cs="Times New Roman"/>
        </w:rPr>
        <w:t xml:space="preserve">. Estonian Interoperability Framework X-Road. 2021. URL: </w:t>
      </w:r>
      <w:hyperlink r:id="rId36" w:tgtFrame="_new" w:history="1">
        <w:r w:rsidRPr="00081992">
          <w:rPr>
            <w:rStyle w:val="a5"/>
            <w:rFonts w:ascii="Times New Roman" w:hAnsi="Times New Roman" w:cs="Times New Roman"/>
          </w:rPr>
          <w:t>https://cyber.ee/resources/case-studies/estonian-interoperability-framework-x-road/</w:t>
        </w:r>
      </w:hyperlink>
    </w:p>
  </w:footnote>
  <w:footnote w:id="3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Invest in Estonia. E-Residency Brings Record Revenue in First Half of 2025. August 2025. URL: </w:t>
      </w:r>
      <w:hyperlink r:id="rId37" w:tgtFrame="_new" w:history="1">
        <w:r w:rsidRPr="00081992">
          <w:rPr>
            <w:rStyle w:val="a5"/>
            <w:rFonts w:ascii="Times New Roman" w:hAnsi="Times New Roman" w:cs="Times New Roman"/>
          </w:rPr>
          <w:t>https://investinestonia.com/e-residency-brings-record-revenue-in-first-half-of-2025/</w:t>
        </w:r>
      </w:hyperlink>
    </w:p>
  </w:footnote>
  <w:footnote w:id="4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Baltic Times. New Milestone for e-Residency with Record Number of Companies Founded in 2024. January 2025. URL: </w:t>
      </w:r>
      <w:hyperlink r:id="rId38" w:tgtFrame="_new" w:history="1">
        <w:r w:rsidRPr="00081992">
          <w:rPr>
            <w:rStyle w:val="a5"/>
            <w:rFonts w:ascii="Times New Roman" w:hAnsi="Times New Roman" w:cs="Times New Roman"/>
          </w:rPr>
          <w:t>https://www.baltictimes.com/new_milestone_for_e-residency_with_record_number_of_companies_founded_in_2024/</w:t>
        </w:r>
      </w:hyperlink>
    </w:p>
  </w:footnote>
  <w:footnote w:id="4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UN E-Government Survey 2024. New York: United Nations, 2024. URL: </w:t>
      </w:r>
      <w:hyperlink r:id="rId39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</w:t>
        </w:r>
      </w:hyperlink>
    </w:p>
  </w:footnote>
  <w:footnote w:id="4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IEA. Korean New Deal - Digital New Deal, Green New Deal and Stronger Safety Net. 2021. URL: </w:t>
      </w:r>
      <w:hyperlink r:id="rId40" w:tgtFrame="_new" w:history="1">
        <w:r w:rsidRPr="00081992">
          <w:rPr>
            <w:rStyle w:val="a5"/>
            <w:rFonts w:ascii="Times New Roman" w:hAnsi="Times New Roman" w:cs="Times New Roman"/>
          </w:rPr>
          <w:t>https://www.iea.org/policies/11514-korean-new-deal-digital-new-deal-green-new-deal-and-stronger-safety-net</w:t>
        </w:r>
      </w:hyperlink>
    </w:p>
  </w:footnote>
  <w:footnote w:id="4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Lee J.-H., Woo J. Discourse of the Post-COVID 19 New Deal in South Korea // Sustainability. 2021. Vol. 13, No. 15. Article 8493. DOI: </w:t>
      </w:r>
      <w:hyperlink r:id="rId41" w:tgtFrame="_new" w:history="1">
        <w:r w:rsidRPr="00081992">
          <w:rPr>
            <w:rStyle w:val="a5"/>
            <w:rFonts w:ascii="Times New Roman" w:hAnsi="Times New Roman" w:cs="Times New Roman"/>
          </w:rPr>
          <w:t>https://doi.org/10.3390/su13158493</w:t>
        </w:r>
      </w:hyperlink>
    </w:p>
  </w:footnote>
  <w:footnote w:id="4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KEIA. The Korean New Deal // The Peninsula. July 2021. URL: </w:t>
      </w:r>
      <w:hyperlink r:id="rId42" w:tgtFrame="_new" w:history="1">
        <w:r w:rsidRPr="00081992">
          <w:rPr>
            <w:rStyle w:val="a5"/>
            <w:rFonts w:ascii="Times New Roman" w:hAnsi="Times New Roman" w:cs="Times New Roman"/>
          </w:rPr>
          <w:t>https://keia.org/the-peninsula/the-korean-new-deal/</w:t>
        </w:r>
      </w:hyperlink>
    </w:p>
  </w:footnote>
  <w:footnote w:id="4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MSIT Korea. Digital New Deal Secures Future Growth Engine. August 2021. URL: </w:t>
      </w:r>
      <w:hyperlink r:id="rId43" w:tgtFrame="_new" w:history="1">
        <w:r w:rsidRPr="00081992">
          <w:rPr>
            <w:rStyle w:val="a5"/>
            <w:rFonts w:ascii="Times New Roman" w:hAnsi="Times New Roman" w:cs="Times New Roman"/>
          </w:rPr>
          <w:t>https://www.prnewswire.com/news-releases/digital-new-deal-secures-future-growth-engine-301346790.html</w:t>
        </w:r>
      </w:hyperlink>
    </w:p>
  </w:footnote>
  <w:footnote w:id="4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Diplomat. South Korea’s Digital New Deal. June 2020. URL: </w:t>
      </w:r>
      <w:hyperlink r:id="rId44" w:tgtFrame="_new" w:history="1">
        <w:r w:rsidRPr="00081992">
          <w:rPr>
            <w:rStyle w:val="a5"/>
            <w:rFonts w:ascii="Times New Roman" w:hAnsi="Times New Roman" w:cs="Times New Roman"/>
          </w:rPr>
          <w:t>https://thediplomat.com/2020/06/south-koreas-digital-new-deal/</w:t>
        </w:r>
      </w:hyperlink>
    </w:p>
  </w:footnote>
  <w:footnote w:id="4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Republic of Korea: Country Information. E-Government Development Index 2024. URL: </w:t>
      </w:r>
      <w:hyperlink r:id="rId45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https://publicadministration.un.org/egovkb/en-us/Data/Country-Information/id/138-Republic-of-Korea</w:t>
        </w:r>
      </w:hyperlink>
    </w:p>
  </w:footnote>
  <w:footnote w:id="4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GovInsider</w:t>
      </w:r>
      <w:proofErr w:type="spellEnd"/>
      <w:r w:rsidRPr="00081992">
        <w:rPr>
          <w:rFonts w:ascii="Times New Roman" w:hAnsi="Times New Roman" w:cs="Times New Roman"/>
        </w:rPr>
        <w:t xml:space="preserve">. Leaving </w:t>
      </w:r>
      <w:proofErr w:type="gramStart"/>
      <w:r w:rsidRPr="00081992">
        <w:rPr>
          <w:rFonts w:ascii="Times New Roman" w:hAnsi="Times New Roman" w:cs="Times New Roman"/>
        </w:rPr>
        <w:t>No</w:t>
      </w:r>
      <w:proofErr w:type="gramEnd"/>
      <w:r w:rsidRPr="00081992">
        <w:rPr>
          <w:rFonts w:ascii="Times New Roman" w:hAnsi="Times New Roman" w:cs="Times New Roman"/>
        </w:rPr>
        <w:t xml:space="preserve"> One Behind Will Determine Success of Smart Nation 2.0. 2024. URL: </w:t>
      </w:r>
      <w:hyperlink r:id="rId46" w:tgtFrame="_new" w:history="1">
        <w:r w:rsidRPr="00081992">
          <w:rPr>
            <w:rStyle w:val="a5"/>
            <w:rFonts w:ascii="Times New Roman" w:hAnsi="Times New Roman" w:cs="Times New Roman"/>
          </w:rPr>
          <w:t>https://govinsider.asia/intl-en/article/leaving-no-one-behind-will-determine-success-of-smart-nation-20</w:t>
        </w:r>
      </w:hyperlink>
    </w:p>
  </w:footnote>
  <w:footnote w:id="4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Southeast Asia Infrastructure. Digital Leap: Singapore’s Blueprint for Smart Nation 2.0. 2025. URL: </w:t>
      </w:r>
      <w:hyperlink r:id="rId47" w:tgtFrame="_new" w:history="1">
        <w:r w:rsidRPr="00081992">
          <w:rPr>
            <w:rStyle w:val="a5"/>
            <w:rFonts w:ascii="Times New Roman" w:hAnsi="Times New Roman" w:cs="Times New Roman"/>
          </w:rPr>
          <w:t>https://southeastasiainfra.com/digital-leap-singapores-blueprint-for-smart-nation-2-0/</w:t>
        </w:r>
      </w:hyperlink>
    </w:p>
  </w:footnote>
  <w:footnote w:id="5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GovTech</w:t>
      </w:r>
      <w:proofErr w:type="spellEnd"/>
      <w:r w:rsidRPr="00081992">
        <w:rPr>
          <w:rFonts w:ascii="Times New Roman" w:hAnsi="Times New Roman" w:cs="Times New Roman"/>
        </w:rPr>
        <w:t xml:space="preserve"> Singapore. Smart Nation 2.0: Initiatives in Singapore. 2024. URL: </w:t>
      </w:r>
      <w:hyperlink r:id="rId48" w:tgtFrame="_new" w:history="1">
        <w:r w:rsidRPr="00081992">
          <w:rPr>
            <w:rStyle w:val="a5"/>
            <w:rFonts w:ascii="Times New Roman" w:hAnsi="Times New Roman" w:cs="Times New Roman"/>
          </w:rPr>
          <w:t>https://www.tech.gov.sg/technews/our-enhanced-smart-nation-vision-paving-the-way-for-a-new-digital-era/</w:t>
        </w:r>
      </w:hyperlink>
    </w:p>
  </w:footnote>
  <w:footnote w:id="5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OpenGov</w:t>
      </w:r>
      <w:proofErr w:type="spellEnd"/>
      <w:r w:rsidRPr="00081992">
        <w:rPr>
          <w:rFonts w:ascii="Times New Roman" w:hAnsi="Times New Roman" w:cs="Times New Roman"/>
        </w:rPr>
        <w:t xml:space="preserve"> Asia. Singapore: Milestones and Momentum of a Smart Nation. December 2025. URL: </w:t>
      </w:r>
      <w:hyperlink r:id="rId49" w:tgtFrame="_new" w:history="1">
        <w:r w:rsidRPr="00081992">
          <w:rPr>
            <w:rStyle w:val="a5"/>
            <w:rFonts w:ascii="Times New Roman" w:hAnsi="Times New Roman" w:cs="Times New Roman"/>
          </w:rPr>
          <w:t>https://opengovasia.com/singapore-milestones-and-momentum-of-a-smart-nation/</w:t>
        </w:r>
      </w:hyperlink>
    </w:p>
  </w:footnote>
  <w:footnote w:id="5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MD. World Digital Competitiveness Ranking 2024; </w:t>
      </w:r>
      <w:proofErr w:type="spellStart"/>
      <w:r w:rsidRPr="00081992">
        <w:rPr>
          <w:rFonts w:ascii="Times New Roman" w:hAnsi="Times New Roman" w:cs="Times New Roman"/>
        </w:rPr>
        <w:t>Portulans</w:t>
      </w:r>
      <w:proofErr w:type="spellEnd"/>
      <w:r w:rsidRPr="00081992">
        <w:rPr>
          <w:rFonts w:ascii="Times New Roman" w:hAnsi="Times New Roman" w:cs="Times New Roman"/>
        </w:rPr>
        <w:t xml:space="preserve"> Institute. Network Readiness Index 2024; UN DESA. Singapore: EGDI 2024. URL: </w:t>
      </w:r>
      <w:hyperlink r:id="rId50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https://publicadministration.un.org/egovkb/en-us/Data/Country-Information/id/156-Singapore</w:t>
        </w:r>
      </w:hyperlink>
    </w:p>
  </w:footnote>
  <w:footnote w:id="5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Przepióra</w:t>
      </w:r>
      <w:proofErr w:type="spellEnd"/>
      <w:r w:rsidRPr="00081992">
        <w:rPr>
          <w:rFonts w:ascii="Times New Roman" w:hAnsi="Times New Roman" w:cs="Times New Roman"/>
        </w:rPr>
        <w:t xml:space="preserve"> P. Digital State: How Poland Became a European Leader in </w:t>
      </w:r>
      <w:proofErr w:type="spellStart"/>
      <w:r w:rsidRPr="00081992">
        <w:rPr>
          <w:rFonts w:ascii="Times New Roman" w:hAnsi="Times New Roman" w:cs="Times New Roman"/>
        </w:rPr>
        <w:t>Digitalisation</w:t>
      </w:r>
      <w:proofErr w:type="spellEnd"/>
      <w:r w:rsidRPr="00081992">
        <w:rPr>
          <w:rFonts w:ascii="Times New Roman" w:hAnsi="Times New Roman" w:cs="Times New Roman"/>
        </w:rPr>
        <w:t xml:space="preserve"> // Warsaw Institute. 09.10.2025. URL: </w:t>
      </w:r>
      <w:hyperlink r:id="rId51" w:history="1">
        <w:r w:rsidRPr="00081992">
          <w:rPr>
            <w:rStyle w:val="a5"/>
            <w:rFonts w:ascii="Times New Roman" w:hAnsi="Times New Roman" w:cs="Times New Roman"/>
          </w:rPr>
          <w:t xml:space="preserve">Digital State: How Poland Became a European Leader in 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Digitalisation</w:t>
        </w:r>
        <w:proofErr w:type="spellEnd"/>
        <w:r w:rsidRPr="00081992">
          <w:rPr>
            <w:rStyle w:val="a5"/>
            <w:rFonts w:ascii="Times New Roman" w:hAnsi="Times New Roman" w:cs="Times New Roman"/>
          </w:rPr>
          <w:t xml:space="preserve"> | Warsaw Institute</w:t>
        </w:r>
      </w:hyperlink>
    </w:p>
  </w:footnote>
  <w:footnote w:id="5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Commission. Digital Connectivity in Poland // Shaping Europe’s Digital Future. Last update: 04.02.2026. URL: </w:t>
      </w:r>
      <w:hyperlink r:id="rId52" w:history="1">
        <w:r w:rsidRPr="00081992">
          <w:rPr>
            <w:rStyle w:val="a5"/>
            <w:rFonts w:ascii="Times New Roman" w:hAnsi="Times New Roman" w:cs="Times New Roman"/>
          </w:rPr>
          <w:t>Digital connectivity in Poland | Shaping Europe’s digital future</w:t>
        </w:r>
      </w:hyperlink>
    </w:p>
  </w:footnote>
  <w:footnote w:id="5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AIN. </w:t>
      </w:r>
      <w:proofErr w:type="spellStart"/>
      <w:r w:rsidRPr="00081992">
        <w:rPr>
          <w:rFonts w:ascii="Times New Roman" w:hAnsi="Times New Roman" w:cs="Times New Roman"/>
        </w:rPr>
        <w:t>mObywatel</w:t>
      </w:r>
      <w:proofErr w:type="spellEnd"/>
      <w:r w:rsidRPr="00081992">
        <w:rPr>
          <w:rFonts w:ascii="Times New Roman" w:hAnsi="Times New Roman" w:cs="Times New Roman"/>
        </w:rPr>
        <w:t xml:space="preserve"> 2.0: Digital ID Became Equal to Plastic Document in Poland. 14.07.2023. URL: </w:t>
      </w:r>
      <w:hyperlink r:id="rId53" w:tgtFrame="_new" w:history="1">
        <w:r w:rsidRPr="00081992">
          <w:rPr>
            <w:rStyle w:val="a5"/>
            <w:rFonts w:ascii="Times New Roman" w:hAnsi="Times New Roman" w:cs="Times New Roman"/>
          </w:rPr>
          <w:t>https://en.ain.ua/2023/07/14/poland-digital-ids-equal-traditional-documents/</w:t>
        </w:r>
      </w:hyperlink>
    </w:p>
  </w:footnote>
  <w:footnote w:id="5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Biometric Update. Poland Campaigns to Boost the Use of Its Digital ID Platform </w:t>
      </w:r>
      <w:proofErr w:type="spellStart"/>
      <w:r w:rsidRPr="00081992">
        <w:rPr>
          <w:rFonts w:ascii="Times New Roman" w:hAnsi="Times New Roman" w:cs="Times New Roman"/>
        </w:rPr>
        <w:t>mObywatel</w:t>
      </w:r>
      <w:proofErr w:type="spellEnd"/>
      <w:r w:rsidRPr="00081992">
        <w:rPr>
          <w:rFonts w:ascii="Times New Roman" w:hAnsi="Times New Roman" w:cs="Times New Roman"/>
        </w:rPr>
        <w:t xml:space="preserve">. August 2025. URL: </w:t>
      </w:r>
      <w:hyperlink r:id="rId54" w:tgtFrame="_new" w:history="1">
        <w:r w:rsidRPr="00081992">
          <w:rPr>
            <w:rStyle w:val="a5"/>
            <w:rFonts w:ascii="Times New Roman" w:hAnsi="Times New Roman" w:cs="Times New Roman"/>
          </w:rPr>
          <w:t>https://www.biometricupdate.com/202508/poland-campaigns-to-boost-the-use-of-its-digital-id-platform-mobywatel</w:t>
        </w:r>
      </w:hyperlink>
    </w:p>
  </w:footnote>
  <w:footnote w:id="5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U.S. International Trade Administration. Poland - Digital Economy // Country Commercial Guides. 2026. URL: </w:t>
      </w:r>
      <w:hyperlink r:id="rId55" w:tgtFrame="_new" w:history="1">
        <w:r w:rsidRPr="00081992">
          <w:rPr>
            <w:rStyle w:val="a5"/>
            <w:rFonts w:ascii="Times New Roman" w:hAnsi="Times New Roman" w:cs="Times New Roman"/>
          </w:rPr>
          <w:t>https://www.trade.gov/country-commercial-guides/poland-digital-economy</w:t>
        </w:r>
      </w:hyperlink>
    </w:p>
  </w:footnote>
  <w:footnote w:id="5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OECD Digital Economy Outlook 2024. Vol. 1. P. 24-25. DOI: </w:t>
      </w:r>
      <w:hyperlink r:id="rId56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https://doi.org/10.1787/a1689dc5-en</w:t>
        </w:r>
      </w:hyperlink>
    </w:p>
  </w:footnote>
  <w:footnote w:id="5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IMDA. Singapore Digital Economy Report 2024. 2024. P. 8. URL: </w:t>
      </w:r>
      <w:hyperlink r:id="rId57" w:history="1">
        <w:r w:rsidRPr="00081992">
          <w:rPr>
            <w:rStyle w:val="a5"/>
            <w:rFonts w:ascii="Times New Roman" w:hAnsi="Times New Roman" w:cs="Times New Roman"/>
          </w:rPr>
          <w:t>singapore-digital-economy-report-2024.pdf</w:t>
        </w:r>
      </w:hyperlink>
    </w:p>
  </w:footnote>
  <w:footnote w:id="6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Eurostat. Real GDP Growth Rate - Volume: Estonia, Annual Data 2020-2022. URL: </w:t>
      </w:r>
      <w:hyperlink r:id="rId58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https://ec.europa.eu/eurostat/databrowser/view/tec00115/</w:t>
        </w:r>
      </w:hyperlink>
    </w:p>
  </w:footnote>
  <w:footnote w:id="6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CSR Universe. Estonia: A Fine Model of E-governance for the World. January 2025. URL: </w:t>
      </w:r>
      <w:hyperlink r:id="rId59" w:tgtFrame="_new" w:history="1">
        <w:r w:rsidRPr="00081992">
          <w:rPr>
            <w:rStyle w:val="a5"/>
            <w:rFonts w:ascii="Times New Roman" w:hAnsi="Times New Roman" w:cs="Times New Roman"/>
          </w:rPr>
          <w:t>https://thecsruniverse.com/articles/estonia-a-fine-model-of-e-governance-for-the-world</w:t>
        </w:r>
      </w:hyperlink>
    </w:p>
  </w:footnote>
  <w:footnote w:id="6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IMF. World Economic Outlook Database, April 2024: Estonia - Real GDP Growth. Washington, DC: International Monetary Fund, 2024. URL: </w:t>
      </w:r>
      <w:hyperlink r:id="rId60" w:tgtFrame="_new" w:history="1">
        <w:r w:rsidRPr="00081992">
          <w:rPr>
            <w:rStyle w:val="a5"/>
            <w:rFonts w:ascii="Times New Roman" w:hAnsi="Times New Roman" w:cs="Times New Roman"/>
          </w:rPr>
          <w:t>https://www.imf.org/en/Publications/WEO/weo-database/2024/April</w:t>
        </w:r>
      </w:hyperlink>
    </w:p>
  </w:footnote>
  <w:footnote w:id="6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Parliament. Estonia’s National Recovery and Resilience Plan: Latest State of Play // EPRS Briefing. 2023. URL: </w:t>
      </w:r>
      <w:hyperlink r:id="rId61" w:tgtFrame="_new" w:history="1">
        <w:r w:rsidRPr="00081992">
          <w:rPr>
            <w:rStyle w:val="a5"/>
            <w:rFonts w:ascii="Times New Roman" w:hAnsi="Times New Roman" w:cs="Times New Roman"/>
          </w:rPr>
          <w:t>https://www.europarl.europa.eu/thinktank/en/document/EPRS_BRI(2022)698886</w:t>
        </w:r>
      </w:hyperlink>
    </w:p>
  </w:footnote>
  <w:footnote w:id="6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Stangarone</w:t>
      </w:r>
      <w:proofErr w:type="spellEnd"/>
      <w:r w:rsidRPr="00081992">
        <w:rPr>
          <w:rFonts w:ascii="Times New Roman" w:hAnsi="Times New Roman" w:cs="Times New Roman"/>
        </w:rPr>
        <w:t xml:space="preserve"> T. South Korea’s Strong Economic Performance Faces Post-Pandemic Challenges // East Asia Forum. 04.02.2022. URL: </w:t>
      </w:r>
      <w:hyperlink r:id="rId62" w:tgtFrame="_new" w:history="1">
        <w:r w:rsidRPr="00081992">
          <w:rPr>
            <w:rStyle w:val="a5"/>
            <w:rFonts w:ascii="Times New Roman" w:hAnsi="Times New Roman" w:cs="Times New Roman"/>
          </w:rPr>
          <w:t>https://eastasiaforum.org/2022/02/04/south-koreas-strong-economic-performance-faces-post-pandemic-challenges/</w:t>
        </w:r>
      </w:hyperlink>
    </w:p>
  </w:footnote>
  <w:footnote w:id="6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Korean Re. Bulletin No. 180: Economic Outlook 2021. URL: </w:t>
      </w:r>
      <w:hyperlink r:id="rId63" w:tgtFrame="_new" w:history="1">
        <w:r w:rsidRPr="00081992">
          <w:rPr>
            <w:rStyle w:val="a5"/>
            <w:rFonts w:ascii="Times New Roman" w:hAnsi="Times New Roman" w:cs="Times New Roman"/>
          </w:rPr>
          <w:t>http://eng.koreanre.co.kr/webzine/Bulletin_180/bull1.html</w:t>
        </w:r>
      </w:hyperlink>
    </w:p>
  </w:footnote>
  <w:footnote w:id="66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Bank of Korea. Consumer Price Index: July 2022. Seoul: Bank of Korea, 2022. URL: </w:t>
      </w:r>
      <w:hyperlink r:id="rId64" w:tgtFrame="_new" w:history="1">
        <w:r w:rsidRPr="00081992">
          <w:rPr>
            <w:rStyle w:val="a5"/>
            <w:rFonts w:ascii="Times New Roman" w:hAnsi="Times New Roman" w:cs="Times New Roman"/>
          </w:rPr>
          <w:t>https://www.bok.or.kr/eng/main/main.do</w:t>
        </w:r>
      </w:hyperlink>
    </w:p>
  </w:footnote>
  <w:footnote w:id="67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Lee J.-H., Woo J. Discourse of the Post-COVID 19 New Deal in South Korea // Sustainability. 2021. Vol. 13, No. 15. Article 8493. DOI: </w:t>
      </w:r>
      <w:hyperlink r:id="rId65" w:tgtFrame="_new" w:history="1">
        <w:r w:rsidRPr="00081992">
          <w:rPr>
            <w:rStyle w:val="a5"/>
            <w:rFonts w:ascii="Times New Roman" w:hAnsi="Times New Roman" w:cs="Times New Roman"/>
          </w:rPr>
          <w:t>https://doi.org/10.3390/su13158493</w:t>
        </w:r>
      </w:hyperlink>
    </w:p>
  </w:footnote>
  <w:footnote w:id="68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S&amp;P Global Market Intelligence. Singapore Economy Continues on Road to Recovery. July 2022. URL: </w:t>
      </w:r>
      <w:hyperlink r:id="rId66" w:tgtFrame="_new" w:history="1">
        <w:r w:rsidRPr="00081992">
          <w:rPr>
            <w:rStyle w:val="a5"/>
            <w:rFonts w:ascii="Times New Roman" w:hAnsi="Times New Roman" w:cs="Times New Roman"/>
          </w:rPr>
          <w:t>https://www.spglobal.com/marketintelligence/en/mi/research-analysis/singapore-economy-continues-on-road-to-recovery-july22.html</w:t>
        </w:r>
      </w:hyperlink>
    </w:p>
  </w:footnote>
  <w:footnote w:id="69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ip</w:t>
      </w:r>
      <w:proofErr w:type="spellEnd"/>
      <w:r w:rsidRPr="00081992">
        <w:rPr>
          <w:rFonts w:ascii="Times New Roman" w:hAnsi="Times New Roman" w:cs="Times New Roman"/>
        </w:rPr>
        <w:t xml:space="preserve"> H.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Digital Government to Counter the Effects of COVID-19: The Case of Singapore // ERIA Research Project Report. 2022. URL: </w:t>
      </w:r>
      <w:hyperlink r:id="rId67" w:tgtFrame="_new" w:history="1">
        <w:r w:rsidRPr="00081992">
          <w:rPr>
            <w:rStyle w:val="a5"/>
            <w:rFonts w:ascii="Times New Roman" w:hAnsi="Times New Roman" w:cs="Times New Roman"/>
          </w:rPr>
          <w:t>https://www.eria.org/uploads/04_Chapter-3-The-Case-of-Singapore.pdf</w:t>
        </w:r>
      </w:hyperlink>
    </w:p>
  </w:footnote>
  <w:footnote w:id="7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Smart Nation Singapore. </w:t>
      </w:r>
      <w:proofErr w:type="spellStart"/>
      <w:r w:rsidRPr="00081992">
        <w:rPr>
          <w:rFonts w:ascii="Times New Roman" w:hAnsi="Times New Roman" w:cs="Times New Roman"/>
        </w:rPr>
        <w:t>TraceTogether</w:t>
      </w:r>
      <w:proofErr w:type="spellEnd"/>
      <w:r w:rsidRPr="00081992">
        <w:rPr>
          <w:rFonts w:ascii="Times New Roman" w:hAnsi="Times New Roman" w:cs="Times New Roman"/>
        </w:rPr>
        <w:t xml:space="preserve"> reduced contact tracing time from 4 days to less than 1.5 days. 2021. </w:t>
      </w:r>
      <w:proofErr w:type="spellStart"/>
      <w:r w:rsidRPr="00081992">
        <w:rPr>
          <w:rFonts w:ascii="Times New Roman" w:hAnsi="Times New Roman" w:cs="Times New Roman"/>
        </w:rPr>
        <w:t>Цит</w:t>
      </w:r>
      <w:proofErr w:type="spellEnd"/>
      <w:r w:rsidRPr="00081992">
        <w:rPr>
          <w:rFonts w:ascii="Times New Roman" w:hAnsi="Times New Roman" w:cs="Times New Roman"/>
        </w:rPr>
        <w:t xml:space="preserve">. </w:t>
      </w:r>
      <w:proofErr w:type="spellStart"/>
      <w:r w:rsidRPr="00081992">
        <w:rPr>
          <w:rFonts w:ascii="Times New Roman" w:hAnsi="Times New Roman" w:cs="Times New Roman"/>
        </w:rPr>
        <w:t>по</w:t>
      </w:r>
      <w:proofErr w:type="spellEnd"/>
      <w:r w:rsidRPr="00081992">
        <w:rPr>
          <w:rFonts w:ascii="Times New Roman" w:hAnsi="Times New Roman" w:cs="Times New Roman"/>
        </w:rPr>
        <w:t xml:space="preserve">: Yip H.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Digital Government to Counter the Effects of COVID-19: The Case of Singapore // ERIA Research Project Report. 2022. URL: </w:t>
      </w:r>
      <w:hyperlink r:id="rId68" w:tgtFrame="_new" w:history="1">
        <w:r w:rsidRPr="00081992">
          <w:rPr>
            <w:rStyle w:val="a5"/>
            <w:rFonts w:ascii="Times New Roman" w:hAnsi="Times New Roman" w:cs="Times New Roman"/>
          </w:rPr>
          <w:t>https://www.eria.org/uploads/04_Chapter-3-The-Case-of-Singapore.pdf</w:t>
        </w:r>
      </w:hyperlink>
    </w:p>
  </w:footnote>
  <w:footnote w:id="7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Ministry of Finance of Singapore. Ministerial Statement on COVID-19 Strategy. 2020. URL: </w:t>
      </w:r>
      <w:hyperlink r:id="rId69" w:tgtFrame="_new" w:history="1">
        <w:r w:rsidRPr="00081992">
          <w:rPr>
            <w:rStyle w:val="a5"/>
            <w:rFonts w:ascii="Times New Roman" w:hAnsi="Times New Roman" w:cs="Times New Roman"/>
          </w:rPr>
          <w:t>https://www.mof.gov.sg/news-resources/newsroom/ministerial-statement-on-overview-of-government-s-strategy-to-emerge-stronger-from-the-covid-19-pandemic/</w:t>
        </w:r>
      </w:hyperlink>
    </w:p>
  </w:footnote>
  <w:footnote w:id="7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Bank. Polish Economy Returns to Growth Amidst Pandemic-Related Setbacks. 31.03.2021. URL: </w:t>
      </w:r>
      <w:hyperlink r:id="rId70" w:tgtFrame="_new" w:history="1">
        <w:r w:rsidRPr="00081992">
          <w:rPr>
            <w:rStyle w:val="a5"/>
            <w:rFonts w:ascii="Times New Roman" w:hAnsi="Times New Roman" w:cs="Times New Roman"/>
          </w:rPr>
          <w:t>https://www.worldbank.org/en/news/press-release/2021/03/31/polish-economy-returns-to-growth-amidst-pandemic-related-setbacks</w:t>
        </w:r>
      </w:hyperlink>
    </w:p>
  </w:footnote>
  <w:footnote w:id="7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U.S. Department of State. 2023 Investment Climate Statements: Poland. URL: </w:t>
      </w:r>
      <w:hyperlink r:id="rId71" w:tgtFrame="_new" w:history="1">
        <w:r w:rsidRPr="00081992">
          <w:rPr>
            <w:rStyle w:val="a5"/>
            <w:rFonts w:ascii="Times New Roman" w:hAnsi="Times New Roman" w:cs="Times New Roman"/>
          </w:rPr>
          <w:t>https://www.state.gov/reports/2023-investment-climate-statements/poland</w:t>
        </w:r>
      </w:hyperlink>
    </w:p>
  </w:footnote>
  <w:footnote w:id="7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International Energy Agency. Poland 2022 - Energy Policy Review: Executive Summary. URL: </w:t>
      </w:r>
      <w:hyperlink r:id="rId72" w:tgtFrame="_new" w:history="1">
        <w:r w:rsidRPr="00081992">
          <w:rPr>
            <w:rStyle w:val="a5"/>
            <w:rFonts w:ascii="Times New Roman" w:hAnsi="Times New Roman" w:cs="Times New Roman"/>
          </w:rPr>
          <w:t>https://www.iea.org/reports/poland-2022/executive-summary</w:t>
        </w:r>
      </w:hyperlink>
    </w:p>
  </w:footnote>
  <w:footnote w:id="7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Friedrich-Ebert-</w:t>
      </w:r>
      <w:proofErr w:type="spellStart"/>
      <w:r w:rsidRPr="00081992">
        <w:rPr>
          <w:rFonts w:ascii="Times New Roman" w:hAnsi="Times New Roman" w:cs="Times New Roman"/>
        </w:rPr>
        <w:t>Stiftung</w:t>
      </w:r>
      <w:proofErr w:type="spellEnd"/>
      <w:r w:rsidRPr="00081992">
        <w:rPr>
          <w:rFonts w:ascii="Times New Roman" w:hAnsi="Times New Roman" w:cs="Times New Roman"/>
        </w:rPr>
        <w:t xml:space="preserve">. What to Do About Inflation? Poland. 2022. URL: </w:t>
      </w:r>
      <w:hyperlink r:id="rId73" w:tgtFrame="_new" w:history="1">
        <w:r w:rsidRPr="00081992">
          <w:rPr>
            <w:rStyle w:val="a5"/>
            <w:rFonts w:ascii="Times New Roman" w:hAnsi="Times New Roman" w:cs="Times New Roman"/>
          </w:rPr>
          <w:t>https://www.fes.de/en/progressive-fiscal-policy/inflation/what-to-do-about-inflation/what-to-do-about-inflation-poland</w:t>
        </w:r>
      </w:hyperlink>
    </w:p>
  </w:footnote>
  <w:footnote w:id="7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IMF. World Economic Outlook Database, April 2024. Washington, DC: International Monetary Fund, 2024; Eurostat. Real GDP Growth Rate - Volume. URL: </w:t>
      </w:r>
      <w:hyperlink r:id="rId74" w:tgtFrame="_new" w:history="1">
        <w:r w:rsidRPr="00081992">
          <w:rPr>
            <w:rStyle w:val="a5"/>
            <w:rFonts w:ascii="Times New Roman" w:hAnsi="Times New Roman" w:cs="Times New Roman"/>
          </w:rPr>
          <w:t>https://ec.europa.eu/eurostat/databrowser/view/tec00115/</w:t>
        </w:r>
      </w:hyperlink>
    </w:p>
  </w:footnote>
  <w:footnote w:id="77">
    <w:p w:rsidR="0093678C" w:rsidRPr="00081992" w:rsidRDefault="0093678C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World Bank. World Development Indicators (WDI). URL: </w:t>
      </w:r>
      <w:hyperlink r:id="rId75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https://databank.worldbank.org/source/world-development-indicators</w:t>
        </w:r>
      </w:hyperlink>
    </w:p>
  </w:footnote>
  <w:footnote w:id="78">
    <w:p w:rsidR="0093678C" w:rsidRPr="00081992" w:rsidRDefault="0093678C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World Bank. World Bank Country and Lending Groups. URL: </w:t>
      </w:r>
      <w:hyperlink r:id="rId76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https://datahelpdesk.worldbank.org/knowledgebase/articles/906519</w:t>
        </w:r>
      </w:hyperlink>
    </w:p>
  </w:footnote>
  <w:footnote w:id="79">
    <w:p w:rsidR="0093678C" w:rsidRPr="00081992" w:rsidRDefault="0093678C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UNCTAD. World Investment Report 2023. Geneva: United Nations, 2023. URL: </w:t>
      </w:r>
      <w:hyperlink r:id="rId77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https://unctad.org/publication/world-investment-report-2023</w:t>
        </w:r>
      </w:hyperlink>
    </w:p>
  </w:footnote>
  <w:footnote w:id="8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Wooldridge J. M. Econometric Analysis of Cross Section and Panel Data. 2nd ed. MIT Press, 2010. P. 286-288.</w:t>
      </w:r>
    </w:p>
  </w:footnote>
  <w:footnote w:id="8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Czernich</w:t>
      </w:r>
      <w:proofErr w:type="spellEnd"/>
      <w:r w:rsidRPr="00081992">
        <w:rPr>
          <w:rFonts w:ascii="Times New Roman" w:hAnsi="Times New Roman" w:cs="Times New Roman"/>
        </w:rPr>
        <w:t xml:space="preserve"> N. </w:t>
      </w:r>
      <w:proofErr w:type="gramStart"/>
      <w:r w:rsidRPr="00081992">
        <w:rPr>
          <w:rFonts w:ascii="Times New Roman" w:hAnsi="Times New Roman" w:cs="Times New Roman"/>
        </w:rPr>
        <w:t>et al.</w:t>
      </w:r>
      <w:proofErr w:type="gramEnd"/>
      <w:r w:rsidRPr="00081992">
        <w:rPr>
          <w:rFonts w:ascii="Times New Roman" w:hAnsi="Times New Roman" w:cs="Times New Roman"/>
        </w:rPr>
        <w:t xml:space="preserve"> Broadband Infrastructure and Economic Growth // The Economic Journal. </w:t>
      </w:r>
      <w:r w:rsidRPr="00081992">
        <w:rPr>
          <w:rFonts w:ascii="Times New Roman" w:hAnsi="Times New Roman" w:cs="Times New Roman"/>
          <w:lang w:val="ru-RU"/>
        </w:rPr>
        <w:t xml:space="preserve">2011. </w:t>
      </w:r>
      <w:r w:rsidRPr="00081992">
        <w:rPr>
          <w:rFonts w:ascii="Times New Roman" w:hAnsi="Times New Roman" w:cs="Times New Roman"/>
        </w:rPr>
        <w:t>Vol</w:t>
      </w:r>
      <w:r w:rsidRPr="00081992">
        <w:rPr>
          <w:rFonts w:ascii="Times New Roman" w:hAnsi="Times New Roman" w:cs="Times New Roman"/>
          <w:lang w:val="ru-RU"/>
        </w:rPr>
        <w:t xml:space="preserve">. 121, </w:t>
      </w:r>
      <w:r w:rsidRPr="00081992">
        <w:rPr>
          <w:rFonts w:ascii="Times New Roman" w:hAnsi="Times New Roman" w:cs="Times New Roman"/>
        </w:rPr>
        <w:t>No</w:t>
      </w:r>
      <w:r w:rsidRPr="00081992">
        <w:rPr>
          <w:rFonts w:ascii="Times New Roman" w:hAnsi="Times New Roman" w:cs="Times New Roman"/>
          <w:lang w:val="ru-RU"/>
        </w:rPr>
        <w:t xml:space="preserve">. 552. </w:t>
      </w:r>
      <w:r w:rsidRPr="00081992">
        <w:rPr>
          <w:rFonts w:ascii="Times New Roman" w:hAnsi="Times New Roman" w:cs="Times New Roman"/>
        </w:rPr>
        <w:t>P</w:t>
      </w:r>
      <w:r w:rsidRPr="00081992">
        <w:rPr>
          <w:rFonts w:ascii="Times New Roman" w:hAnsi="Times New Roman" w:cs="Times New Roman"/>
          <w:lang w:val="ru-RU"/>
        </w:rPr>
        <w:t xml:space="preserve">. 505-532. </w:t>
      </w:r>
      <w:r w:rsidRPr="00081992">
        <w:rPr>
          <w:rFonts w:ascii="Times New Roman" w:hAnsi="Times New Roman" w:cs="Times New Roman"/>
        </w:rPr>
        <w:t>DOI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78" w:tgtFrame="_new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doi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r w:rsidRPr="00081992">
          <w:rPr>
            <w:rStyle w:val="a5"/>
            <w:rFonts w:ascii="Times New Roman" w:hAnsi="Times New Roman" w:cs="Times New Roman"/>
          </w:rPr>
          <w:t>org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/10.1111/</w:t>
        </w:r>
        <w:r w:rsidRPr="00081992">
          <w:rPr>
            <w:rStyle w:val="a5"/>
            <w:rFonts w:ascii="Times New Roman" w:hAnsi="Times New Roman" w:cs="Times New Roman"/>
          </w:rPr>
          <w:t>j</w:t>
        </w:r>
        <w:r w:rsidRPr="00081992">
          <w:rPr>
            <w:rStyle w:val="a5"/>
            <w:rFonts w:ascii="Times New Roman" w:hAnsi="Times New Roman" w:cs="Times New Roman"/>
            <w:lang w:val="ru-RU"/>
          </w:rPr>
          <w:t>.1468-0297.2011.02420.</w:t>
        </w:r>
        <w:r w:rsidRPr="00081992">
          <w:rPr>
            <w:rStyle w:val="a5"/>
            <w:rFonts w:ascii="Times New Roman" w:hAnsi="Times New Roman" w:cs="Times New Roman"/>
          </w:rPr>
          <w:t>x</w:t>
        </w:r>
      </w:hyperlink>
    </w:p>
  </w:footnote>
  <w:footnote w:id="8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05.10.2020 «Об утверждении Стратегии “Цифровой Узбекистан - 2030”». </w:t>
      </w:r>
      <w:r w:rsidRPr="00081992">
        <w:rPr>
          <w:rFonts w:ascii="Times New Roman" w:hAnsi="Times New Roman" w:cs="Times New Roman"/>
        </w:rPr>
        <w:t xml:space="preserve">URL: </w:t>
      </w:r>
      <w:hyperlink r:id="rId79" w:history="1">
        <w:r w:rsidRPr="00081992">
          <w:rPr>
            <w:rStyle w:val="a5"/>
            <w:rFonts w:ascii="Times New Roman" w:hAnsi="Times New Roman" w:cs="Times New Roman"/>
          </w:rPr>
          <w:t>https://lex.uz/ru/docs/5031048</w:t>
        </w:r>
      </w:hyperlink>
    </w:p>
  </w:footnote>
  <w:footnote w:id="8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Embassy of the Republic of Uzbekistan in Ukraine. Digital Transformation of Uzbekistan Promotes Regional Integration in Central Asia. URL: </w:t>
      </w:r>
      <w:hyperlink r:id="rId80" w:tgtFrame="_new" w:history="1">
        <w:r w:rsidRPr="00081992">
          <w:rPr>
            <w:rStyle w:val="a5"/>
            <w:rFonts w:ascii="Times New Roman" w:hAnsi="Times New Roman" w:cs="Times New Roman"/>
          </w:rPr>
          <w:t>https://www.uzbekistan.org.ua/en/news/7390-digital-transformation-of-uzbekistan-promotes-regional-integration-in-central-asia.html</w:t>
        </w:r>
      </w:hyperlink>
    </w:p>
  </w:footnote>
  <w:footnote w:id="8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5 октября 2020 г. «Об утверждении Стратегии "Цифровой Узбекистан — 2030" и мерах по её эффективной реализации»; </w:t>
      </w:r>
      <w:r w:rsidRPr="00081992">
        <w:rPr>
          <w:rFonts w:ascii="Times New Roman" w:hAnsi="Times New Roman" w:cs="Times New Roman"/>
        </w:rPr>
        <w:t>Beyond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Investments</w:t>
      </w:r>
      <w:r w:rsidRPr="00081992">
        <w:rPr>
          <w:rFonts w:ascii="Times New Roman" w:hAnsi="Times New Roman" w:cs="Times New Roman"/>
          <w:lang w:val="ru-RU"/>
        </w:rPr>
        <w:t xml:space="preserve"> </w:t>
      </w:r>
      <w:r w:rsidRPr="00081992">
        <w:rPr>
          <w:rFonts w:ascii="Times New Roman" w:hAnsi="Times New Roman" w:cs="Times New Roman"/>
        </w:rPr>
        <w:t>Group</w:t>
      </w:r>
      <w:r w:rsidRPr="00081992">
        <w:rPr>
          <w:rFonts w:ascii="Times New Roman" w:hAnsi="Times New Roman" w:cs="Times New Roman"/>
          <w:lang w:val="ru-RU"/>
        </w:rPr>
        <w:t xml:space="preserve">. </w:t>
      </w:r>
      <w:r w:rsidRPr="00081992">
        <w:rPr>
          <w:rFonts w:ascii="Times New Roman" w:hAnsi="Times New Roman" w:cs="Times New Roman"/>
        </w:rPr>
        <w:t>Industry &amp; ICT — The Investor Uzbekistan 2023. URL</w:t>
      </w:r>
      <w:hyperlink r:id="rId81" w:history="1">
        <w:r w:rsidRPr="00081992">
          <w:rPr>
            <w:rStyle w:val="a5"/>
            <w:rFonts w:ascii="Times New Roman" w:hAnsi="Times New Roman" w:cs="Times New Roman"/>
          </w:rPr>
          <w:t>: https://www.beyondinvestmentsgroup.com/uzbekistan2023-industryandict</w:t>
        </w:r>
      </w:hyperlink>
    </w:p>
  </w:footnote>
  <w:footnote w:id="8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 DESA. UN E-Government Survey 2024: Accelerating Digital Transformation for Sustainable Development. New York: United Nations, 2024. URL: </w:t>
      </w:r>
      <w:hyperlink r:id="rId82" w:tgtFrame="_new" w:history="1">
        <w:r w:rsidRPr="00081992">
          <w:rPr>
            <w:rStyle w:val="a5"/>
            <w:rFonts w:ascii="Times New Roman" w:hAnsi="Times New Roman" w:cs="Times New Roman"/>
          </w:rPr>
          <w:t>https://publicadministration.un.org/egovkb/en-us/Reports/UN-E-Government-Survey-2024</w:t>
        </w:r>
      </w:hyperlink>
    </w:p>
  </w:footnote>
  <w:footnote w:id="8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URL: </w:t>
      </w:r>
      <w:hyperlink r:id="rId83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</w:p>
  </w:footnote>
  <w:footnote w:id="8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Oxford Insights. Government AI Readiness Index 2023, 2024, 2025. URL: </w:t>
      </w:r>
      <w:hyperlink r:id="rId84" w:tgtFrame="_new" w:history="1">
        <w:r w:rsidRPr="00081992">
          <w:rPr>
            <w:rStyle w:val="a5"/>
            <w:rFonts w:ascii="Times New Roman" w:hAnsi="Times New Roman" w:cs="Times New Roman"/>
          </w:rPr>
          <w:t>https://oxfordinsights.com/ai-readiness/ai-readiness-index/</w:t>
        </w:r>
      </w:hyperlink>
    </w:p>
  </w:footnote>
  <w:footnote w:id="8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URL: </w:t>
      </w:r>
      <w:hyperlink r:id="rId85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</w:p>
  </w:footnote>
  <w:footnote w:id="8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Worlddata.info. Telecommunications in Uzbekistan. URL: </w:t>
      </w:r>
      <w:hyperlink r:id="rId86" w:tgtFrame="_new" w:history="1">
        <w:r w:rsidRPr="00081992">
          <w:rPr>
            <w:rStyle w:val="a5"/>
            <w:rFonts w:ascii="Times New Roman" w:hAnsi="Times New Roman" w:cs="Times New Roman"/>
          </w:rPr>
          <w:t>https://www.worlddata.info/asia/uzbekistan/telecommunication.php</w:t>
        </w:r>
      </w:hyperlink>
    </w:p>
  </w:footnote>
  <w:footnote w:id="9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The Global Economy. Uzbekistan: Internet Users. URL: </w:t>
      </w:r>
      <w:hyperlink r:id="rId87" w:tgtFrame="_new" w:history="1">
        <w:r w:rsidRPr="00081992">
          <w:rPr>
            <w:rStyle w:val="a5"/>
            <w:rFonts w:ascii="Times New Roman" w:hAnsi="Times New Roman" w:cs="Times New Roman"/>
          </w:rPr>
          <w:t>https://www.theglobaleconomy.com/Uzbekistan/Internet_users/</w:t>
        </w:r>
      </w:hyperlink>
    </w:p>
  </w:footnote>
  <w:footnote w:id="9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Freedom House. Freedom on the Net 2024 - Uzbekistan. URL: </w:t>
      </w:r>
      <w:hyperlink r:id="rId88" w:tgtFrame="_new" w:history="1">
        <w:r w:rsidRPr="00081992">
          <w:rPr>
            <w:rStyle w:val="a5"/>
            <w:rFonts w:ascii="Times New Roman" w:hAnsi="Times New Roman" w:cs="Times New Roman"/>
          </w:rPr>
          <w:t>https://freedomhouse.org/country/uzbekistan/freedom-net/2024</w:t>
        </w:r>
      </w:hyperlink>
    </w:p>
  </w:footnote>
  <w:footnote w:id="9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Ookla</w:t>
      </w:r>
      <w:proofErr w:type="spellEnd"/>
      <w:r w:rsidRPr="00081992">
        <w:rPr>
          <w:rFonts w:ascii="Times New Roman" w:hAnsi="Times New Roman" w:cs="Times New Roman"/>
        </w:rPr>
        <w:t xml:space="preserve">. </w:t>
      </w:r>
      <w:proofErr w:type="spellStart"/>
      <w:r w:rsidRPr="00081992">
        <w:rPr>
          <w:rFonts w:ascii="Times New Roman" w:hAnsi="Times New Roman" w:cs="Times New Roman"/>
        </w:rPr>
        <w:t>Speedtest</w:t>
      </w:r>
      <w:proofErr w:type="spellEnd"/>
      <w:r w:rsidRPr="00081992">
        <w:rPr>
          <w:rFonts w:ascii="Times New Roman" w:hAnsi="Times New Roman" w:cs="Times New Roman"/>
        </w:rPr>
        <w:t xml:space="preserve"> Global Index - Uzbekistan, January 2025. URL: https://www.speedtest.net/global-index/uzbekistan</w:t>
      </w:r>
    </w:p>
  </w:footnote>
  <w:footnote w:id="93">
    <w:p w:rsidR="0093678C" w:rsidRPr="00081992" w:rsidRDefault="0093678C" w:rsidP="00C02A16">
      <w:pPr>
        <w:pStyle w:val="a6"/>
        <w:rPr>
          <w:rFonts w:ascii="Times New Roman" w:hAnsi="Times New Roman" w:cs="Times New Roman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Uzbekistan, cited in </w:t>
      </w:r>
      <w:proofErr w:type="spellStart"/>
      <w:r w:rsidRPr="00081992">
        <w:rPr>
          <w:rFonts w:ascii="Times New Roman" w:hAnsi="Times New Roman" w:cs="Times New Roman"/>
        </w:rPr>
        <w:t>UzDaily</w:t>
      </w:r>
      <w:proofErr w:type="spellEnd"/>
      <w:r w:rsidRPr="00081992">
        <w:rPr>
          <w:rFonts w:ascii="Times New Roman" w:hAnsi="Times New Roman" w:cs="Times New Roman"/>
        </w:rPr>
        <w:t xml:space="preserve">. Uzbekistan’s GDP amounted to US$114.96 billion in 2024. February 2025. URL: </w:t>
      </w:r>
      <w:hyperlink r:id="rId89" w:tgtFrame="_new" w:history="1">
        <w:r w:rsidRPr="00081992">
          <w:rPr>
            <w:rStyle w:val="a5"/>
            <w:rFonts w:ascii="Times New Roman" w:hAnsi="Times New Roman" w:cs="Times New Roman"/>
          </w:rPr>
          <w:t>https://www.uzdaily.uz/en/uzbekistans-gdp-amounted-to-us11496-billion-in-2024/</w:t>
        </w:r>
      </w:hyperlink>
    </w:p>
  </w:footnote>
  <w:footnote w:id="9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Uzbekistan, cited in </w:t>
      </w:r>
      <w:proofErr w:type="spellStart"/>
      <w:r w:rsidRPr="00081992">
        <w:rPr>
          <w:rFonts w:ascii="Times New Roman" w:hAnsi="Times New Roman" w:cs="Times New Roman"/>
        </w:rPr>
        <w:t>UzDaily</w:t>
      </w:r>
      <w:proofErr w:type="spellEnd"/>
      <w:r w:rsidRPr="00081992">
        <w:rPr>
          <w:rFonts w:ascii="Times New Roman" w:hAnsi="Times New Roman" w:cs="Times New Roman"/>
        </w:rPr>
        <w:t>. Uzbekistan’s GDP amounted to US$114.96 billion in 2024. February 2025.</w:t>
      </w:r>
    </w:p>
  </w:footnote>
  <w:footnote w:id="9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Digital Watch Observatory. Uzbekistan: Country Profile. б. г. URL: </w:t>
      </w:r>
      <w:hyperlink r:id="rId90" w:tgtFrame="_new" w:history="1">
        <w:r w:rsidRPr="00081992">
          <w:rPr>
            <w:rStyle w:val="a5"/>
            <w:rFonts w:ascii="Times New Roman" w:hAnsi="Times New Roman" w:cs="Times New Roman"/>
          </w:rPr>
          <w:t>https://dig.watch/countries/uzbekistan</w:t>
        </w:r>
      </w:hyperlink>
      <w:r w:rsidRPr="00081992">
        <w:rPr>
          <w:rFonts w:ascii="Times New Roman" w:hAnsi="Times New Roman" w:cs="Times New Roman"/>
        </w:rPr>
        <w:t>; Beyond Investments Group. Industry &amp; ICT // The Investor Uzbekistan 2023.</w:t>
      </w:r>
    </w:p>
  </w:footnote>
  <w:footnote w:id="9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TAdviser</w:t>
      </w:r>
      <w:proofErr w:type="spellEnd"/>
      <w:r w:rsidRPr="00081992">
        <w:rPr>
          <w:rFonts w:ascii="Times New Roman" w:hAnsi="Times New Roman" w:cs="Times New Roman"/>
        </w:rPr>
        <w:t xml:space="preserve">. ICT Market of Uzbekistan. 2024. URL: </w:t>
      </w:r>
      <w:hyperlink r:id="rId91" w:tgtFrame="_new" w:history="1">
        <w:r w:rsidRPr="00081992">
          <w:rPr>
            <w:rStyle w:val="a5"/>
            <w:rFonts w:ascii="Times New Roman" w:hAnsi="Times New Roman" w:cs="Times New Roman"/>
          </w:rPr>
          <w:t>https://tadviser.com/index.php/Article:ICT_market_of_Uzbekistan</w:t>
        </w:r>
      </w:hyperlink>
      <w:r w:rsidRPr="00081992">
        <w:rPr>
          <w:rFonts w:ascii="Times New Roman" w:hAnsi="Times New Roman" w:cs="Times New Roman"/>
        </w:rPr>
        <w:t>; Ministry of Digital Technologies of the Republic of Uzbekistan. Annual Report on IT Services Exports.</w:t>
      </w:r>
    </w:p>
  </w:footnote>
  <w:footnote w:id="9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Samadkulov</w:t>
      </w:r>
      <w:proofErr w:type="spellEnd"/>
      <w:r w:rsidRPr="00081992">
        <w:rPr>
          <w:rFonts w:ascii="Times New Roman" w:hAnsi="Times New Roman" w:cs="Times New Roman"/>
        </w:rPr>
        <w:t xml:space="preserve"> M., </w:t>
      </w:r>
      <w:proofErr w:type="spellStart"/>
      <w:r w:rsidRPr="00081992">
        <w:rPr>
          <w:rFonts w:ascii="Times New Roman" w:hAnsi="Times New Roman" w:cs="Times New Roman"/>
        </w:rPr>
        <w:t>Allanazarov</w:t>
      </w:r>
      <w:proofErr w:type="spellEnd"/>
      <w:r w:rsidRPr="00081992">
        <w:rPr>
          <w:rFonts w:ascii="Times New Roman" w:hAnsi="Times New Roman" w:cs="Times New Roman"/>
        </w:rPr>
        <w:t xml:space="preserve"> R. Economy of the Services Sector: The Share of Tourism and IT Services in GDP. 2024. URL: </w:t>
      </w:r>
      <w:hyperlink r:id="rId92" w:tgtFrame="_new" w:history="1">
        <w:r w:rsidRPr="00081992">
          <w:rPr>
            <w:rStyle w:val="a5"/>
            <w:rFonts w:ascii="Times New Roman" w:hAnsi="Times New Roman" w:cs="Times New Roman"/>
          </w:rPr>
          <w:t>https://interspp.com/index.php/sft/article/download/1696/1293/2524</w:t>
        </w:r>
      </w:hyperlink>
      <w:r w:rsidRPr="00081992">
        <w:rPr>
          <w:rFonts w:ascii="Times New Roman" w:hAnsi="Times New Roman" w:cs="Times New Roman"/>
        </w:rPr>
        <w:t>.</w:t>
      </w:r>
    </w:p>
  </w:footnote>
  <w:footnote w:id="9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Mastercard</w:t>
      </w:r>
      <w:proofErr w:type="spellEnd"/>
      <w:r w:rsidRPr="00081992">
        <w:rPr>
          <w:rFonts w:ascii="Times New Roman" w:hAnsi="Times New Roman" w:cs="Times New Roman"/>
        </w:rPr>
        <w:t xml:space="preserve">. Fintech Market Uzbekistan. 2023, cited in: </w:t>
      </w:r>
      <w:proofErr w:type="spellStart"/>
      <w:r w:rsidRPr="00081992">
        <w:rPr>
          <w:rFonts w:ascii="Times New Roman" w:hAnsi="Times New Roman" w:cs="Times New Roman"/>
        </w:rPr>
        <w:t>FintechNews</w:t>
      </w:r>
      <w:proofErr w:type="spellEnd"/>
      <w:r w:rsidRPr="00081992">
        <w:rPr>
          <w:rFonts w:ascii="Times New Roman" w:hAnsi="Times New Roman" w:cs="Times New Roman"/>
        </w:rPr>
        <w:t xml:space="preserve"> Switzerland. Fintech on the Rise in Uzbekistan: A Short Overview. 2024. URL: </w:t>
      </w:r>
      <w:hyperlink r:id="rId93" w:tgtFrame="_new" w:history="1">
        <w:r w:rsidRPr="00081992">
          <w:rPr>
            <w:rStyle w:val="a5"/>
            <w:rFonts w:ascii="Times New Roman" w:hAnsi="Times New Roman" w:cs="Times New Roman"/>
          </w:rPr>
          <w:t>https://fintechnews.ch/fintech/fintech-on-the-rise-in-uzbekistan-a-short-overview/69023/</w:t>
        </w:r>
      </w:hyperlink>
    </w:p>
  </w:footnote>
  <w:footnote w:id="9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Mastercard</w:t>
      </w:r>
      <w:proofErr w:type="spellEnd"/>
      <w:r w:rsidRPr="00081992">
        <w:rPr>
          <w:rFonts w:ascii="Times New Roman" w:hAnsi="Times New Roman" w:cs="Times New Roman"/>
        </w:rPr>
        <w:t>. Fintech Market Uzbekistan. 2023</w:t>
      </w:r>
    </w:p>
  </w:footnote>
  <w:footnote w:id="10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Evolution of </w:t>
      </w:r>
      <w:proofErr w:type="spellStart"/>
      <w:r w:rsidRPr="00081992">
        <w:rPr>
          <w:rFonts w:ascii="Times New Roman" w:hAnsi="Times New Roman" w:cs="Times New Roman"/>
        </w:rPr>
        <w:t>FinTech</w:t>
      </w:r>
      <w:proofErr w:type="spellEnd"/>
      <w:r w:rsidRPr="00081992">
        <w:rPr>
          <w:rFonts w:ascii="Times New Roman" w:hAnsi="Times New Roman" w:cs="Times New Roman"/>
        </w:rPr>
        <w:t xml:space="preserve"> in Central Asian Countries and Implications for the Region’s Economy // </w:t>
      </w:r>
      <w:proofErr w:type="spellStart"/>
      <w:r w:rsidRPr="00081992">
        <w:rPr>
          <w:rFonts w:ascii="Times New Roman" w:hAnsi="Times New Roman" w:cs="Times New Roman"/>
        </w:rPr>
        <w:t>FinTech</w:t>
      </w:r>
      <w:proofErr w:type="spellEnd"/>
      <w:r w:rsidRPr="00081992">
        <w:rPr>
          <w:rFonts w:ascii="Times New Roman" w:hAnsi="Times New Roman" w:cs="Times New Roman"/>
        </w:rPr>
        <w:t xml:space="preserve">. 2025. Vol. 4, No. 4. URL: </w:t>
      </w:r>
      <w:hyperlink r:id="rId94" w:tgtFrame="_new" w:history="1">
        <w:r w:rsidRPr="00081992">
          <w:rPr>
            <w:rStyle w:val="a5"/>
            <w:rFonts w:ascii="Times New Roman" w:hAnsi="Times New Roman" w:cs="Times New Roman"/>
          </w:rPr>
          <w:t>https://www.mdpi.com/2674-1032/4/4/69</w:t>
        </w:r>
      </w:hyperlink>
    </w:p>
  </w:footnote>
  <w:footnote w:id="10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Abdukadirova</w:t>
      </w:r>
      <w:proofErr w:type="spellEnd"/>
      <w:r w:rsidRPr="00081992">
        <w:rPr>
          <w:rFonts w:ascii="Times New Roman" w:hAnsi="Times New Roman" w:cs="Times New Roman"/>
        </w:rPr>
        <w:t xml:space="preserve"> N.A. Statistical Analysis of the Dynamics of Non-Cash Payments in Uzbekistan Over the Past Five Years // Journal of Applied Science and Social Science. 2026. Vol. 16, No. 5. P. 320–323. URL: </w:t>
      </w:r>
      <w:hyperlink r:id="rId95" w:tgtFrame="_new" w:history="1">
        <w:r w:rsidRPr="00081992">
          <w:rPr>
            <w:rStyle w:val="a5"/>
            <w:rFonts w:ascii="Times New Roman" w:hAnsi="Times New Roman" w:cs="Times New Roman"/>
          </w:rPr>
          <w:t>https://www.internationaljournal.co.in/index.php/jasass/article/view/4320</w:t>
        </w:r>
      </w:hyperlink>
    </w:p>
  </w:footnote>
  <w:footnote w:id="10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World Bank Country and Lending Groups: Country Classification. URL: </w:t>
      </w:r>
      <w:hyperlink r:id="rId96" w:tgtFrame="_new" w:history="1">
        <w:r w:rsidRPr="00081992">
          <w:rPr>
            <w:rStyle w:val="a5"/>
            <w:rFonts w:ascii="Times New Roman" w:hAnsi="Times New Roman" w:cs="Times New Roman"/>
          </w:rPr>
          <w:t>https://datahelpdesk.worldbank.org/knowledgebase/articles/906519-world-bank-country-and-lending-groups</w:t>
        </w:r>
      </w:hyperlink>
    </w:p>
  </w:footnote>
  <w:footnote w:id="10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UNCTAD. World Investment Report 2023: Investing in Sustainable Energy for All. Geneva: United Nations, 2023. URL: </w:t>
      </w:r>
      <w:hyperlink r:id="rId97" w:tgtFrame="_new" w:history="1">
        <w:r w:rsidRPr="00081992">
          <w:rPr>
            <w:rStyle w:val="a5"/>
            <w:rFonts w:ascii="Times New Roman" w:hAnsi="Times New Roman" w:cs="Times New Roman"/>
          </w:rPr>
          <w:t>https://unctad.org/publication/world-investment-report-2023</w:t>
        </w:r>
      </w:hyperlink>
    </w:p>
  </w:footnote>
  <w:footnote w:id="10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e-Estonia. X-Road: Data Exchange Layer. б. г. URL: </w:t>
      </w:r>
      <w:hyperlink r:id="rId98" w:tgtFrame="_new" w:history="1">
        <w:r w:rsidRPr="00081992">
          <w:rPr>
            <w:rStyle w:val="a5"/>
            <w:rFonts w:ascii="Times New Roman" w:hAnsi="Times New Roman" w:cs="Times New Roman"/>
          </w:rPr>
          <w:t>https://e-estonia.com/solutions/interoperability-services/x-road/</w:t>
        </w:r>
      </w:hyperlink>
    </w:p>
  </w:footnote>
  <w:footnote w:id="105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X-Road. Open-Source Software. б. г. URL: </w:t>
      </w:r>
      <w:hyperlink r:id="rId99" w:tgtFrame="_new" w:history="1">
        <w:r w:rsidRPr="00081992">
          <w:rPr>
            <w:rStyle w:val="a5"/>
            <w:rFonts w:ascii="Times New Roman" w:hAnsi="Times New Roman" w:cs="Times New Roman"/>
          </w:rPr>
          <w:t>https://x-road.global/xroad-open-source</w:t>
        </w:r>
      </w:hyperlink>
    </w:p>
  </w:footnote>
  <w:footnote w:id="106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Estonia. Population of Estonia, 1 January 2024. 2024. URL: </w:t>
      </w:r>
      <w:hyperlink r:id="rId100" w:tgtFrame="_new" w:history="1">
        <w:r w:rsidRPr="00081992">
          <w:rPr>
            <w:rStyle w:val="a5"/>
            <w:rFonts w:ascii="Times New Roman" w:hAnsi="Times New Roman" w:cs="Times New Roman"/>
          </w:rPr>
          <w:t>https://www.stat.ee/en/find-statistics/statistics-theme/population</w:t>
        </w:r>
      </w:hyperlink>
    </w:p>
  </w:footnote>
  <w:footnote w:id="107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Statistics Agency under the President of the Republic of Uzbekistan. Demographic situation in Uzbekistan, 2024. 2024. URL: </w:t>
      </w:r>
      <w:hyperlink r:id="rId101" w:tgtFrame="_new" w:history="1">
        <w:r w:rsidRPr="00081992">
          <w:rPr>
            <w:rStyle w:val="a5"/>
            <w:rFonts w:ascii="Times New Roman" w:hAnsi="Times New Roman" w:cs="Times New Roman"/>
          </w:rPr>
          <w:t>https://stat.uz/en/</w:t>
        </w:r>
      </w:hyperlink>
    </w:p>
  </w:footnote>
  <w:footnote w:id="10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Government of the Republic of Korea. Korean New Deal: National Strategy for a Great Transformation. Seoul, 2020. P. 14–18. URL: </w:t>
      </w:r>
      <w:hyperlink r:id="rId102" w:tgtFrame="_new" w:history="1">
        <w:r w:rsidRPr="00081992">
          <w:rPr>
            <w:rStyle w:val="a5"/>
            <w:rFonts w:ascii="Times New Roman" w:hAnsi="Times New Roman" w:cs="Times New Roman"/>
          </w:rPr>
          <w:t>https://english.moef.go.kr/</w:t>
        </w:r>
      </w:hyperlink>
    </w:p>
  </w:footnote>
  <w:footnote w:id="10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European Commission. Operational </w:t>
      </w:r>
      <w:proofErr w:type="spellStart"/>
      <w:r w:rsidRPr="00081992">
        <w:rPr>
          <w:rFonts w:ascii="Times New Roman" w:hAnsi="Times New Roman" w:cs="Times New Roman"/>
        </w:rPr>
        <w:t>Programme</w:t>
      </w:r>
      <w:proofErr w:type="spellEnd"/>
      <w:r w:rsidRPr="00081992">
        <w:rPr>
          <w:rFonts w:ascii="Times New Roman" w:hAnsi="Times New Roman" w:cs="Times New Roman"/>
        </w:rPr>
        <w:t xml:space="preserve"> Digital Poland 2014–2020 (POPC). 2014–2020. URL: </w:t>
      </w:r>
      <w:hyperlink r:id="rId103" w:tgtFrame="_new" w:history="1">
        <w:r w:rsidRPr="00081992">
          <w:rPr>
            <w:rStyle w:val="a5"/>
            <w:rFonts w:ascii="Times New Roman" w:hAnsi="Times New Roman" w:cs="Times New Roman"/>
          </w:rPr>
          <w:t>https://ec.europa.eu/regional_policy/en/atlas/programmes/2014-2020/poland/2014pl16rfop002</w:t>
        </w:r>
      </w:hyperlink>
    </w:p>
  </w:footnote>
  <w:footnote w:id="11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Asian Development Bank. Uzbekistan: Country Partnership Strategy 2019–2023. Manila: ADB, 2019. URL: </w:t>
      </w:r>
      <w:hyperlink r:id="rId104" w:tgtFrame="_new" w:history="1">
        <w:r w:rsidRPr="00081992">
          <w:rPr>
            <w:rStyle w:val="a5"/>
            <w:rFonts w:ascii="Times New Roman" w:hAnsi="Times New Roman" w:cs="Times New Roman"/>
          </w:rPr>
          <w:t>https://www.adb.org/documents/uzbekistan-country-partnership-strategy-2019-2023</w:t>
        </w:r>
      </w:hyperlink>
    </w:p>
  </w:footnote>
  <w:footnote w:id="111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EBRD. Uzbekistan Country Strategy 2018–2023. London: EBRD, 2018. URL: </w:t>
      </w:r>
      <w:hyperlink r:id="rId105" w:tgtFrame="_new" w:history="1">
        <w:r w:rsidRPr="00081992">
          <w:rPr>
            <w:rStyle w:val="a5"/>
            <w:rFonts w:ascii="Times New Roman" w:hAnsi="Times New Roman" w:cs="Times New Roman"/>
          </w:rPr>
          <w:t>https://www.ebrd.com/uzbekistan.html</w:t>
        </w:r>
      </w:hyperlink>
    </w:p>
  </w:footnote>
  <w:footnote w:id="112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GovTech</w:t>
      </w:r>
      <w:proofErr w:type="spellEnd"/>
      <w:r w:rsidRPr="00081992">
        <w:rPr>
          <w:rFonts w:ascii="Times New Roman" w:hAnsi="Times New Roman" w:cs="Times New Roman"/>
        </w:rPr>
        <w:t xml:space="preserve"> Singapore. </w:t>
      </w:r>
      <w:proofErr w:type="spellStart"/>
      <w:r w:rsidRPr="00081992">
        <w:rPr>
          <w:rFonts w:ascii="Times New Roman" w:hAnsi="Times New Roman" w:cs="Times New Roman"/>
        </w:rPr>
        <w:t>SingPass</w:t>
      </w:r>
      <w:proofErr w:type="spellEnd"/>
      <w:r w:rsidRPr="00081992">
        <w:rPr>
          <w:rFonts w:ascii="Times New Roman" w:hAnsi="Times New Roman" w:cs="Times New Roman"/>
        </w:rPr>
        <w:t xml:space="preserve">: National Digital Identity. б. г. URL: </w:t>
      </w:r>
      <w:hyperlink r:id="rId106" w:tgtFrame="_new" w:history="1">
        <w:r w:rsidRPr="00081992">
          <w:rPr>
            <w:rStyle w:val="a5"/>
            <w:rFonts w:ascii="Times New Roman" w:hAnsi="Times New Roman" w:cs="Times New Roman"/>
          </w:rPr>
          <w:t>https://www.singpass.gov.sg/</w:t>
        </w:r>
      </w:hyperlink>
      <w:r w:rsidRPr="00081992">
        <w:rPr>
          <w:rFonts w:ascii="Times New Roman" w:hAnsi="Times New Roman" w:cs="Times New Roman"/>
        </w:rPr>
        <w:t xml:space="preserve"> (</w:t>
      </w:r>
      <w:proofErr w:type="spellStart"/>
      <w:r w:rsidRPr="00081992">
        <w:rPr>
          <w:rFonts w:ascii="Times New Roman" w:hAnsi="Times New Roman" w:cs="Times New Roman"/>
        </w:rPr>
        <w:t>дата</w:t>
      </w:r>
      <w:proofErr w:type="spellEnd"/>
      <w:r w:rsidRPr="00081992">
        <w:rPr>
          <w:rFonts w:ascii="Times New Roman" w:hAnsi="Times New Roman" w:cs="Times New Roman"/>
        </w:rPr>
        <w:t xml:space="preserve"> </w:t>
      </w:r>
      <w:proofErr w:type="spellStart"/>
      <w:r w:rsidRPr="00081992">
        <w:rPr>
          <w:rFonts w:ascii="Times New Roman" w:hAnsi="Times New Roman" w:cs="Times New Roman"/>
        </w:rPr>
        <w:t>обращения</w:t>
      </w:r>
      <w:proofErr w:type="spellEnd"/>
      <w:r w:rsidRPr="00081992">
        <w:rPr>
          <w:rFonts w:ascii="Times New Roman" w:hAnsi="Times New Roman" w:cs="Times New Roman"/>
        </w:rPr>
        <w:t>: 10.05.2026).</w:t>
      </w:r>
    </w:p>
  </w:footnote>
  <w:footnote w:id="113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Ministry of Digital Technologies of the Republic of Uzbekistan. </w:t>
      </w:r>
      <w:proofErr w:type="spellStart"/>
      <w:r w:rsidRPr="00081992">
        <w:rPr>
          <w:rFonts w:ascii="Times New Roman" w:hAnsi="Times New Roman" w:cs="Times New Roman"/>
        </w:rPr>
        <w:t>MyID</w:t>
      </w:r>
      <w:proofErr w:type="spellEnd"/>
      <w:r w:rsidRPr="00081992">
        <w:rPr>
          <w:rFonts w:ascii="Times New Roman" w:hAnsi="Times New Roman" w:cs="Times New Roman"/>
        </w:rPr>
        <w:t xml:space="preserve">: National Digital Identification System. б. г. URL: </w:t>
      </w:r>
      <w:hyperlink r:id="rId107" w:tgtFrame="_new" w:history="1">
        <w:r w:rsidRPr="00081992">
          <w:rPr>
            <w:rStyle w:val="a5"/>
            <w:rFonts w:ascii="Times New Roman" w:hAnsi="Times New Roman" w:cs="Times New Roman"/>
          </w:rPr>
          <w:t>https://myid.uz/</w:t>
        </w:r>
      </w:hyperlink>
    </w:p>
  </w:footnote>
  <w:footnote w:id="114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OECD. Strengthening Economic Resilience: Insights from the Post-1970 Record of Severe Recessions and Financial Crises // OECD Economic Policy Papers. 2017. No. 20. P. 8–12. DOI: </w:t>
      </w:r>
      <w:hyperlink r:id="rId108" w:tgtFrame="_new" w:history="1">
        <w:r w:rsidRPr="00081992">
          <w:rPr>
            <w:rStyle w:val="a5"/>
            <w:rFonts w:ascii="Times New Roman" w:hAnsi="Times New Roman" w:cs="Times New Roman"/>
          </w:rPr>
          <w:t>https://doi.org/10.1787/6b748a4b-en</w:t>
        </w:r>
      </w:hyperlink>
    </w:p>
  </w:footnote>
  <w:footnote w:id="115">
    <w:p w:rsidR="0093678C" w:rsidRPr="00081992" w:rsidRDefault="0093678C" w:rsidP="00C02A16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International Telecommunication Union (ITU). ICT Indicators Database: Individual internet usage, Uzbekistan. 2023. URL: </w:t>
      </w:r>
      <w:hyperlink r:id="rId109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https://datahub.itu.int/</w:t>
        </w:r>
      </w:hyperlink>
    </w:p>
  </w:footnote>
  <w:footnote w:id="116">
    <w:p w:rsidR="0093678C" w:rsidRPr="00081992" w:rsidRDefault="0093678C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r w:rsidRPr="00081992">
        <w:rPr>
          <w:rFonts w:ascii="Times New Roman" w:hAnsi="Times New Roman" w:cs="Times New Roman"/>
          <w:sz w:val="20"/>
          <w:szCs w:val="20"/>
        </w:rPr>
        <w:t xml:space="preserve">IT Park Uzbekistan. Annual Report 2024. 2024. URL: </w:t>
      </w:r>
      <w:hyperlink r:id="rId110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https://it-park.uz/en</w:t>
        </w:r>
      </w:hyperlink>
    </w:p>
  </w:footnote>
  <w:footnote w:id="117">
    <w:p w:rsidR="0093678C" w:rsidRPr="00081992" w:rsidRDefault="0093678C" w:rsidP="00C02A16">
      <w:pPr>
        <w:rPr>
          <w:rFonts w:ascii="Times New Roman" w:hAnsi="Times New Roman" w:cs="Times New Roman"/>
          <w:sz w:val="20"/>
          <w:szCs w:val="20"/>
        </w:rPr>
      </w:pPr>
      <w:r w:rsidRPr="00081992">
        <w:rPr>
          <w:rStyle w:val="a4"/>
          <w:rFonts w:ascii="Times New Roman" w:hAnsi="Times New Roman" w:cs="Times New Roman"/>
          <w:sz w:val="20"/>
          <w:szCs w:val="20"/>
        </w:rPr>
        <w:footnoteRef/>
      </w:r>
      <w:proofErr w:type="spellStart"/>
      <w:r w:rsidRPr="00081992">
        <w:rPr>
          <w:rFonts w:ascii="Times New Roman" w:hAnsi="Times New Roman" w:cs="Times New Roman"/>
          <w:sz w:val="20"/>
          <w:szCs w:val="20"/>
        </w:rPr>
        <w:t>Mastercard</w:t>
      </w:r>
      <w:proofErr w:type="spellEnd"/>
      <w:r w:rsidRPr="00081992">
        <w:rPr>
          <w:rFonts w:ascii="Times New Roman" w:hAnsi="Times New Roman" w:cs="Times New Roman"/>
          <w:sz w:val="20"/>
          <w:szCs w:val="20"/>
        </w:rPr>
        <w:t xml:space="preserve">. Fintech Market Uzbekistan. 2023, cited in: </w:t>
      </w:r>
      <w:proofErr w:type="spellStart"/>
      <w:r w:rsidRPr="00081992">
        <w:rPr>
          <w:rFonts w:ascii="Times New Roman" w:hAnsi="Times New Roman" w:cs="Times New Roman"/>
          <w:sz w:val="20"/>
          <w:szCs w:val="20"/>
        </w:rPr>
        <w:t>FintechNews</w:t>
      </w:r>
      <w:proofErr w:type="spellEnd"/>
      <w:r w:rsidRPr="00081992">
        <w:rPr>
          <w:rFonts w:ascii="Times New Roman" w:hAnsi="Times New Roman" w:cs="Times New Roman"/>
          <w:sz w:val="20"/>
          <w:szCs w:val="20"/>
        </w:rPr>
        <w:t xml:space="preserve"> Switzerland. Fintech on the Rise in Uzbekistan: A Short Overview. 2024. URL: </w:t>
      </w:r>
      <w:hyperlink r:id="rId111" w:tgtFrame="_new" w:history="1">
        <w:r w:rsidRPr="00081992">
          <w:rPr>
            <w:rStyle w:val="a5"/>
            <w:rFonts w:ascii="Times New Roman" w:hAnsi="Times New Roman" w:cs="Times New Roman"/>
            <w:sz w:val="20"/>
            <w:szCs w:val="20"/>
          </w:rPr>
          <w:t>https://fintechnews.ch/fintech/fintech-on-the-rise-in-uzbekistan-a-short-overview/69023/</w:t>
        </w:r>
      </w:hyperlink>
    </w:p>
  </w:footnote>
  <w:footnote w:id="118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en-CA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</w:rPr>
        <w:t xml:space="preserve"> e-Estonia. X-Road: Data Exchange Layer. б. г. URL: </w:t>
      </w:r>
      <w:hyperlink r:id="rId112" w:tgtFrame="_new" w:history="1">
        <w:r w:rsidRPr="00081992">
          <w:rPr>
            <w:rStyle w:val="a5"/>
            <w:rFonts w:ascii="Times New Roman" w:hAnsi="Times New Roman" w:cs="Times New Roman"/>
          </w:rPr>
          <w:t>https://e-estonia.com/solutions/interoperability-services/x-road/</w:t>
        </w:r>
      </w:hyperlink>
    </w:p>
  </w:footnote>
  <w:footnote w:id="119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№ УП-6079 от 5 октября 2020 г. «Об утверждении Стратегии “Цифровой Узбекистан - 2030” и мерах по её эффективной реализации».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113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  <w:footnote w:id="120">
    <w:p w:rsidR="0093678C" w:rsidRPr="00081992" w:rsidRDefault="0093678C" w:rsidP="00C02A16">
      <w:pPr>
        <w:pStyle w:val="a6"/>
        <w:rPr>
          <w:rFonts w:ascii="Times New Roman" w:hAnsi="Times New Roman" w:cs="Times New Roman"/>
          <w:lang w:val="ru-RU"/>
        </w:rPr>
      </w:pPr>
      <w:r w:rsidRPr="00081992">
        <w:rPr>
          <w:rStyle w:val="a4"/>
          <w:rFonts w:ascii="Times New Roman" w:hAnsi="Times New Roman" w:cs="Times New Roman"/>
        </w:rPr>
        <w:footnoteRef/>
      </w:r>
      <w:r w:rsidRPr="00081992">
        <w:rPr>
          <w:rFonts w:ascii="Times New Roman" w:hAnsi="Times New Roman" w:cs="Times New Roman"/>
          <w:lang w:val="ru-RU"/>
        </w:rPr>
        <w:t xml:space="preserve"> Указ Президента Республики Узбекистан от 5 октября 2020 г. № УП-6079 «Об утверждении Стратегии “Цифровой Узбекистан - 2030” и мерах по её эффективной реализации». Национальная база данных законодательства Республики Узбекистан. 2020. </w:t>
      </w:r>
      <w:r w:rsidRPr="00081992">
        <w:rPr>
          <w:rFonts w:ascii="Times New Roman" w:hAnsi="Times New Roman" w:cs="Times New Roman"/>
        </w:rPr>
        <w:t>URL</w:t>
      </w:r>
      <w:r w:rsidRPr="00081992">
        <w:rPr>
          <w:rFonts w:ascii="Times New Roman" w:hAnsi="Times New Roman" w:cs="Times New Roman"/>
          <w:lang w:val="ru-RU"/>
        </w:rPr>
        <w:t xml:space="preserve">: </w:t>
      </w:r>
      <w:hyperlink r:id="rId114" w:history="1">
        <w:r w:rsidRPr="00081992">
          <w:rPr>
            <w:rStyle w:val="a5"/>
            <w:rFonts w:ascii="Times New Roman" w:hAnsi="Times New Roman" w:cs="Times New Roman"/>
          </w:rPr>
          <w:t>https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://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lex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.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uz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proofErr w:type="spellStart"/>
        <w:r w:rsidRPr="00081992">
          <w:rPr>
            <w:rStyle w:val="a5"/>
            <w:rFonts w:ascii="Times New Roman" w:hAnsi="Times New Roman" w:cs="Times New Roman"/>
          </w:rPr>
          <w:t>ru</w:t>
        </w:r>
        <w:proofErr w:type="spellEnd"/>
        <w:r w:rsidRPr="00081992">
          <w:rPr>
            <w:rStyle w:val="a5"/>
            <w:rFonts w:ascii="Times New Roman" w:hAnsi="Times New Roman" w:cs="Times New Roman"/>
            <w:lang w:val="ru-RU"/>
          </w:rPr>
          <w:t>/</w:t>
        </w:r>
        <w:r w:rsidRPr="00081992">
          <w:rPr>
            <w:rStyle w:val="a5"/>
            <w:rFonts w:ascii="Times New Roman" w:hAnsi="Times New Roman" w:cs="Times New Roman"/>
          </w:rPr>
          <w:t>docs</w:t>
        </w:r>
        <w:r w:rsidRPr="00081992">
          <w:rPr>
            <w:rStyle w:val="a5"/>
            <w:rFonts w:ascii="Times New Roman" w:hAnsi="Times New Roman" w:cs="Times New Roman"/>
            <w:lang w:val="ru-RU"/>
          </w:rPr>
          <w:t>/5031048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CF00D5"/>
    <w:multiLevelType w:val="hybridMultilevel"/>
    <w:tmpl w:val="F468ED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677"/>
    <w:rsid w:val="00081992"/>
    <w:rsid w:val="00114EA1"/>
    <w:rsid w:val="001D4A97"/>
    <w:rsid w:val="00390488"/>
    <w:rsid w:val="004B1E76"/>
    <w:rsid w:val="006E5A5E"/>
    <w:rsid w:val="007F6B0F"/>
    <w:rsid w:val="00807BBC"/>
    <w:rsid w:val="0093678C"/>
    <w:rsid w:val="00990EE6"/>
    <w:rsid w:val="009C4BB1"/>
    <w:rsid w:val="00C02A16"/>
    <w:rsid w:val="00C70677"/>
    <w:rsid w:val="00D43AEC"/>
    <w:rsid w:val="00E23D01"/>
    <w:rsid w:val="00E872C1"/>
    <w:rsid w:val="00FB6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124B4"/>
  <w15:chartTrackingRefBased/>
  <w15:docId w15:val="{3F5E550F-EB95-4A64-A445-D070FACA1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2A16"/>
    <w:pPr>
      <w:spacing w:line="278" w:lineRule="auto"/>
    </w:pPr>
    <w:rPr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2A1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C02A16"/>
    <w:rPr>
      <w:rFonts w:eastAsiaTheme="majorEastAsia" w:cstheme="majorBidi"/>
      <w:color w:val="2E74B5" w:themeColor="accent1" w:themeShade="BF"/>
      <w:sz w:val="28"/>
      <w:szCs w:val="28"/>
      <w14:ligatures w14:val="standardContextual"/>
    </w:rPr>
  </w:style>
  <w:style w:type="paragraph" w:styleId="a3">
    <w:name w:val="List Paragraph"/>
    <w:basedOn w:val="a"/>
    <w:uiPriority w:val="34"/>
    <w:qFormat/>
    <w:rsid w:val="00C02A16"/>
    <w:pPr>
      <w:ind w:left="720"/>
      <w:contextualSpacing/>
    </w:pPr>
  </w:style>
  <w:style w:type="character" w:styleId="a4">
    <w:name w:val="footnote reference"/>
    <w:uiPriority w:val="99"/>
    <w:semiHidden/>
    <w:unhideWhenUsed/>
    <w:rsid w:val="00C02A16"/>
    <w:rPr>
      <w:vertAlign w:val="superscript"/>
    </w:rPr>
  </w:style>
  <w:style w:type="character" w:styleId="a5">
    <w:name w:val="Hyperlink"/>
    <w:basedOn w:val="a0"/>
    <w:uiPriority w:val="99"/>
    <w:unhideWhenUsed/>
    <w:rsid w:val="00C02A16"/>
    <w:rPr>
      <w:color w:val="0000FF"/>
      <w:u w:val="single"/>
    </w:rPr>
  </w:style>
  <w:style w:type="paragraph" w:styleId="a6">
    <w:name w:val="footnote text"/>
    <w:basedOn w:val="a"/>
    <w:link w:val="a7"/>
    <w:uiPriority w:val="99"/>
    <w:semiHidden/>
    <w:unhideWhenUsed/>
    <w:rsid w:val="00C02A16"/>
    <w:pPr>
      <w:spacing w:after="0" w:line="240" w:lineRule="auto"/>
    </w:pPr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C02A16"/>
    <w:rPr>
      <w:sz w:val="20"/>
      <w:szCs w:val="20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C02A1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2A16"/>
    <w:rPr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labeco.2023.102330" TargetMode="External"/><Relationship Id="rId21" Type="http://schemas.openxmlformats.org/officeDocument/2006/relationships/hyperlink" Target="https://doi.org/10.1787/6b748a4b-en" TargetMode="External"/><Relationship Id="rId42" Type="http://schemas.openxmlformats.org/officeDocument/2006/relationships/hyperlink" Target="https://keia.org/the-peninsula/the-korean-new-deal/" TargetMode="External"/><Relationship Id="rId47" Type="http://schemas.openxmlformats.org/officeDocument/2006/relationships/hyperlink" Target="https://southeastasiainfra.com/digital-leap-singapores-blueprint-for-smart-nation-2-0/" TargetMode="External"/><Relationship Id="rId63" Type="http://schemas.openxmlformats.org/officeDocument/2006/relationships/hyperlink" Target="http://eng.koreanre.co.kr/webzine/Bulletin_180/bull1.html" TargetMode="External"/><Relationship Id="rId68" Type="http://schemas.openxmlformats.org/officeDocument/2006/relationships/hyperlink" Target="https://www.eria.org/uploads/04_Chapter-3-The-Case-of-Singapore.pdf" TargetMode="External"/><Relationship Id="rId84" Type="http://schemas.openxmlformats.org/officeDocument/2006/relationships/hyperlink" Target="https://oxfordinsights.com/ai-readiness/ai-readiness-index/" TargetMode="External"/><Relationship Id="rId89" Type="http://schemas.openxmlformats.org/officeDocument/2006/relationships/hyperlink" Target="https://www.uzdaily.uz/en/uzbekistans-gdp-amounted-to-us11496-billion-in-2024/" TargetMode="External"/><Relationship Id="rId112" Type="http://schemas.openxmlformats.org/officeDocument/2006/relationships/hyperlink" Target="https://e-estonia.com/solutions/interoperability-services/x-road/?utm_source=chatgpt.com" TargetMode="External"/><Relationship Id="rId2" Type="http://schemas.openxmlformats.org/officeDocument/2006/relationships/hyperlink" Target="https://doi.org/10.1016/j.labeco.2023.102330" TargetMode="External"/><Relationship Id="rId16" Type="http://schemas.openxmlformats.org/officeDocument/2006/relationships/hyperlink" Target="https://doi.org/10.1016/j.labeco.2023.102330" TargetMode="External"/><Relationship Id="rId29" Type="http://schemas.openxmlformats.org/officeDocument/2006/relationships/hyperlink" Target="https://doi.org/10.1787/a1689dc5-en" TargetMode="External"/><Relationship Id="rId107" Type="http://schemas.openxmlformats.org/officeDocument/2006/relationships/hyperlink" Target="https://myid.uz/" TargetMode="External"/><Relationship Id="rId11" Type="http://schemas.openxmlformats.org/officeDocument/2006/relationships/hyperlink" Target="https://ec.europa.eu/eurostat/statistics-explained/index.php?title=Cloud_computing_-_statistics_on_the_use_by_enterprises" TargetMode="External"/><Relationship Id="rId24" Type="http://schemas.openxmlformats.org/officeDocument/2006/relationships/hyperlink" Target="https://doi.org/10.1787/f6d42aa5-en" TargetMode="External"/><Relationship Id="rId32" Type="http://schemas.openxmlformats.org/officeDocument/2006/relationships/hyperlink" Target="https://doi.org/10.1787/5jln0421ld25-en" TargetMode="External"/><Relationship Id="rId37" Type="http://schemas.openxmlformats.org/officeDocument/2006/relationships/hyperlink" Target="https://investinestonia.com/e-residency-brings-record-revenue-in-first-half-of-2025/" TargetMode="External"/><Relationship Id="rId40" Type="http://schemas.openxmlformats.org/officeDocument/2006/relationships/hyperlink" Target="https://www.iea.org/policies/11514-korean-new-deal-digital-new-deal-green-new-deal-and-stronger-safety-net" TargetMode="External"/><Relationship Id="rId45" Type="http://schemas.openxmlformats.org/officeDocument/2006/relationships/hyperlink" Target="https://publicadministration.un.org/egovkb/en-us/Data/Country-Information/id/138-Republic-of-Korea?utm_source=chatgpt.com" TargetMode="External"/><Relationship Id="rId53" Type="http://schemas.openxmlformats.org/officeDocument/2006/relationships/hyperlink" Target="https://en.ain.ua/2023/07/14/poland-digital-ids-equal-traditional-documents/" TargetMode="External"/><Relationship Id="rId58" Type="http://schemas.openxmlformats.org/officeDocument/2006/relationships/hyperlink" Target="https://ec.europa.eu/eurostat/databrowser/view/tec00115/" TargetMode="External"/><Relationship Id="rId66" Type="http://schemas.openxmlformats.org/officeDocument/2006/relationships/hyperlink" Target="https://www.spglobal.com/marketintelligence/en/mi/research-analysis/singapore-economy-continues-on-road-to-recovery-july22.html" TargetMode="External"/><Relationship Id="rId74" Type="http://schemas.openxmlformats.org/officeDocument/2006/relationships/hyperlink" Target="https://ec.europa.eu/eurostat/databrowser/view/tec00115/" TargetMode="External"/><Relationship Id="rId79" Type="http://schemas.openxmlformats.org/officeDocument/2006/relationships/hyperlink" Target="https://lex.uz/ru/docs/5031048" TargetMode="External"/><Relationship Id="rId87" Type="http://schemas.openxmlformats.org/officeDocument/2006/relationships/hyperlink" Target="https://www.theglobaleconomy.com/Uzbekistan/Internet_users/" TargetMode="External"/><Relationship Id="rId102" Type="http://schemas.openxmlformats.org/officeDocument/2006/relationships/hyperlink" Target="https://english.moef.go.kr/" TargetMode="External"/><Relationship Id="rId110" Type="http://schemas.openxmlformats.org/officeDocument/2006/relationships/hyperlink" Target="https://it-park.uz/en" TargetMode="External"/><Relationship Id="rId5" Type="http://schemas.openxmlformats.org/officeDocument/2006/relationships/hyperlink" Target="https://publicadministration.un.org/egovkb/en-us/reports/un-e-government-survey-2024" TargetMode="External"/><Relationship Id="rId61" Type="http://schemas.openxmlformats.org/officeDocument/2006/relationships/hyperlink" Target="https://www.europarl.europa.eu/thinktank/en/document/EPRS_BRI(2022)698886" TargetMode="External"/><Relationship Id="rId82" Type="http://schemas.openxmlformats.org/officeDocument/2006/relationships/hyperlink" Target="https://publicadministration.un.org/egovkb/en-us/Reports/UN-E-Government-Survey-2024" TargetMode="External"/><Relationship Id="rId90" Type="http://schemas.openxmlformats.org/officeDocument/2006/relationships/hyperlink" Target="https://dig.watch/countries/uzbekistan" TargetMode="External"/><Relationship Id="rId95" Type="http://schemas.openxmlformats.org/officeDocument/2006/relationships/hyperlink" Target="https://www.internationaljournal.co.in/index.php/jasass/article/view/4320" TargetMode="External"/><Relationship Id="rId19" Type="http://schemas.openxmlformats.org/officeDocument/2006/relationships/hyperlink" Target="https://doi.org/10.1787/5jrxhgf61q5j-en" TargetMode="External"/><Relationship Id="rId14" Type="http://schemas.openxmlformats.org/officeDocument/2006/relationships/hyperlink" Target="https://doi.org/10.1787/a1689dc5-en" TargetMode="External"/><Relationship Id="rId22" Type="http://schemas.openxmlformats.org/officeDocument/2006/relationships/hyperlink" Target="https://doi.org/10.1787/5jrxhgfqx3mv-en" TargetMode="External"/><Relationship Id="rId27" Type="http://schemas.openxmlformats.org/officeDocument/2006/relationships/hyperlink" Target="https://doi.org/10.1787/a1689dc5-en" TargetMode="External"/><Relationship Id="rId30" Type="http://schemas.openxmlformats.org/officeDocument/2006/relationships/hyperlink" Target="https://unctad.org/webflyer/digital-economy-report-2021" TargetMode="External"/><Relationship Id="rId35" Type="http://schemas.openxmlformats.org/officeDocument/2006/relationships/hyperlink" Target="https://x-road.global/xroad-history" TargetMode="External"/><Relationship Id="rId43" Type="http://schemas.openxmlformats.org/officeDocument/2006/relationships/hyperlink" Target="https://www.prnewswire.com/news-releases/digital-new-deal-secures-future-growth-engine-301346790.html" TargetMode="External"/><Relationship Id="rId48" Type="http://schemas.openxmlformats.org/officeDocument/2006/relationships/hyperlink" Target="https://www.tech.gov.sg/technews/our-enhanced-smart-nation-vision-paving-the-way-for-a-new-digital-era/" TargetMode="External"/><Relationship Id="rId56" Type="http://schemas.openxmlformats.org/officeDocument/2006/relationships/hyperlink" Target="https://doi.org/10.1787/a1689dc5-en" TargetMode="External"/><Relationship Id="rId64" Type="http://schemas.openxmlformats.org/officeDocument/2006/relationships/hyperlink" Target="https://www.bok.or.kr/eng/main/main.do" TargetMode="External"/><Relationship Id="rId69" Type="http://schemas.openxmlformats.org/officeDocument/2006/relationships/hyperlink" Target="https://www.mof.gov.sg/news-resources/newsroom/ministerial-statement-on-overview-of-government-s-strategy-to-emerge-stronger-from-the-covid-19-pandemic/" TargetMode="External"/><Relationship Id="rId77" Type="http://schemas.openxmlformats.org/officeDocument/2006/relationships/hyperlink" Target="https://unctad.org/publication/world-investment-report-2023" TargetMode="External"/><Relationship Id="rId100" Type="http://schemas.openxmlformats.org/officeDocument/2006/relationships/hyperlink" Target="https://www.stat.ee/en/find-statistics/statistics-theme/population" TargetMode="External"/><Relationship Id="rId105" Type="http://schemas.openxmlformats.org/officeDocument/2006/relationships/hyperlink" Target="https://www.ebrd.com/uzbekistan.html" TargetMode="External"/><Relationship Id="rId113" Type="http://schemas.openxmlformats.org/officeDocument/2006/relationships/hyperlink" Target="https://lex.uz/ru/docs/5031048" TargetMode="External"/><Relationship Id="rId8" Type="http://schemas.openxmlformats.org/officeDocument/2006/relationships/hyperlink" Target="https://doi.org/10.1787/data-00037-en" TargetMode="External"/><Relationship Id="rId51" Type="http://schemas.openxmlformats.org/officeDocument/2006/relationships/hyperlink" Target="https://warsawinstitute.org/digital-state-how-poland-became-a-european-leader-in-digitalisation/" TargetMode="External"/><Relationship Id="rId72" Type="http://schemas.openxmlformats.org/officeDocument/2006/relationships/hyperlink" Target="https://www.iea.org/reports/poland-2022/executive-summary" TargetMode="External"/><Relationship Id="rId80" Type="http://schemas.openxmlformats.org/officeDocument/2006/relationships/hyperlink" Target="https://www.uzbekistan.org.ua/en/news/7390-digital-transformation-of-uzbekistan-promotes-regional-integration-in-central-asia.html" TargetMode="External"/><Relationship Id="rId85" Type="http://schemas.openxmlformats.org/officeDocument/2006/relationships/hyperlink" Target="https://dig.watch/countries/uzbekistan" TargetMode="External"/><Relationship Id="rId93" Type="http://schemas.openxmlformats.org/officeDocument/2006/relationships/hyperlink" Target="https://fintechnews.ch/fintech/fintech-on-the-rise-in-uzbekistan-a-short-overview/69023/" TargetMode="External"/><Relationship Id="rId98" Type="http://schemas.openxmlformats.org/officeDocument/2006/relationships/hyperlink" Target="https://e-estonia.com/solutions/interoperability-services/x-road/" TargetMode="External"/><Relationship Id="rId3" Type="http://schemas.openxmlformats.org/officeDocument/2006/relationships/hyperlink" Target="https://lex.uz/ru/docs/5031048" TargetMode="External"/><Relationship Id="rId12" Type="http://schemas.openxmlformats.org/officeDocument/2006/relationships/hyperlink" Target="https://doi.org/10.1787/a1689dc5-en" TargetMode="External"/><Relationship Id="rId17" Type="http://schemas.openxmlformats.org/officeDocument/2006/relationships/hyperlink" Target="https://doi.org/10.1787/5jrxhgf61q5j-en" TargetMode="External"/><Relationship Id="rId25" Type="http://schemas.openxmlformats.org/officeDocument/2006/relationships/hyperlink" Target="https://doi.org/10.1787/f6d42aa5-en" TargetMode="External"/><Relationship Id="rId33" Type="http://schemas.openxmlformats.org/officeDocument/2006/relationships/hyperlink" Target="https://www.educationestonia.org/tiger-leap/" TargetMode="External"/><Relationship Id="rId38" Type="http://schemas.openxmlformats.org/officeDocument/2006/relationships/hyperlink" Target="https://www.baltictimes.com/new_milestone_for_e-residency_with_record_number_of_companies_founded_in_2024/" TargetMode="External"/><Relationship Id="rId46" Type="http://schemas.openxmlformats.org/officeDocument/2006/relationships/hyperlink" Target="https://govinsider.asia/intl-en/article/leaving-no-one-behind-will-determine-success-of-smart-nation-20" TargetMode="External"/><Relationship Id="rId59" Type="http://schemas.openxmlformats.org/officeDocument/2006/relationships/hyperlink" Target="https://thecsruniverse.com/articles/estonia-a-fine-model-of-e-governance-for-the-world" TargetMode="External"/><Relationship Id="rId67" Type="http://schemas.openxmlformats.org/officeDocument/2006/relationships/hyperlink" Target="https://www.eria.org/uploads/04_Chapter-3-The-Case-of-Singapore.pdf" TargetMode="External"/><Relationship Id="rId103" Type="http://schemas.openxmlformats.org/officeDocument/2006/relationships/hyperlink" Target="https://ec.europa.eu/regional_policy/en/atlas/programmes/2014-2020/poland/2014pl16rfop002" TargetMode="External"/><Relationship Id="rId108" Type="http://schemas.openxmlformats.org/officeDocument/2006/relationships/hyperlink" Target="https://doi.org/10.1787/6b748a4b-en" TargetMode="External"/><Relationship Id="rId20" Type="http://schemas.openxmlformats.org/officeDocument/2006/relationships/hyperlink" Target="https://doi.org/10.1787/6b748a4b-en" TargetMode="External"/><Relationship Id="rId41" Type="http://schemas.openxmlformats.org/officeDocument/2006/relationships/hyperlink" Target="https://doi.org/10.3390/su13158493" TargetMode="External"/><Relationship Id="rId54" Type="http://schemas.openxmlformats.org/officeDocument/2006/relationships/hyperlink" Target="https://www.biometricupdate.com/202508/poland-campaigns-to-boost-the-use-of-its-digital-id-platform-mobywatel" TargetMode="External"/><Relationship Id="rId62" Type="http://schemas.openxmlformats.org/officeDocument/2006/relationships/hyperlink" Target="https://eastasiaforum.org/2022/02/04/south-koreas-strong-economic-performance-faces-post-pandemic-challenges/" TargetMode="External"/><Relationship Id="rId70" Type="http://schemas.openxmlformats.org/officeDocument/2006/relationships/hyperlink" Target="https://www.worldbank.org/en/news/press-release/2021/03/31/polish-economy-returns-to-growth-amidst-pandemic-related-setbacks" TargetMode="External"/><Relationship Id="rId75" Type="http://schemas.openxmlformats.org/officeDocument/2006/relationships/hyperlink" Target="https://databank.worldbank.org/source/world-development-indicators" TargetMode="External"/><Relationship Id="rId83" Type="http://schemas.openxmlformats.org/officeDocument/2006/relationships/hyperlink" Target="https://dig.watch/countries/uzbekistan" TargetMode="External"/><Relationship Id="rId88" Type="http://schemas.openxmlformats.org/officeDocument/2006/relationships/hyperlink" Target="https://freedomhouse.org/country/uzbekistan/freedom-net/2024" TargetMode="External"/><Relationship Id="rId91" Type="http://schemas.openxmlformats.org/officeDocument/2006/relationships/hyperlink" Target="https://tadviser.com/index.php/Article:ICT_market_of_Uzbekistan" TargetMode="External"/><Relationship Id="rId96" Type="http://schemas.openxmlformats.org/officeDocument/2006/relationships/hyperlink" Target="https://datahelpdesk.worldbank.org/knowledgebase/articles/906519-world-bank-country-and-lending-groups" TargetMode="External"/><Relationship Id="rId111" Type="http://schemas.openxmlformats.org/officeDocument/2006/relationships/hyperlink" Target="https://fintechnews.ch/fintech/fintech-on-the-rise-in-uzbekistan-a-short-overview/69023/" TargetMode="External"/><Relationship Id="rId1" Type="http://schemas.openxmlformats.org/officeDocument/2006/relationships/hyperlink" Target="https://doi.org/10.1787/6b748a4b-en" TargetMode="External"/><Relationship Id="rId6" Type="http://schemas.openxmlformats.org/officeDocument/2006/relationships/hyperlink" Target="https://databank.worldbank.org/source/world-development-indicators" TargetMode="External"/><Relationship Id="rId15" Type="http://schemas.openxmlformats.org/officeDocument/2006/relationships/hyperlink" Target="https://doi.org/10.1596/978-1-4648-0671-1" TargetMode="External"/><Relationship Id="rId23" Type="http://schemas.openxmlformats.org/officeDocument/2006/relationships/hyperlink" Target="https://doi.org/10.1787/f6d42aa5-en" TargetMode="External"/><Relationship Id="rId28" Type="http://schemas.openxmlformats.org/officeDocument/2006/relationships/hyperlink" Target="https://ec.europa.eu/eurostat/statistics-explained/index.php/E-commerce_statistics_for_individuals" TargetMode="External"/><Relationship Id="rId36" Type="http://schemas.openxmlformats.org/officeDocument/2006/relationships/hyperlink" Target="https://cyber.ee/resources/case-studies/estonian-interoperability-framework-x-road/" TargetMode="External"/><Relationship Id="rId49" Type="http://schemas.openxmlformats.org/officeDocument/2006/relationships/hyperlink" Target="https://opengovasia.com/singapore-milestones-and-momentum-of-a-smart-nation/" TargetMode="External"/><Relationship Id="rId57" Type="http://schemas.openxmlformats.org/officeDocument/2006/relationships/hyperlink" Target="https://www.imda.gov.sg/-/media/imda/files/infocomm-media-landscape/research-and-statistics/sgde-report/singapore-digital-economy-report-2024.pdf" TargetMode="External"/><Relationship Id="rId106" Type="http://schemas.openxmlformats.org/officeDocument/2006/relationships/hyperlink" Target="https://www.singpass.gov.sg/" TargetMode="External"/><Relationship Id="rId114" Type="http://schemas.openxmlformats.org/officeDocument/2006/relationships/hyperlink" Target="https://lex.uz/ru/docs/5031048" TargetMode="External"/><Relationship Id="rId10" Type="http://schemas.openxmlformats.org/officeDocument/2006/relationships/hyperlink" Target="https://doi.org/10.1787/a1689dc5-en" TargetMode="External"/><Relationship Id="rId31" Type="http://schemas.openxmlformats.org/officeDocument/2006/relationships/hyperlink" Target="https://doi.org/10.1787/5jrxhgfqx3mv-en" TargetMode="External"/><Relationship Id="rId44" Type="http://schemas.openxmlformats.org/officeDocument/2006/relationships/hyperlink" Target="https://thediplomat.com/2020/06/south-koreas-digital-new-deal/" TargetMode="External"/><Relationship Id="rId52" Type="http://schemas.openxmlformats.org/officeDocument/2006/relationships/hyperlink" Target="https://digital-strategy.ec.europa.eu/en/policies/digital-connectivity-poland" TargetMode="External"/><Relationship Id="rId60" Type="http://schemas.openxmlformats.org/officeDocument/2006/relationships/hyperlink" Target="https://www.imf.org/en/Publications/WEO/weo-database/2024/April" TargetMode="External"/><Relationship Id="rId65" Type="http://schemas.openxmlformats.org/officeDocument/2006/relationships/hyperlink" Target="https://doi.org/10.3390/su13158493" TargetMode="External"/><Relationship Id="rId73" Type="http://schemas.openxmlformats.org/officeDocument/2006/relationships/hyperlink" Target="https://www.fes.de/en/progressive-fiscal-policy/inflation/what-to-do-about-inflation/what-to-do-about-inflation-poland" TargetMode="External"/><Relationship Id="rId78" Type="http://schemas.openxmlformats.org/officeDocument/2006/relationships/hyperlink" Target="https://doi.org/10.1111/j.1468-0297.2011.02420.x" TargetMode="External"/><Relationship Id="rId81" Type="http://schemas.openxmlformats.org/officeDocument/2006/relationships/hyperlink" Target=":%20https:/www.beyondinvestmentsgroup.com/uzbekistan2023-industryandict" TargetMode="External"/><Relationship Id="rId86" Type="http://schemas.openxmlformats.org/officeDocument/2006/relationships/hyperlink" Target="https://www.worlddata.info/asia/uzbekistan/telecommunication.php" TargetMode="External"/><Relationship Id="rId94" Type="http://schemas.openxmlformats.org/officeDocument/2006/relationships/hyperlink" Target="https://www.mdpi.com/2674-1032/4/4/69" TargetMode="External"/><Relationship Id="rId99" Type="http://schemas.openxmlformats.org/officeDocument/2006/relationships/hyperlink" Target="https://x-road.global/xroad-open-source" TargetMode="External"/><Relationship Id="rId101" Type="http://schemas.openxmlformats.org/officeDocument/2006/relationships/hyperlink" Target="https://stat.uz/en/" TargetMode="External"/><Relationship Id="rId4" Type="http://schemas.openxmlformats.org/officeDocument/2006/relationships/hyperlink" Target="https://doi.org/10.1080/13600810903089893" TargetMode="External"/><Relationship Id="rId9" Type="http://schemas.openxmlformats.org/officeDocument/2006/relationships/hyperlink" Target="https://doi.org/10.1787/a1689dc5-en" TargetMode="External"/><Relationship Id="rId13" Type="http://schemas.openxmlformats.org/officeDocument/2006/relationships/hyperlink" Target="https://doi.org/10.1787/f6d42aa5-en" TargetMode="External"/><Relationship Id="rId18" Type="http://schemas.openxmlformats.org/officeDocument/2006/relationships/hyperlink" Target="https://doi.org/10.1787/5jrxhgf61q5j-en" TargetMode="External"/><Relationship Id="rId39" Type="http://schemas.openxmlformats.org/officeDocument/2006/relationships/hyperlink" Target="https://publicadministration.un.org/egovkb/" TargetMode="External"/><Relationship Id="rId109" Type="http://schemas.openxmlformats.org/officeDocument/2006/relationships/hyperlink" Target="https://datahub.itu.int/" TargetMode="External"/><Relationship Id="rId34" Type="http://schemas.openxmlformats.org/officeDocument/2006/relationships/hyperlink" Target="https://estonianworld.com/technology/estonias-tiger-leap-the-schools-project-that-wired-a-nation-for-the-digital-age/" TargetMode="External"/><Relationship Id="rId50" Type="http://schemas.openxmlformats.org/officeDocument/2006/relationships/hyperlink" Target="https://publicadministration.un.org/egovkb/en-us/Data/Country-Information/id/156-Singapore" TargetMode="External"/><Relationship Id="rId55" Type="http://schemas.openxmlformats.org/officeDocument/2006/relationships/hyperlink" Target="https://www.trade.gov/country-commercial-guides/poland-digital-economy" TargetMode="External"/><Relationship Id="rId76" Type="http://schemas.openxmlformats.org/officeDocument/2006/relationships/hyperlink" Target="https://datahelpdesk.worldbank.org/knowledgebase/articles/906519" TargetMode="External"/><Relationship Id="rId97" Type="http://schemas.openxmlformats.org/officeDocument/2006/relationships/hyperlink" Target="https://unctad.org/publication/world-investment-report-2023" TargetMode="External"/><Relationship Id="rId104" Type="http://schemas.openxmlformats.org/officeDocument/2006/relationships/hyperlink" Target="https://www.adb.org/documents/uzbekistan-country-partnership-strategy-2019-2023" TargetMode="External"/><Relationship Id="rId7" Type="http://schemas.openxmlformats.org/officeDocument/2006/relationships/hyperlink" Target="https://doi.org/10.1787/a1689dc5-en" TargetMode="External"/><Relationship Id="rId71" Type="http://schemas.openxmlformats.org/officeDocument/2006/relationships/hyperlink" Target="https://www.state.gov/reports/2023-investment-climate-statements/poland" TargetMode="External"/><Relationship Id="rId92" Type="http://schemas.openxmlformats.org/officeDocument/2006/relationships/hyperlink" Target="https://interspp.com/index.php/sft/article/download/1696/1293/2524?utm_source=chatgpt.com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az-Cyrl-AZ"/>
              <a:t>Доля ИКТ-сектора в ВВП ОЭСР (%)</a:t>
            </a:r>
          </a:p>
        </c:rich>
      </c:tx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1"/>
        <c:ser>
          <c:idx val="0"/>
          <c:order val="0"/>
          <c:tx>
            <c:strRef>
              <c:f>[Графики_диплом_полный.xlsx]Рис1_ИКТ_доля_ВВП!$B$3</c:f>
              <c:strCache>
                <c:ptCount val="1"/>
                <c:pt idx="0">
                  <c:v>ИКТ-сектор, % ВВП</c:v>
                </c:pt>
              </c:strCache>
            </c:strRef>
          </c:tx>
          <c:marker>
            <c:symbol val="none"/>
          </c:marker>
          <c:dPt>
            <c:idx val="0"/>
            <c:marker>
              <c:symbol val="none"/>
            </c:marker>
            <c:bubble3D val="0"/>
            <c:spPr>
              <a:ln w="31750" cap="rnd">
                <a:solidFill>
                  <a:schemeClr val="accent1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50D2-4555-8FA9-8FC00A1F7BE3}"/>
              </c:ext>
            </c:extLst>
          </c:dPt>
          <c:dPt>
            <c:idx val="1"/>
            <c:marker>
              <c:symbol val="none"/>
            </c:marker>
            <c:bubble3D val="0"/>
            <c:spPr>
              <a:ln w="31750" cap="rnd">
                <a:solidFill>
                  <a:schemeClr val="accent2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50D2-4555-8FA9-8FC00A1F7BE3}"/>
              </c:ext>
            </c:extLst>
          </c:dPt>
          <c:dPt>
            <c:idx val="2"/>
            <c:marker>
              <c:symbol val="none"/>
            </c:marker>
            <c:bubble3D val="0"/>
            <c:spPr>
              <a:ln w="31750" cap="rnd">
                <a:solidFill>
                  <a:schemeClr val="accent3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50D2-4555-8FA9-8FC00A1F7BE3}"/>
              </c:ext>
            </c:extLst>
          </c:dPt>
          <c:dPt>
            <c:idx val="3"/>
            <c:marker>
              <c:symbol val="none"/>
            </c:marker>
            <c:bubble3D val="0"/>
            <c:spPr>
              <a:ln w="31750" cap="rnd">
                <a:solidFill>
                  <a:schemeClr val="accent4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50D2-4555-8FA9-8FC00A1F7BE3}"/>
              </c:ext>
            </c:extLst>
          </c:dPt>
          <c:dPt>
            <c:idx val="4"/>
            <c:marker>
              <c:symbol val="none"/>
            </c:marker>
            <c:bubble3D val="0"/>
            <c:spPr>
              <a:ln w="31750" cap="rnd">
                <a:solidFill>
                  <a:schemeClr val="accent5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50D2-4555-8FA9-8FC00A1F7BE3}"/>
              </c:ext>
            </c:extLst>
          </c:dPt>
          <c:dPt>
            <c:idx val="5"/>
            <c:marker>
              <c:symbol val="none"/>
            </c:marker>
            <c:bubble3D val="0"/>
            <c:spPr>
              <a:ln w="31750" cap="rnd">
                <a:solidFill>
                  <a:schemeClr val="accent6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B-50D2-4555-8FA9-8FC00A1F7BE3}"/>
              </c:ext>
            </c:extLst>
          </c:dPt>
          <c:dPt>
            <c:idx val="6"/>
            <c:marker>
              <c:symbol val="none"/>
            </c:marker>
            <c:bubble3D val="0"/>
            <c:spPr>
              <a:ln w="31750" cap="rnd">
                <a:solidFill>
                  <a:schemeClr val="accent1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D-50D2-4555-8FA9-8FC00A1F7BE3}"/>
              </c:ext>
            </c:extLst>
          </c:dPt>
          <c:dPt>
            <c:idx val="7"/>
            <c:marker>
              <c:symbol val="none"/>
            </c:marker>
            <c:bubble3D val="0"/>
            <c:spPr>
              <a:ln w="31750" cap="rnd">
                <a:solidFill>
                  <a:schemeClr val="accent2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F-50D2-4555-8FA9-8FC00A1F7BE3}"/>
              </c:ext>
            </c:extLst>
          </c:dPt>
          <c:dPt>
            <c:idx val="8"/>
            <c:marker>
              <c:symbol val="none"/>
            </c:marker>
            <c:bubble3D val="0"/>
            <c:spPr>
              <a:ln w="31750" cap="rnd">
                <a:solidFill>
                  <a:schemeClr val="accent3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1-50D2-4555-8FA9-8FC00A1F7BE3}"/>
              </c:ext>
            </c:extLst>
          </c:dPt>
          <c:dPt>
            <c:idx val="9"/>
            <c:marker>
              <c:symbol val="none"/>
            </c:marker>
            <c:bubble3D val="0"/>
            <c:spPr>
              <a:ln w="31750" cap="rnd">
                <a:solidFill>
                  <a:schemeClr val="accent4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3-50D2-4555-8FA9-8FC00A1F7BE3}"/>
              </c:ext>
            </c:extLst>
          </c:dPt>
          <c:dPt>
            <c:idx val="10"/>
            <c:marker>
              <c:symbol val="none"/>
            </c:marker>
            <c:bubble3D val="0"/>
            <c:spPr>
              <a:ln w="31750" cap="rnd">
                <a:solidFill>
                  <a:schemeClr val="accent5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5-50D2-4555-8FA9-8FC00A1F7BE3}"/>
              </c:ext>
            </c:extLst>
          </c:dPt>
          <c:dPt>
            <c:idx val="11"/>
            <c:marker>
              <c:symbol val="none"/>
            </c:marker>
            <c:bubble3D val="0"/>
            <c:spPr>
              <a:ln w="31750" cap="rnd">
                <a:solidFill>
                  <a:schemeClr val="accent6">
                    <a:lumMod val="6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7-50D2-4555-8FA9-8FC00A1F7BE3}"/>
              </c:ext>
            </c:extLst>
          </c:dPt>
          <c:dPt>
            <c:idx val="12"/>
            <c:marker>
              <c:symbol val="none"/>
            </c:marker>
            <c:bubble3D val="0"/>
            <c:spPr>
              <a:ln w="31750" cap="rnd">
                <a:solidFill>
                  <a:schemeClr val="accent1">
                    <a:lumMod val="80000"/>
                    <a:lumOff val="2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9-50D2-4555-8FA9-8FC00A1F7BE3}"/>
              </c:ext>
            </c:extLst>
          </c:dPt>
          <c:dPt>
            <c:idx val="13"/>
            <c:marker>
              <c:symbol val="none"/>
            </c:marker>
            <c:bubble3D val="0"/>
            <c:spPr>
              <a:ln w="31750" cap="rnd">
                <a:solidFill>
                  <a:schemeClr val="accent2">
                    <a:lumMod val="80000"/>
                    <a:lumOff val="2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B-50D2-4555-8FA9-8FC00A1F7BE3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numRef>
              <c:f>[Графики_диплом_полный.xlsx]Рис1_ИКТ_доля_ВВП!$A$4:$A$17</c:f>
              <c:numCache>
                <c:formatCode>General</c:formatCode>
                <c:ptCount val="14"/>
                <c:pt idx="0">
                  <c:v>2010</c:v>
                </c:pt>
                <c:pt idx="1">
                  <c:v>2011</c:v>
                </c:pt>
                <c:pt idx="2">
                  <c:v>2012</c:v>
                </c:pt>
                <c:pt idx="3">
                  <c:v>2013</c:v>
                </c:pt>
                <c:pt idx="4">
                  <c:v>2014</c:v>
                </c:pt>
                <c:pt idx="5">
                  <c:v>2015</c:v>
                </c:pt>
                <c:pt idx="6">
                  <c:v>2016</c:v>
                </c:pt>
                <c:pt idx="7">
                  <c:v>2017</c:v>
                </c:pt>
                <c:pt idx="8">
                  <c:v>2018</c:v>
                </c:pt>
                <c:pt idx="9">
                  <c:v>2019</c:v>
                </c:pt>
                <c:pt idx="10">
                  <c:v>2020</c:v>
                </c:pt>
                <c:pt idx="11">
                  <c:v>2021</c:v>
                </c:pt>
                <c:pt idx="12">
                  <c:v>2022</c:v>
                </c:pt>
                <c:pt idx="13">
                  <c:v>2023</c:v>
                </c:pt>
              </c:numCache>
            </c:numRef>
          </c:cat>
          <c:val>
            <c:numRef>
              <c:f>[Графики_диплом_полный.xlsx]Рис1_ИКТ_доля_ВВП!$B$4:$B$17</c:f>
              <c:numCache>
                <c:formatCode>General</c:formatCode>
                <c:ptCount val="14"/>
                <c:pt idx="0">
                  <c:v>3.9</c:v>
                </c:pt>
                <c:pt idx="1">
                  <c:v>4</c:v>
                </c:pt>
                <c:pt idx="2">
                  <c:v>4.0999999999999996</c:v>
                </c:pt>
                <c:pt idx="3">
                  <c:v>4.2</c:v>
                </c:pt>
                <c:pt idx="4">
                  <c:v>4.3</c:v>
                </c:pt>
                <c:pt idx="5">
                  <c:v>4.5999999999999996</c:v>
                </c:pt>
                <c:pt idx="6">
                  <c:v>4.7</c:v>
                </c:pt>
                <c:pt idx="7">
                  <c:v>4.9000000000000004</c:v>
                </c:pt>
                <c:pt idx="8">
                  <c:v>5.0999999999999996</c:v>
                </c:pt>
                <c:pt idx="9">
                  <c:v>5.4</c:v>
                </c:pt>
                <c:pt idx="10">
                  <c:v>5.6</c:v>
                </c:pt>
                <c:pt idx="11">
                  <c:v>5.8</c:v>
                </c:pt>
                <c:pt idx="12">
                  <c:v>6</c:v>
                </c:pt>
                <c:pt idx="13">
                  <c:v>6.2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1C-50D2-4555-8FA9-8FC00A1F7BE3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"/>
        <c:axId val="100"/>
      </c:line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az-Cyrl-AZ"/>
                  <a:t>Год</a:t>
                </a:r>
              </a:p>
            </c:rich>
          </c:tx>
          <c:layout>
            <c:manualLayout>
              <c:xMode val="edge"/>
              <c:yMode val="edge"/>
              <c:x val="0.49426056425660131"/>
              <c:y val="0.76715650369285238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%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3858497447118892"/>
          <c:y val="0.8437488555209669"/>
          <c:w val="0.71889132020423052"/>
          <c:h val="0.15625114447903315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1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65</Pages>
  <Words>14904</Words>
  <Characters>84959</Characters>
  <Application>Microsoft Office Word</Application>
  <DocSecurity>0</DocSecurity>
  <Lines>707</Lines>
  <Paragraphs>199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99664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Muhammadjon</dc:creator>
  <cp:keywords/>
  <dc:description/>
  <cp:lastModifiedBy>Muhammadjon</cp:lastModifiedBy>
  <cp:revision>9</cp:revision>
  <dcterms:created xsi:type="dcterms:W3CDTF">2026-06-07T09:28:00Z</dcterms:created>
  <dcterms:modified xsi:type="dcterms:W3CDTF">2026-06-07T11:19:00Z</dcterms:modified>
</cp:coreProperties>
</file>