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285" w:rsidRPr="00982091" w:rsidRDefault="00EB0285" w:rsidP="00EB0285">
      <w:pPr>
        <w:widowControl w:val="0"/>
        <w:tabs>
          <w:tab w:val="left" w:pos="3870"/>
        </w:tabs>
        <w:autoSpaceDE w:val="0"/>
        <w:autoSpaceDN w:val="0"/>
        <w:adjustRightInd w:val="0"/>
        <w:spacing w:before="120" w:after="0" w:line="360" w:lineRule="auto"/>
        <w:ind w:right="-1"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bookmarkStart w:id="0" w:name="_Hlk135960941"/>
      <w:bookmarkEnd w:id="0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МИНИСТЕРСТВО ИНОСТРАННЫХ ДЕЛ РЕСПУБЛИКИ УЗБЕКИСТАН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Университет мировой экономики и дипломатии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>Факультет «Международная экономика и менеджмент»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Cs/>
          <w:iCs/>
          <w:color w:val="000000"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 xml:space="preserve">Кафедра </w:t>
      </w:r>
      <w:r w:rsidRPr="00982091">
        <w:rPr>
          <w:rFonts w:ascii="Times New Roman" w:eastAsia="Arial" w:hAnsi="Times New Roman" w:cs="Times New Roman"/>
          <w:bCs/>
          <w:iCs/>
          <w:color w:val="000000"/>
          <w:sz w:val="28"/>
          <w:szCs w:val="28"/>
          <w:lang w:val="ru-RU" w:eastAsia="ru-RU"/>
        </w:rPr>
        <w:t>«Системный анализ и математическое моделирование»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/>
          <w:iCs/>
          <w:color w:val="000000"/>
          <w:sz w:val="28"/>
          <w:szCs w:val="28"/>
          <w:lang w:val="uz-Cyrl-UZ" w:eastAsia="ru-RU"/>
        </w:rPr>
      </w:pP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Уктамов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Мухаммаджон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Уткирович</w:t>
      </w:r>
      <w:proofErr w:type="spellEnd"/>
    </w:p>
    <w:p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</w:p>
    <w:p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Тема: «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Цифровизация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экономики и устойчивость стран к глобальным кризисам: международный опыт»</w:t>
      </w:r>
    </w:p>
    <w:p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</w:p>
    <w:p w:rsidR="00EB0285" w:rsidRPr="00982091" w:rsidRDefault="00EB0285" w:rsidP="00EB0285">
      <w:pPr>
        <w:widowControl w:val="0"/>
        <w:tabs>
          <w:tab w:val="left" w:pos="567"/>
        </w:tabs>
        <w:overflowPunct w:val="0"/>
        <w:autoSpaceDE w:val="0"/>
        <w:autoSpaceDN w:val="0"/>
        <w:adjustRightInd w:val="0"/>
        <w:spacing w:after="0" w:line="360" w:lineRule="auto"/>
        <w:ind w:right="57" w:firstLine="709"/>
        <w:jc w:val="center"/>
        <w:textAlignment w:val="baseline"/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>Выпускная квалификационная работа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sz w:val="28"/>
          <w:szCs w:val="28"/>
          <w:lang w:val="ru-RU" w:eastAsia="ru-RU"/>
        </w:rPr>
        <w:t>для получения степени бакалавра по направлению 60412000 – «Международная экономика и менеджмент» (по регионам и направлениям деятельности)</w:t>
      </w:r>
    </w:p>
    <w:p w:rsidR="00EB0285" w:rsidRPr="00982091" w:rsidRDefault="00EB0285" w:rsidP="00EB0285">
      <w:pPr>
        <w:widowControl w:val="0"/>
        <w:spacing w:before="120" w:after="0" w:line="360" w:lineRule="auto"/>
        <w:ind w:right="-142"/>
        <w:rPr>
          <w:rFonts w:ascii="Times New Roman" w:eastAsia="Arial" w:hAnsi="Times New Roman" w:cs="Times New Roman"/>
          <w:sz w:val="24"/>
          <w:szCs w:val="24"/>
          <w:lang w:val="uz-Cyrl-UZ" w:eastAsia="ru-RU"/>
        </w:rPr>
      </w:pPr>
    </w:p>
    <w:p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sz w:val="24"/>
          <w:szCs w:val="24"/>
          <w:lang w:val="uz-Cyrl-UZ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9"/>
        <w:gridCol w:w="579"/>
        <w:gridCol w:w="579"/>
        <w:gridCol w:w="3878"/>
      </w:tblGrid>
      <w:tr w:rsidR="00EB0285" w:rsidRPr="00982091" w:rsidTr="00286375">
        <w:tc>
          <w:tcPr>
            <w:tcW w:w="4319" w:type="dxa"/>
            <w:hideMark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Работа рассмотрена и рекомендована к защите</w:t>
            </w: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  <w:tr w:rsidR="00EB0285" w:rsidRPr="00982091" w:rsidTr="00286375">
        <w:tc>
          <w:tcPr>
            <w:tcW w:w="4319" w:type="dxa"/>
            <w:hideMark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Научный руководитель:</w:t>
            </w: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доцент 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Умарова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 Ш. Г.</w:t>
            </w: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  <w:t>______________________</w:t>
            </w: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  <w:tr w:rsidR="00EB0285" w:rsidRPr="00982091" w:rsidTr="00286375">
        <w:tc>
          <w:tcPr>
            <w:tcW w:w="4319" w:type="dxa"/>
            <w:hideMark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Зав. кафедрой:</w:t>
            </w: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д. ф.-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м.н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., профессор 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Раимова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 Г.М.</w:t>
            </w: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______________________</w:t>
            </w: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  <w:p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  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</w:t>
            </w: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“____”_________ 2026 г.</w:t>
            </w:r>
          </w:p>
        </w:tc>
      </w:tr>
      <w:tr w:rsidR="00EB0285" w:rsidRPr="00982091" w:rsidTr="00286375">
        <w:tc>
          <w:tcPr>
            <w:tcW w:w="4319" w:type="dxa"/>
            <w:hideMark/>
          </w:tcPr>
          <w:p w:rsidR="00EB0285" w:rsidRPr="00982091" w:rsidRDefault="00EB0285" w:rsidP="00286375">
            <w:pPr>
              <w:widowControl w:val="0"/>
              <w:spacing w:before="120"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  <w:hideMark/>
          </w:tcPr>
          <w:p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</w:tc>
      </w:tr>
    </w:tbl>
    <w:p w:rsidR="00EB0285" w:rsidRPr="00982091" w:rsidRDefault="00EB0285" w:rsidP="00EB0285">
      <w:pPr>
        <w:widowControl w:val="0"/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</w:pPr>
    </w:p>
    <w:p w:rsidR="00EB0285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  <w:sectPr w:rsidR="00EB028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  <w:t>Ташкен</w:t>
      </w:r>
      <w:r w:rsidR="00DC0760"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  <w:t>т</w:t>
      </w:r>
    </w:p>
    <w:sdt>
      <w:sdtPr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ru-RU"/>
          <w14:ligatures w14:val="standardContextual"/>
        </w:rPr>
        <w:id w:val="40480378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sz w:val="22"/>
          <w:szCs w:val="22"/>
        </w:rPr>
      </w:sdtEndPr>
      <w:sdtContent>
        <w:p w:rsidR="00EB0285" w:rsidRPr="00DC0760" w:rsidRDefault="00EB0285" w:rsidP="00EB0285">
          <w:pPr>
            <w:pStyle w:val="ab"/>
            <w:jc w:val="center"/>
            <w:rPr>
              <w:rFonts w:ascii="Times New Roman" w:hAnsi="Times New Roman" w:cs="Times New Roman"/>
              <w:b/>
              <w:color w:val="auto"/>
              <w:sz w:val="26"/>
              <w:szCs w:val="26"/>
              <w:lang w:val="ru-RU"/>
            </w:rPr>
          </w:pPr>
          <w:r w:rsidRPr="00DC0760">
            <w:rPr>
              <w:rFonts w:ascii="Times New Roman" w:hAnsi="Times New Roman" w:cs="Times New Roman"/>
              <w:b/>
              <w:color w:val="auto"/>
              <w:sz w:val="26"/>
              <w:szCs w:val="26"/>
              <w:lang w:val="ru-RU"/>
            </w:rPr>
            <w:t>СОДЕРЖАНИЕ</w:t>
          </w:r>
        </w:p>
        <w:p w:rsidR="00DC0760" w:rsidRPr="00DC0760" w:rsidRDefault="00EB0285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r w:rsidRPr="00DC0760">
            <w:rPr>
              <w:rFonts w:ascii="Times New Roman" w:hAnsi="Times New Roman" w:cs="Times New Roman"/>
              <w:b/>
              <w:sz w:val="26"/>
              <w:szCs w:val="26"/>
            </w:rPr>
            <w:fldChar w:fldCharType="begin"/>
          </w:r>
          <w:r w:rsidRPr="00DC0760">
            <w:rPr>
              <w:rFonts w:ascii="Times New Roman" w:hAnsi="Times New Roman" w:cs="Times New Roman"/>
              <w:b/>
              <w:sz w:val="26"/>
              <w:szCs w:val="26"/>
            </w:rPr>
            <w:instrText xml:space="preserve"> TOC \o "1-3" \h \z \u </w:instrText>
          </w:r>
          <w:r w:rsidRPr="00DC0760">
            <w:rPr>
              <w:rFonts w:ascii="Times New Roman" w:hAnsi="Times New Roman" w:cs="Times New Roman"/>
              <w:b/>
              <w:sz w:val="26"/>
              <w:szCs w:val="26"/>
            </w:rPr>
            <w:fldChar w:fldCharType="separate"/>
          </w:r>
          <w:hyperlink w:anchor="_Toc231804943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ВВЕДЕНИЕ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_Toc231804943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4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ГЛАВА I. ТЕОРЕТИКО-МЕТОДОЛОГИЧЕСКИЕ ОСНОВЫ ЦИФРОВИЗАЦИИ ЭКОНОМИКИ И УСТОЙЧИВОСТИ СТРАН К ГЛОБАЛЬНЫМ КРИЗИСАМ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_Toc231804944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5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1.1. Сущность, содержание и основные направления цифровизации современной экономики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_Toc231804945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6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1.2. Теоретические подходы к категории устойчивости национальных экономик к экзогенным шокам и глобальным кризисам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_Toc231804946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7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1.3. Системные механизмы и каналы влияния цифровых технологий на макроэкономическую стабильность государств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_Toc231804947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8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ГЛАВА II. МЕЖДУНАРОДНЫЙ ОПЫТ ЦИФРОВИЗАЦИИ ЭКОНОМИКИ И ЭКОНОМЕТРИЧЕСКИЙ АНАЛИЗ ЕЁ ВЛИЯНИЯ НА УСТОЙЧИВОСТЬ СТРАН К ГЛОБАЛЬНЫМ КРИЗИСАМ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_Toc231804948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49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2.1. Сравнительный анализ моделей цифровой трансформации стран-лидеров (на примере Эстонии, Республики Корея, Сингапура и Польши)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_Toc231804949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0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2.2. Реакция национальных экономик на глобальные кризисы 2020-2022 годов в контексте уровня цифровой зрелости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_Toc231804950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1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2.3. Эконометрическая оценка влияния цифровизации на устойчивость национальных экономик на основе панельных данных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_Toc231804951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2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 xml:space="preserve">ГЛАВА 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</w:rPr>
              <w:t>III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. ИСПОЛЬЗОВАНИЕ МЕЖДУНАРОДНОГО ОПЫТА ЦИФРОВИЗАЦИИ В УСЛОВИЯХ РЕСПУБЛИКИ УЗБЕКИСТАН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_Toc231804952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3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3.1. Современное состояние цифровой трансформации экономики Узбекистана в рамках Стратегии «Цифровой Узбекистан - 2030»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_Toc231804953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4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3.2. Адаптация международного опыта цифровой трансформации к условиям Республики Узбекистан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_Toc231804954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55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2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5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3.3. Практические рекомендации по укреплению цифровой устойчивости экономики Республики Узбекистан и оценка ожидаемого эффекта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_Toc231804955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60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6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  <w:lang w:val="ru-RU"/>
              </w:rPr>
              <w:t>ЗАКЛЮЧЕНИЕ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_Toc231804956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67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7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6"/>
                <w:szCs w:val="26"/>
              </w:rPr>
              <w:t>СПИСОК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pacing w:val="-4"/>
                <w:sz w:val="26"/>
                <w:szCs w:val="26"/>
              </w:rPr>
              <w:t xml:space="preserve"> 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6"/>
                <w:szCs w:val="26"/>
              </w:rPr>
              <w:t>ИСПОЛЬЗОВАННОЙ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pacing w:val="-4"/>
                <w:sz w:val="26"/>
                <w:szCs w:val="26"/>
              </w:rPr>
              <w:t xml:space="preserve"> </w:t>
            </w:r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6"/>
                <w:szCs w:val="26"/>
              </w:rPr>
              <w:t>ЛИТЕРАТУРЫ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_Toc231804957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70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DC0760" w:rsidRPr="00DC0760" w:rsidRDefault="00BB1BAF">
          <w:pPr>
            <w:pStyle w:val="11"/>
            <w:tabs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14:ligatures w14:val="none"/>
            </w:rPr>
          </w:pPr>
          <w:hyperlink w:anchor="_Toc231804958" w:history="1">
            <w:r w:rsidR="00DC0760" w:rsidRPr="00DC0760">
              <w:rPr>
                <w:rStyle w:val="a5"/>
                <w:rFonts w:ascii="Times New Roman" w:hAnsi="Times New Roman" w:cs="Times New Roman"/>
                <w:b/>
                <w:noProof/>
                <w:sz w:val="26"/>
                <w:szCs w:val="26"/>
              </w:rPr>
              <w:t>ПРИЛОЖЕНИЯ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_Toc231804958 \h </w:instrTex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77</w:t>
            </w:r>
            <w:r w:rsidR="00DC0760" w:rsidRPr="00DC07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EB0285" w:rsidRDefault="00EB0285" w:rsidP="00EB0285">
          <w:r w:rsidRPr="00DC0760"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  <w:fldChar w:fldCharType="end"/>
          </w:r>
        </w:p>
      </w:sdtContent>
    </w:sdt>
    <w:p w:rsidR="00EB0285" w:rsidRDefault="00EB0285" w:rsidP="00EB0285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:rsidR="00C02A16" w:rsidRPr="00C91D9E" w:rsidRDefault="00C02A16" w:rsidP="00C91D9E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231804943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ВВЕДЕНИЕ</w:t>
      </w:r>
      <w:bookmarkEnd w:id="1"/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 темы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BAF" w:rsidRPr="006751BD">
        <w:rPr>
          <w:rFonts w:ascii="Times New Roman" w:hAnsi="Times New Roman" w:cs="Times New Roman"/>
          <w:sz w:val="28"/>
          <w:szCs w:val="28"/>
          <w:lang w:val="ru-RU"/>
        </w:rPr>
        <w:t>Последние десятилетия показали, что национальные экономики становятся всё более зависимыми от внешних шоков, технологических изменений и скорости адаптации государственных институтов.</w:t>
      </w:r>
      <w:r w:rsidR="00BB1B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Три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волны глобальных кризисов - 2008-2009, 2020-2021 и 2022 годов - обнажили одну закономерность, которую сложно игнорировать: одинаковый по силе внешний удар даёт разные траектории восстановления даже у стран со схожим уровнем развития. Одни экономики возвращались к росту достаточно быстро, другие ещё долго несли последствия ш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ока. Классические инструменты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искальная и монетарная политика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объясняют многое, но явно не всё. Так, по оценкам Организации экономического сотрудничества и развития, страны ОЭСР, столкнувшиеся с банковским кризисом в 2008-2009 годах, восстанавливались в среднем около 12 кварталов, тогда как 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>страны без банковского кризиса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около 4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в три раза при сопоставимой макроэкономической политике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достаточно весомый аргумент в пользу того, что уст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ойчивость экономики зависит от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реакцией на шок, но и тем, что было выстроено до него.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 условиях четвёртой промышленной рев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олюции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 всё чаще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сматривается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один из таких структурных факторов. Опыт пандемии 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показал, что развитая цифровая инфраструктура, цифровое государство и онлайн-сервисы позволяют поддерживать непрерывность государственных функций, ускорять фискальную трансмиссию и смягчать падение деловой активности. Но называть эту связь полностью изученной пока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рано. 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Вопрос остается открытым.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научной литературе до сих пор нет достаточно системного объяснения того, через какие конкретно механизмы цифровые технологии влияют на отдельные элементы макроэкономической устойчивости.</w:t>
      </w:r>
    </w:p>
    <w:p w:rsidR="00C02A16" w:rsidRPr="000E5726" w:rsidRDefault="00737AF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7AF8">
        <w:rPr>
          <w:rFonts w:ascii="Times New Roman" w:hAnsi="Times New Roman" w:cs="Times New Roman"/>
          <w:sz w:val="28"/>
          <w:szCs w:val="28"/>
          <w:lang w:val="ru-RU"/>
        </w:rPr>
        <w:t>Для Республики Узбекистан это особенно важно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реализующей программу цифровой трансформации в рамках Стратегии «Цифровой Узбекистан - 2030»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"/>
      </w:r>
      <w:r w:rsidR="00C02A1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национальной экономики здесь важно не просто перенять отдельные решения стран-лидеров, а разобраться - какие именно направления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реально работают на повышение устойчивости к внешним шокам. В отечественной литературе этот вопрос раскрыт слабо, особенно в части связи между количественными показателями цифрового развития и траекториями восстановления в кризисный период 2020-2022 годов. Отсюда и научная, и практическая значимость темы.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Степень изученности проблемы.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Концептуальные основы экономической устойчивости заложены 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проводится принципиальное разграничение между структ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урной уязвимостью экономики и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способностью противостоять шокам. Эмпирические аспекты влияния макроэкономической политики на устойчивость представлены в исследованиях А. Кальдера-Санчес,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других авторов в рамках аналитической программы ОЭСР. Вопросы цифровой трансформации национальных экономик раскрываются в докладах ОЭСР, Всемирного банка и Европейской комиссии, а 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поведение фирм в кризисных условиях - в работах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Ойкономоу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Пьерри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Й.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Тиммера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Пробле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ма в том, что оба направления - устойчивость и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lastRenderedPageBreak/>
        <w:t>цифровизация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большинстве работ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существ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ют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бы параллельно, не пересекаясь.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Комплексного анализа каналов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которые цифровые технологии воздействуют на макроэкономическую устойчивость в условиях глобальных кризисов, пока недостаточно. Этот пробел и стал отправной точкой данной работы.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процесс цифровой трансформации национальных экономик и формирование их устойчивости к глобальным экзогенным шокам.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Предмет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 механизмы и каналы воздействия цифровых технологий на макроэкономическую устойчивость национальных экономик в условиях глобальных кризисов 2020-2022 годов.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 выявить и эмпирически обосновать каналы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к глобальным кризисам, а также разработать рекомендации по адаптации международного опыта цифровой трансформации к условиям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достижения поставленной цели необходимо решить следующие задачи:</w:t>
      </w:r>
    </w:p>
    <w:p w:rsidR="00C02A16" w:rsidRPr="00433F08" w:rsidRDefault="00C02A16" w:rsidP="00737AF8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Раскрыть теоретико-методологические основы </w:t>
      </w:r>
      <w:proofErr w:type="spellStart"/>
      <w:r w:rsidRPr="00433F08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экономики, </w:t>
      </w:r>
      <w:r w:rsidR="00737AF8" w:rsidRPr="00737AF8">
        <w:rPr>
          <w:rFonts w:ascii="Times New Roman" w:hAnsi="Times New Roman" w:cs="Times New Roman"/>
          <w:sz w:val="28"/>
          <w:szCs w:val="28"/>
          <w:lang w:val="ru-RU"/>
        </w:rPr>
        <w:t>выделить её основные направления и разобрать каналы влияния на макроэкономическую устойчивость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Проанализировать теоретические подходы к категории устойчивости национальных экономик к экзогенным шокам и определить её ключевые компоненты.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Провести сравнительный анализ моделей цифровой трансформации Эстонии, Республ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ики Корея, Сингапура и Польши - 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gramStart"/>
      <w:r w:rsidRPr="00433F08">
        <w:rPr>
          <w:rFonts w:ascii="Times New Roman" w:hAnsi="Times New Roman" w:cs="Times New Roman"/>
          <w:sz w:val="28"/>
          <w:szCs w:val="28"/>
          <w:lang w:val="ru-RU"/>
        </w:rPr>
        <w:t>оценить</w:t>
      </w:r>
      <w:proofErr w:type="gram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как каждая из этих экономик реагировала на глобальные кризисы 2020-2022 годов с учётом уровня цифровой зрелости.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Построить эконометрическую модель на основе панельных данных, которая позволит оценить связь между показателями </w:t>
      </w:r>
      <w:proofErr w:type="spellStart"/>
      <w:r w:rsidRPr="00433F08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и индикаторами устойчивости национальных экономик, и интерпретировать полученные результаты.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Оценить текущее состояние цифровой трансформации экономики Узбекистана в рамках С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>2030» и определить, какие элементы международного опыта здесь реально применимы.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Разработат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ь практические рекомендаций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по укреплению цифровой инфраструктуры как фактора антикризисной устойчивости национальной экономики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результаты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систематизированы каналы, через которые цифровые технологии могут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влиять на устойчивость националь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экономик в период глобальных кризисов. В качестве ключевых выделены пять направлений: непрерывность государственн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ых функций, фискальная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трансмис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адаптация частного сектора, сдвиг структуры спроса в пользу цифровых услуг, а также устойчивость информационно-коммуникационного сектора. Отдельно проведён сравнительный анализ моделей цифровой трансформации Эстонии, Республики К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орея, Сингапура и Польши - с уче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том институциональных особенностей каждой страны и того, как они проходили кризисы 2020-2022 годов. На основе панельных данных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построена эконометрическая модель, которая позвол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яет оценить связь между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показати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лями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зрелости и отдельными индикаторами макроэкономической устойчивости.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Эти результаты пригодятся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уточнении стратегических документов цифровой трансформации Республики Узбекистан, включая С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тратегию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2030», 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также при подготовке мер по повышению устойчивости национальной экономики в кризисных условиях. Обобщённый международный опыт и сформулированные рекомендации адресованы прежде всего государственным органам в сфере цифрового развития, а также научным и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образова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тельным органи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зациям работающим </w:t>
      </w:r>
      <w:proofErr w:type="gramStart"/>
      <w:r w:rsidR="00390488">
        <w:rPr>
          <w:rFonts w:ascii="Times New Roman" w:hAnsi="Times New Roman" w:cs="Times New Roman"/>
          <w:sz w:val="28"/>
          <w:szCs w:val="28"/>
          <w:lang w:val="ru-RU"/>
        </w:rPr>
        <w:t>на пересечений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вопросов международной экономики, цифровой трансформации и устойчивого развития.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Методология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Методологической основой рабо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ты выступает системный подход - 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сматриваются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здесь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как взаимосвязанные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характерист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экономики, а не как отдельные явления. В работе используются методы сравнительного анализа, корреляционно-регрессионного моделирования на панельных данных и графической визуализации. Эконометрический анализ выполнен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применением пакета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plm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Эмпирическую базу составляют данные ОЭСР, Международного валютного фонда, Всемирного банка, Европейской комиссии и ООН. В сравнительном анализе используются международные индексы цифровой зрелости, включая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</w:rPr>
        <w:t>Network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Readiness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Digital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Economy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and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Society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 эконометрической модели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доля интернет-пользователей в численности населения по базе 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что обеспечивает сопоставимость данных по выборке из 49 стран за 2010-2024 годы. Также в работе используются нормативно-правовые акты и стратегические документы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Структура работы.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Выпускная квалификационная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х глав, разделённых на девять параграфов, заключения, списка использованных источников и приложений.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первой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«Теоретико-методологические основы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устойчивости стран к глобальным кризисам» раскрываются сущность и основные направления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современной экономики, рассматриваются теоретические подходы к категории устойчивости национальных экономик к экзогенным шокам, а также систематизируются каналы воздействия цифровых технологий на макроэкономическую стабильность.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 второй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«Международный опыт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эконометрический анализ её влияния на устойчивость стран к глобальным кризисам» проводится сравнительный анализ моделей цифровой трансформации Эстонии, Республики Корея, Сингапура и Польши, оценивается реакция этих экономик на глобальные кризисы 2020-2022 годов, а также выполняется эконометрический анализ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на основе панельных данных.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третьей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«Использование международного опыта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Республики Узбекистан» рассматривается текущее состояние цифровой трансформации экономики Узбекистана в рамках С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2030», оцениваются возможности адаптации международног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 xml:space="preserve">о опыта и формулируются </w:t>
      </w:r>
      <w:proofErr w:type="spellStart"/>
      <w:r w:rsidR="00807BBC">
        <w:rPr>
          <w:rFonts w:ascii="Times New Roman" w:hAnsi="Times New Roman" w:cs="Times New Roman"/>
          <w:sz w:val="28"/>
          <w:szCs w:val="28"/>
          <w:lang w:val="ru-RU"/>
        </w:rPr>
        <w:t>практич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ские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рекомендации по укреплению цифровой устойчивости национальной экономики.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заключении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обобщаются основные результаты исследования, формулируются выводы и практические рекомендации.</w:t>
      </w:r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91D9E" w:rsidRPr="000E5726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C91D9E" w:rsidRDefault="00C02A16" w:rsidP="00C91D9E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" w:name="_Toc231804944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ГЛАВА I. ТЕОРЕТИКО-МЕТОДОЛОГИЧЕСКИЕ ОСНОВЫ ЦИФРОВИЗАЦИИ ЭКОНОМИКИ И УСТОЙЧИВОСТИ СТРАН К ГЛОБАЛЬНЫМ КРИЗИСАМ</w:t>
      </w:r>
      <w:bookmarkEnd w:id="2"/>
    </w:p>
    <w:p w:rsidR="00C91D9E" w:rsidRPr="00C91D9E" w:rsidRDefault="00C91D9E" w:rsidP="00C91D9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C91D9E" w:rsidRDefault="00C02A16" w:rsidP="00C91D9E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231804945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1.1. Сущность, содержание и основные направления </w:t>
      </w:r>
      <w:proofErr w:type="spellStart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цифровизации</w:t>
      </w:r>
      <w:proofErr w:type="spellEnd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современной экономики</w:t>
      </w:r>
      <w:bookmarkEnd w:id="3"/>
    </w:p>
    <w:p w:rsidR="00C91D9E" w:rsidRDefault="00C91D9E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Понятие «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экономики» в научной литературе трактуется неоднозначно -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процесс охватывает не только внедрение технологий, но и более глубокие изменения: в экономических связях, управлении и организации хозяйственной деятельности. В аналитических документах Организации экономического сотрудничества и развития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рассматривается одновременно как процесс распространения цифровых технологий и как структурный сдвиг, влияющий на производство, потребление и регулирование экономической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активност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"/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понимается как встраивание цифровых технологий и данных в производственные, обменные и распределительные процессы национальной экономики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результате меняется её отраслевая структура, модели государственного управления и формы взаимодействия экономических агентов.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Важно разграничивать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как широкий процесс и информационно-коммуникационный сектор как её технологическую основу. Согласно классификации ОЭСР, основанной на международном стандарте ISIC Rev.4, ИКТ-сектор включает производство компьютеров, электронных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оптических изделий, телекоммуникации, а также деятельность в области информационных технологий и информацио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"/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цифровая экономика не огран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ичивается только ИКТ-сектором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она охв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атывает и распространение </w:t>
      </w:r>
      <w:proofErr w:type="spellStart"/>
      <w:r w:rsidR="00081992">
        <w:rPr>
          <w:rFonts w:ascii="Times New Roman" w:hAnsi="Times New Roman" w:cs="Times New Roman"/>
          <w:sz w:val="28"/>
          <w:szCs w:val="28"/>
          <w:lang w:val="ru-RU"/>
        </w:rPr>
        <w:t>цифро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тради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ционые</w:t>
      </w:r>
      <w:proofErr w:type="spellEnd"/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 отрасли: промышленность торговлю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финансы и государственное управление. Именно через такое распространение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начинает влиять на более широкие пока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затели национальной экономики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ВВП на душу населения и производительность труда.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Эмпирические данные показы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>вают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 ИКТ-сектор стабильно расте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 быстрее экономики в целом. По оценкам ОЭСР, основанным на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nowcasting</w:t>
      </w:r>
      <w:proofErr w:type="spellEnd"/>
      <w:r w:rsidR="000819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-модели, в течение 2013-2023 годов ИКТ-сектор стран ОЭСР рос примерно в три раза быстрее совокупной экономики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2023 году средний темп роста ИКТ-сектора достиг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7,6%, причем в десяти странах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включая Великобрит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анию, Бельгию, Германию и США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показатель превысил 9%. Доля валовой добавленной стоимости, генерируемой ИКТ-сектором в странах ОЭСР, увеличилась с 3,9% в 2010 году до 5,4% в 2019 году, 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к 2023 году достигла около 6,2%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"/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Динамика доли ИКТ-сектора в валовой добавленной стоимости стран ОЭСР представлена на рисунке 1.1.</w:t>
      </w:r>
      <w:r w:rsidR="00277A7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7A71" w:rsidRPr="00DC0760">
        <w:rPr>
          <w:rFonts w:ascii="Times New Roman" w:hAnsi="Times New Roman" w:cs="Times New Roman"/>
          <w:sz w:val="28"/>
          <w:szCs w:val="28"/>
          <w:lang w:val="ru-RU"/>
        </w:rPr>
        <w:t>Если ИКТ-се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>ктор растёт в три раза быстрее</w:t>
      </w:r>
      <w:r w:rsidR="00277A71" w:rsidRPr="00DC0760">
        <w:rPr>
          <w:rFonts w:ascii="Times New Roman" w:hAnsi="Times New Roman" w:cs="Times New Roman"/>
          <w:sz w:val="28"/>
          <w:szCs w:val="28"/>
          <w:lang w:val="ru-RU"/>
        </w:rPr>
        <w:t xml:space="preserve"> почему это до сих пор не стало главным приоритетом для каждой страны?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 xml:space="preserve"> Вопрос остается открытым.</w:t>
      </w:r>
    </w:p>
    <w:p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353F65" wp14:editId="01CDF065">
            <wp:extent cx="5223510" cy="2621280"/>
            <wp:effectExtent l="0" t="0" r="15240" b="762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Рисунок 1.1. Динамика доли ИКТ-сектора в валовой добавленной стоимости стран ОЭСР, 2010-2023 гг., %</w:t>
      </w:r>
    </w:p>
    <w:p w:rsidR="00C02A16" w:rsidRPr="00A4607E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Источник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: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составлено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автором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данным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OECD Digital Economy Outlook 2024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OECD STAN Industrial Analysis Database.</w:t>
      </w:r>
    </w:p>
    <w:p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Измерить цифровую экономику в едином показателе достаточно сложно - она включает и самостоятельный ИКТ-сектор, и цифровые технологии в других отраслях. До формирования единого монетарного показателя цифровой экономики международные сравнения чаще опираются на промежуточные индикаторы: долю ИКТ-сектора в ВВП, уровень проникновения цифровых технологий среди населения и предприятий, а также композит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ные индексы цифровой зрелости - 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Society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x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 сравнительном и эконометрическом анализе лучше использовать несколько взаимодополняющих индикаторов, а не один универсальный. Это позволяет точнее отразить разные стороны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и не упрощать исследуемый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проце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сверх меры.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можно раскрыть через несколько основных направлений, каждое из которых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 своему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на развитие национальной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экономики. На основе аналитических докуме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нтов ОЭСР и Европейской комиссий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выделяются пять таких направлений, представленных на рисунке 1.2.</w:t>
      </w:r>
    </w:p>
    <w:p w:rsidR="00C02A16" w:rsidRPr="00A4607E" w:rsidRDefault="00EB0285" w:rsidP="00EB0285">
      <w:r>
        <w:rPr>
          <w:noProof/>
          <w14:ligatures w14:val="none"/>
        </w:rPr>
        <w:drawing>
          <wp:inline distT="0" distB="0" distL="0" distR="0" wp14:anchorId="548BF8FB" wp14:editId="18DB880F">
            <wp:extent cx="6151397" cy="4285859"/>
            <wp:effectExtent l="0" t="0" r="190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397" cy="42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1.2 - Основные направления </w:t>
      </w:r>
      <w:proofErr w:type="spellStart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цифровизации</w:t>
      </w:r>
      <w:proofErr w:type="spellEnd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экономики</w:t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составлено автором на основе OECD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Digital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Economy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Outlook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2024 и аналитических материалов Европейской комиссии.</w:t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:rsidR="00C02A16" w:rsidRPr="000E5726" w:rsidRDefault="00FB6BE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Первое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развитие цифровой инфраструкт</w:t>
      </w:r>
      <w:r>
        <w:rPr>
          <w:rFonts w:ascii="Times New Roman" w:hAnsi="Times New Roman" w:cs="Times New Roman"/>
          <w:sz w:val="28"/>
          <w:szCs w:val="28"/>
          <w:lang w:val="ru-RU"/>
        </w:rPr>
        <w:t>уры. Речь иде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 о совокупности сетей фиксированной и мобильной связи, центров обработки данных, спутниковых систем, а также инфраструктуры цифровой идентиф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икации и обмена данными.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Расшири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ние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сетей 5G, развитие беспроводных технологий нового поколения и интеграция наземной и спутниковой связи формируют физическую основу цифровой экономики, без которой невозможна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других направлений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инфраструктура создаёт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мультпликативный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эффект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она стимулирует электронную коммерцию, удалённую занятость и цифровые государственные сервисы.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Второе направление - распространение цифровых технологий среди предприятий. Речь идёт об использовании в бизнес-секторе облачных вычислений, интернета вещей, аналитики больши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х данных и искусственного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интел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екта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По данным ОЭСР за 2023 год, в среднем по странам ОЭСР облачными вычислениями пользов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ались 49% предприятий,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технолог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ями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вещей - 2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7%, аналитикой больших данных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14% по данным за 2022 год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, а искусственным интеллектом - 8%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Цифры показывают очевидное: более доступные и уже освоенные технологии внедряются быстрее, тогда как сложные решения требуют серьёзной организационной, кадровой и технологической подготовки. Исследования ОЭСР также показывают, что облачные вы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числения распространяются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приме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три раза быстрее аналитики больших данных: переход доли предприятий-пользователей с 5% до 50% занимает около 12 лет для облачных технологий и около 36 л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ет для аналитики больших данных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3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D43AEC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Третье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государственного управления. Она включает развитие систем электронной идентификации, межведомственного обмена данными и цифровых услуг для граждан и бизнеса. Цифровое государство важ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не только как часть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технологческого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развития 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кризисных условиях оно помогает сохранять выполнение ключевых государственных функций, что напрямую влияет на устойчивость экономики.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адаптации государства и бизнеса в период пандемии COVID-19. Это подтверждается примерами Вьетнама, Казахстана и Швейцарии, где цифровые 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экстренной поддержки населения и быстрого предоста</w:t>
      </w:r>
      <w:r>
        <w:rPr>
          <w:rFonts w:ascii="Times New Roman" w:hAnsi="Times New Roman" w:cs="Times New Roman"/>
          <w:sz w:val="28"/>
          <w:szCs w:val="28"/>
          <w:lang w:val="ru-RU"/>
        </w:rPr>
        <w:t>вления государственных кредитов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4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Четвёртое направление -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системы. Сюда входят электронные платежи, цифровой банкинг, финансовые технологии и цифровая идентификация. Для макроэкономической устойчивости цифровые финансы важны по двум причи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нам: они расширяют доступ к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лик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идности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сн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ижают транзакционные издержки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особенно когда физические каналы финансового обс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луживания ограничены. </w:t>
      </w:r>
      <w:proofErr w:type="gramStart"/>
      <w:r w:rsidR="00D43AEC">
        <w:rPr>
          <w:rFonts w:ascii="Times New Roman" w:hAnsi="Times New Roman" w:cs="Times New Roman"/>
          <w:sz w:val="28"/>
          <w:szCs w:val="28"/>
          <w:lang w:val="ru-RU"/>
        </w:rPr>
        <w:t>Кроме того</w:t>
      </w:r>
      <w:proofErr w:type="gram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цифровые платёжные системы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силивают фискальную трансмиссию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государственная поддержка доходит до конечных получателей быстрее и с меньши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ми административными затратами.</w:t>
      </w:r>
    </w:p>
    <w:p w:rsidR="00C02A16" w:rsidRPr="000E5726" w:rsidRDefault="00D43AEC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Пятое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работы с данными. По мере тог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как данные становятся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самостое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тельным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экономическим ресурсом, государства выстраивают правила их сбора, хранения, обмена и использования, а также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разрабатывают национальные стратегии управления данными. ОЭСР подчёркивает, что доступ к данным определяет возможности применения искусственного интеллекта и продвинутой аналитики, поэтому становится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5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050ED2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ED2">
        <w:rPr>
          <w:rFonts w:ascii="Times New Roman" w:hAnsi="Times New Roman" w:cs="Times New Roman"/>
          <w:sz w:val="28"/>
          <w:szCs w:val="28"/>
          <w:lang w:val="ru-RU"/>
        </w:rPr>
        <w:t>Все пять напр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авлений работают только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вместе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 порознь эффект гораздо слабее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. Цифровая инфраструктура создаёт основу для внедрения технологий в бизнесе, цифровое государство снижает административные и транзакционные издержки, а цифровые финансы и работа с данными помогают экономике быстрее реагировать на внешние шоки. Именно такая взаимосвязь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цифровую экономику не как набор отдельных технологий, а как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систему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которая влияет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на развитие и устойчивость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нациа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нальной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в целом.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проявляется на разных уровнях. На макроуровне оно связано с ростом производительности труда, сокращением транзакционных издержек и расширением международной торговли услугами - всё это в итоге может отражаться на динамике ВВП на душу населения. Всемирный банк фиксирует положительную связь между уровнем проникновения цифровых технологий и темпами экономического роста, особенно в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странах с переходной экономикой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6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микроуровне исследования предприятий показывают, что более высокий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фирм связан с их способностью сохранять выпуск и занятость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экономических шоков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7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связать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цию</w:t>
      </w:r>
      <w:proofErr w:type="spell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с экономическим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н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о и с устойчивостью экономики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подробнее рассматривается в следующем параграфе.</w:t>
      </w:r>
    </w:p>
    <w:p w:rsidR="00C02A1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перечисленные тенденции,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сама по себе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не гарантирует экономических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примуществ</w:t>
      </w:r>
      <w:proofErr w:type="spellEnd"/>
      <w:r w:rsidR="00D43AEC">
        <w:rPr>
          <w:rFonts w:ascii="Times New Roman" w:hAnsi="Times New Roman" w:cs="Times New Roman"/>
          <w:sz w:val="28"/>
          <w:szCs w:val="28"/>
          <w:lang w:val="ru-RU"/>
        </w:rPr>
        <w:t>.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зависит от качества институтов, эффективности государственного управления, уровня человеческого капитала и объёма сопутствующих инвестиций. Поэтому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не только как технологический процесс, но и как фактор который при определённых условиях может усиливать макроэкономическую устойчивость. Этот аспект подробнее раск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рывается в следующем параграфе.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0760" w:rsidRPr="00DC0760">
        <w:rPr>
          <w:rFonts w:ascii="Times New Roman" w:hAnsi="Times New Roman" w:cs="Times New Roman"/>
          <w:sz w:val="28"/>
          <w:szCs w:val="28"/>
          <w:lang w:val="ru-RU"/>
        </w:rPr>
        <w:t xml:space="preserve">Но можно ли вообще измерить устойчивость </w:t>
      </w:r>
      <w:proofErr w:type="gramStart"/>
      <w:r w:rsidR="00DC0760" w:rsidRPr="00DC0760">
        <w:rPr>
          <w:rFonts w:ascii="Times New Roman" w:hAnsi="Times New Roman" w:cs="Times New Roman"/>
          <w:sz w:val="28"/>
          <w:szCs w:val="28"/>
          <w:lang w:val="ru-RU"/>
        </w:rPr>
        <w:t>до того как</w:t>
      </w:r>
      <w:proofErr w:type="gramEnd"/>
      <w:r w:rsidR="00DC0760" w:rsidRPr="00DC0760">
        <w:rPr>
          <w:rFonts w:ascii="Times New Roman" w:hAnsi="Times New Roman" w:cs="Times New Roman"/>
          <w:sz w:val="28"/>
          <w:szCs w:val="28"/>
          <w:lang w:val="ru-RU"/>
        </w:rPr>
        <w:t xml:space="preserve"> кризис случился?</w:t>
      </w:r>
    </w:p>
    <w:p w:rsidR="00D43AEC" w:rsidRPr="000E5726" w:rsidRDefault="00D43AEC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" w:name="_Toc231804946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1.2. Теоретические подходы к категории устойчивости национальных экономик к экзогенным шокам и глобальным кризисам</w:t>
      </w:r>
      <w:bookmarkEnd w:id="4"/>
    </w:p>
    <w:p w:rsidR="00D43AEC" w:rsidRPr="000E5726" w:rsidRDefault="00D43AEC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Категория «устойчивость» 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resilience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) применительно к национальной экономике стала активно использоватьс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я в последние два десятилетия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когда стало очевидно, что одних показателей макроэкономической стабильности недо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статочно для оценки спосо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бности экономики выдерживать внешние шоки и восстанавливаться после них. В подходе ОЭСР экономическая устойчивость рассматривается как способность экономики снижать уязвимость, противо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стоять шокам и быстро возвращать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ся к траектории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восстановления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8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рассматривается через различие между двумя категориями: уязвимостью и устойчивостью. Уязвимость отражает структурную подверженность экономики внешним шокам, тогда как устойчивость связана со способностью экономической политики смягчать последствия таких шоков или ускорять восстановлен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ие. В этом подходе уязвимость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более постоянная характеристика экономики, а устойчивость зависит от решений государства, качества институтов и поведения частных экономических агентов. На основе такого разграничения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предложил типологическую матрицу, в которой страны классифицируются по сочетанию уровня структурной уязвимости и способности экономики противостоять внешним шокам. Эта типология показывает, что даже страны с высокой уязвимостью могут достигать устойчивых результатов - при наличии эффективной экономической политики и развитых институтов. Эмпирическая проверка модели на выборке из 86 стран подтвердила положительную связь между ВВП на душу населения и уровнем устойчивости, а также отрицательную - между ВВП и уровнем уязвимости. Композитный индекс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экономической устойчивости, предложенный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соавторами, включает четыре ключевые компоненты: макроэкономическую стабильность, микроэкономическую рыночную эффективность, качество государственного у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правления и социальное развитие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9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Такой подход позволяет рассматривать устойчивость не только как теоретическую категорию, но и как измеримый показатель пригодный для сравнительного 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 эконометрического анализа.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Параллельно с подходом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исследованиях ОЭСР устойчивость рассматривается через три взаимосвязанные функции экономической политики: предотвращение накопления уязвимостей, ограничение глубины шока и ускорение восстановл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А. Кальдера-Санчес,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Расмуссена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на устойчивость влияют разные направления макроэкономической и структурной политики - фискальная, денежно-кредитная, финансовая и трудовая. Ключевая идея здесь в том, что одни и те же меры могут одновременно снижать уязвимость экономики, смягчать последствия кризиса и ускорять восстановление. Но между этими задачами нередко возникают компромиссы - и это требует более сбалансированного подхода к политике.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Согласно оценкам ОЭСР, меры экономической политики могут иметь неоднозначный эффект: например, фискальные резервы расширяют возможности стимулирования в период спада, тогда как жёсткое регулирование рынка труда может смягчать первоначальный удар по занятости, но замедлять последующее 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осстановление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экономики зависит поэтому не только от набора антикризисных инструментов, но и от того насколько политика учитывает возможные компромиссы между смягчением кризисного удара и скорост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ью последующего восстановления.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Эмпирическое направление теории устойчивости получило развитие в исследовании Кальдера-Санчес, 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Серра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Гори,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были рассмотрены серьёзные рецессии и финансовые кризисы в 100 странах за период 1970-2014 годов. В этой работе серьёзная рецессия определяется как существенное снижение ВВП на душу населения, превышающее медианный уровень по выборке. Глобальный финансовый кризис 2008-2009 годов был определён как один из наиболее распространённых и дорогостоящих кризисных эпизодов, поскольку в ряде развитых экономик п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отери выпуска превысили 10%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2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Важным 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указанного исследования является вывод о том, что продолжительность рецессий зависит от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вовлечённости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банковского сектора: в странах ОЭСР, столкнувшихся с банковским кризисом, средний интервал «пик - дно» составил около 12 кварталов, тогда как в ст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ранах без банковского кризиса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около 4 кварталов, а в отдельных стран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ах вне ОЭСР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около 3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Разница трехкратная.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Ины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 xml:space="preserve">ми словами, финансовая </w:t>
      </w:r>
      <w:proofErr w:type="spellStart"/>
      <w:r w:rsidR="00BA5274">
        <w:rPr>
          <w:rFonts w:ascii="Times New Roman" w:hAnsi="Times New Roman" w:cs="Times New Roman"/>
          <w:sz w:val="28"/>
          <w:szCs w:val="28"/>
          <w:lang w:val="ru-RU"/>
        </w:rPr>
        <w:t>составля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щая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кризиса способна заметно у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длинять период восстановления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это нужно учитывать при раз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работке антикризисной политики.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теории устойчивости важное место занимают индикаторы раннего предупреждения. Согласно методологии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 наиболее информативным относятся рост частного кредитования, отклонения цен на жильё от долгосрочного тренда, дисбалансы текущего счёта и глобаль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ные показатели кредитного цикла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исследования такой подход важен тем, что показывает: устойчивость экономики можно оценивать через сист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ему 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количественных показателей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которые затем используются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ном</w:t>
      </w:r>
      <w:proofErr w:type="gram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и эконометрическом анализе.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Современное понимание экономической устойчивости постепенно расширяется за счёт включения цифровых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техно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логических факторов. Если в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сическом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подходе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объяснялась через макр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оэкономические,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институциа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нальные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социальные переменные, то после пандемии COVID-19 всё большее значение стали получать показатели цифровой готовности.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связями, системой здравоохранения, социальной защитой, финансовой систем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ой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государственными финансами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природа современны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х кризисов изменилась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пандемия 2020 года выявила значимость цифровой инфраструктуры как одного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з инструментов смягчения шока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наряду с фиска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льными и финансовыми резервами.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 учётом рассмотренных подходов устойчивость национальной экономики можно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понимать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многомерную категорию, объединяющую макроэкономическую стабильность, рыночную эффективность, качество государственного управления, социальное развитие и цифровую готовность. Она может быть выражена через систему композитных индексов и проверена с пом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ощью эконометрических моделей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что позволяет использовать эту категорию не только в теоретическом, но и в сравнительно-аналитическом смысле. При этом важно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учитывать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устойчивость зависит не только от структурных характеристик экономики, но и от качества проводимой политики. Поэтому в следующем параграфе рассматриваются конкретные каналы влияния цифровых технологий на устойчивость национальных экономик.</w:t>
      </w:r>
      <w:r w:rsidR="00F853EF" w:rsidRPr="00F853EF"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>12 кварталов против 4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вот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реальная цена банковского кризиса. Три лишних года восстановления.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proofErr w:type="gramStart"/>
      <w:r w:rsidR="00F853EF">
        <w:rPr>
          <w:rFonts w:ascii="Times New Roman" w:hAnsi="Times New Roman" w:cs="Times New Roman"/>
          <w:sz w:val="28"/>
          <w:szCs w:val="28"/>
          <w:lang w:val="ru-RU"/>
        </w:rPr>
        <w:t>не абстрактная статистика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потерянные рабочие места, замороженные инвестиции, снизившиеся доходы.</w:t>
      </w:r>
    </w:p>
    <w:p w:rsidR="007F6B0F" w:rsidRPr="000E5726" w:rsidRDefault="007F6B0F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5" w:name="_Toc231804947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1.3. Системные механизмы и каналы влияния цифровых технологий на макроэкономическую стабильность государств</w:t>
      </w:r>
      <w:bookmarkEnd w:id="5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национальных экономик, рассмотренная в предыдущих параграфах, требует более конкретного раскрытия через отдельные каналы воздействия. Для этого исследован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ия такая систематизация важна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она помогает объяснить каким образом цифровые технологии могут влиять на макроэкономическую устойчивость, а также обосновывает дальнейший выбор переменных для эконометрического анализа. В работе выделяются пять основных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национальной экономики: непрерывность государственных функций, фискальная трансмиссия, адаптация частного сектора, диверсификация конечного спроса и устойчивость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оно-коммуникацион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сектора.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канал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непрерывности государственных функций в условиях внешних шоков. Цифровое государство, включающее электронную идентификацию, межведомственный обмен данными и онлайн-сервисы для граждан и бизнеса, помогает сохранять работу государственных институтов даже при ограничении физического взаимодействия.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даптации бизнеса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государственого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сектора в период пандемий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COVID-19. Этот канал подтверждается примерами Вьетнама, Швейцарии и Марокко, где цифровые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быстрого предоставления кредитов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и адресной поддержки населения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Второй канал связан с повышением эффективности фискальной трансмиссии. Цифровые платёжные системы,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получателям. В докладе ОЭСР 2020 года подчёркивается,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налоговых, социальны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х и иных государственных систем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макроэкономической точки зрения этот канал уменьшает временные лаги и административные изде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ржки при распределении </w:t>
      </w:r>
      <w:proofErr w:type="gramStart"/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средств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чему государственные расходы быстрее дают стабилизирующий эффект.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Третий канал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адаптация частного сектора к шокам за счёт цифровых технологий. Эмпирические исследования на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микроданных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показывают,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енее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цифровизированными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фирмами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объясняется тем, что цифровые решения облегчают переход на уда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лённую работу, развитие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электр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ной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коммерции и более гибкую организацию производственных и логистических процессов. По оценкам ОЭСР, в 2023 году облачными вычислениями пользовались в среднем 49% предприятий стран ОЭСР, что создавало технологическую основу для быстрой адаптации б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изнеса к кризисным ограничениям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Четвёртый канал связан с изменением структуры конечного спроса в пользу цифровых услуг и электронной коммерции. Во время пандемии COVID-19 ограничения физической мобильности ускорили переход потребителей к онлай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н-каналам торговли, связи и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поло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услуг. Так, в 2020 году розничные онлайн-продажи в Европейском союзе и США заметно выросли, а спрос на широкополосную связь у отдельн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ых операторов увеличился до 60%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оценкам исследователей, пандемия продвинула долгосрочный тренд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потребительских рынков примерно на 2,5 года вперёд относи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тельно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допандемийной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точки зрения экономической устойчивости это означает, что цифровые каналы частично сохраняют потребление даже тогда, когда физические форматы торговли и услуг ограничены. Поэтому развитие электронной коммерции и онлайн-сервисов может смягчать последствия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шоков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связанных с ограничением мобильности.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Пятый канал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информационно-коммуникационного сектора как отдельного элемента национальной экономики. Согласно данным ОЭСР, в 2020 году средний темп роста ИКТ-сектора в странах ОЭСР составил 6,6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%, а к 2021 году эффект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пандемии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ного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в большинстве стран данного сектора у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же практически не прослеживался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ИКТ-сектор в кризисных условиях оказыва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ется устойчивее многих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традицио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отраслей. Его значение проявляется в двух аспектах: во-первых, более высокая доля ИКТ-сектора в экономике создаёт дополнительную опору для совокупного выпуска; во-вторых, этот сектор обеспечивает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другие отрасли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цифровыми решениями которые повышают их способнос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ть к адаптации.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Исследования ОЭСР показывают, что среди ранних индикаторов серьёзных рецессий особое значение имеют показатели кредитного цикла, отклонения цен на жильё от долгосрочного тренда и ди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сбалансы счёта текущих операций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Для нашей </w:t>
      </w:r>
      <w:proofErr w:type="gramStart"/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работы это</w:t>
      </w:r>
      <w:proofErr w:type="gramEnd"/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 важно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фискальной системы может повышать не только скорость антикризисного реагирования, но и качество раннего выявления макроэкономических дисбалансов - за счёт объединения и анализа данных в режиме близком к реальному времени.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Вопрос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финансового сектора следует рассматривать двойственно: с одной стороны, она ускоряет фискальную и фи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нансовую трансмиссию, с другой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при слабом регулировании может усиливать ра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спространение финансовых рисков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развитие цифровых финансов должно сочета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ться с надёжным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макра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пруденциальным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регулированием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постоянным контролем устойчивости финансовой системы.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Системная связь между перечисленными каналами проявляется в том, что они усиливают друг друга. Развитая цифровая инфраструктура создаёт условия для непрерывности государственных функций и более эффективной фискальной трансмиссии;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 и финансовых механизмов повышает адаптивность частного сектора; а расширение цифровых услуг поддерживает развитие самого ИКТ-сектора.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связанная с цифровыми технологиями формируется не как простая сумма отдельных эффектов, а как результат взаимодействия нескольких каналов. Именно поэтому страны с более высоким уровнем цифровой трансформации могут показывать более устойчивые траектории 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условиях глобальных кризисов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рассматривается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 точки зрения эконометрического моделирования выделенные каналы позволяют обосновать выбор количественных индикаторов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устойчивости национальных экономик. Теоретически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может отражаться через показатели цифровой инфраструктуры, электронного правительства, развития ИКТ-сектора и распространения цифровых технологий среди предприятий. Однако в этой работе, с учётом доступности сопоставимых данных по широкой выборке стран,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выбрана доля интернет-пользователей в численности населения. В качестве зависимой переменной используется натуральный логарифм ВВП на душу населения. В модель также включаются валовое накопление основного капитала, инфляция, безработица, эксп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орт высокотехнологичной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продукц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кризисные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-переменные 2020 и 2022 годов, а также взаимодействия показателя интернет-проникновения с кризисными периода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ми. Такой подход связывает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теор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тические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положения первой главы с эконометрическим анализом второй.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Цифровые технологии влияют на макроэкономическую устойчивость не через один универсальный механизм, а через систему взаимосвязанных каналов. Они охватывают государственное управление, фискальную трансмиссию, адаптацию частного сектора, структуру конечного спроса и устойчивость ИКТ-сектора. Совместное дейс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твие этих каналов дополняет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ческое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понимание устойчивости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то, что представ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лено в работах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ОЭСР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самостоятельный фактор повышения адаптивности национальных экономик. Эмпирическая проверка этой связи и сравнительный анализ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траекторий в условиях глобальных кризисов представлены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F853E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Выводы по первой главе. Первая глава дала несколько результатов которые определяют логику даль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нейшего анализа.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не просто технологический сдвиг: она меняет саму архитектуру экономической адаптации, влияя на то как государство функционирует в кризис, как бизнес перестраивается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как передаётся фискальная поддержка. Подходы ОЭСР, Всемирного банка, Европейской комиссии и исследователей экономической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устойчивости сходятся в одном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не возникает в момент шока, она либо уже есть в экономике, либо её нет. Пять каналов, систематизированных в этой главе - непрерывность государственных функций, эффективность фискальной трансмиссии, ад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аптация частного сектора,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диверсс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ификация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конечного спро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са и устойчивость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ИКТ-сектора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классификация. Каждый из них представляет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конкретный механизм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который уровень цифровой зрелости страны либо смягчает удар кризиса, либо нет. </w:t>
      </w:r>
      <w:r w:rsidR="00277A71" w:rsidRPr="00277A71">
        <w:rPr>
          <w:rFonts w:ascii="Times New Roman" w:hAnsi="Times New Roman" w:cs="Times New Roman"/>
          <w:sz w:val="28"/>
          <w:szCs w:val="28"/>
          <w:lang w:val="ru-RU"/>
        </w:rPr>
        <w:t>Какой из пяти канал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>ов важнее остальных</w:t>
      </w:r>
      <w:r w:rsidR="00277A71" w:rsidRPr="00277A71">
        <w:rPr>
          <w:rFonts w:ascii="Times New Roman" w:hAnsi="Times New Roman" w:cs="Times New Roman"/>
          <w:sz w:val="28"/>
          <w:szCs w:val="28"/>
          <w:lang w:val="ru-RU"/>
        </w:rPr>
        <w:t xml:space="preserve"> или они все одинаково необходимы?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Именно поэтому следующий шаг - не дальнейшая теория, а сравнение реальных стран и эконометрика.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Переходим к делу.</w:t>
      </w:r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>
        <w:rPr>
          <w:rFonts w:ascii="Times New Roman" w:hAnsi="Times New Roman" w:cs="Times New Roman"/>
          <w:sz w:val="28"/>
          <w:szCs w:val="28"/>
        </w:rPr>
        <w:t>посчитать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ИКТ-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сектор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рос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три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раза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бы</w:t>
      </w:r>
      <w:r w:rsidR="00F853EF">
        <w:rPr>
          <w:rFonts w:ascii="Times New Roman" w:hAnsi="Times New Roman" w:cs="Times New Roman"/>
          <w:sz w:val="28"/>
          <w:szCs w:val="28"/>
        </w:rPr>
        <w:t>стрее</w:t>
      </w:r>
      <w:proofErr w:type="spellEnd"/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>
        <w:rPr>
          <w:rFonts w:ascii="Times New Roman" w:hAnsi="Times New Roman" w:cs="Times New Roman"/>
          <w:sz w:val="28"/>
          <w:szCs w:val="28"/>
        </w:rPr>
        <w:t>экономики</w:t>
      </w:r>
      <w:proofErr w:type="spellEnd"/>
      <w:r w:rsidR="00F853E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F853EF">
        <w:rPr>
          <w:rFonts w:ascii="Times New Roman" w:hAnsi="Times New Roman" w:cs="Times New Roman"/>
          <w:sz w:val="28"/>
          <w:szCs w:val="28"/>
        </w:rPr>
        <w:t>лет</w:t>
      </w:r>
      <w:proofErr w:type="spellEnd"/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853EF">
        <w:rPr>
          <w:rFonts w:ascii="Times New Roman" w:hAnsi="Times New Roman" w:cs="Times New Roman"/>
          <w:sz w:val="28"/>
          <w:szCs w:val="28"/>
        </w:rPr>
        <w:t>подряд</w:t>
      </w:r>
      <w:proofErr w:type="spellEnd"/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proofErr w:type="gram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тренд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структурный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сдвиг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Узбекистана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долей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ИКТ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всего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2,4%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означает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основной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ещё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EF" w:rsidRPr="00F853EF">
        <w:rPr>
          <w:rFonts w:ascii="Times New Roman" w:hAnsi="Times New Roman" w:cs="Times New Roman"/>
          <w:sz w:val="28"/>
          <w:szCs w:val="28"/>
        </w:rPr>
        <w:t>впереди</w:t>
      </w:r>
      <w:proofErr w:type="spellEnd"/>
      <w:r w:rsidR="00F853EF" w:rsidRPr="00F853EF">
        <w:rPr>
          <w:rFonts w:ascii="Times New Roman" w:hAnsi="Times New Roman" w:cs="Times New Roman"/>
          <w:sz w:val="28"/>
          <w:szCs w:val="28"/>
        </w:rPr>
        <w:t>.</w:t>
      </w:r>
    </w:p>
    <w:p w:rsidR="003E5E9F" w:rsidRPr="000E5726" w:rsidRDefault="003E5E9F" w:rsidP="003E5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3E5E9F" w:rsidRDefault="00C02A16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6" w:name="_Toc231804948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ГЛАВА II. МЕЖДУНАРОДНЫЙ ОПЫТ ЦИФРОВИЗАЦИИ ЭКОНОМИКИ И ЭКОНОМЕТРИЧЕСКИЙ АНАЛИЗ ЕЁ ВЛИЯНИЯ НА УСТОЙЧИВОСТЬ СТРАН К ГЛОБАЛЬНЫМ КРИЗИСАМ</w:t>
      </w:r>
      <w:bookmarkEnd w:id="6"/>
    </w:p>
    <w:p w:rsidR="00C02A16" w:rsidRPr="003E5E9F" w:rsidRDefault="00C02A16" w:rsidP="003E5E9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7" w:name="_Toc231804949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2.1. Сравнительный анализ моделей цифровой трансформации стран-лидеров (на примере Эстонии, Республики Корея, Сингапура и Польши)</w:t>
      </w:r>
      <w:bookmarkEnd w:id="7"/>
    </w:p>
    <w:p w:rsidR="00C02A16" w:rsidRPr="000E5726" w:rsidRDefault="00C02A16" w:rsidP="003E5E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5F83" w:rsidRDefault="00C02A16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база, заложенная в первой главе, позволяет перейти к анализу международного опыта цифровой трансформации. В этом параграфе сравниваются четыре национальные модели с разными институциональными условиями и подходами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к цифровому развитию: Эстония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малого постсоветского государства, сделавшего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частью национально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 развития; Республика Корея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развитой экономики с государственно-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направляемой циф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ровой модернизацией; Сингапур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города-государства с высоким уровнем цифрово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й конкурентоспособности; Польша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 интегрированной в Европейский союз. Выбор этих стран обусловлен их высокими позициями в международных индексах цифровой зрелости, наличием стратегических программ цифровой трансформации и доступностью сопоставимых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коли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показателей для дальнейшего анализа. Сравнительные позиции четырёх стран в ключевых международных индексах цифровой зрелости представлены в таблице 2.1.</w:t>
      </w:r>
    </w:p>
    <w:p w:rsidR="003E5E9F" w:rsidRDefault="003E5E9F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5E9F" w:rsidRDefault="003E5E9F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5E9F" w:rsidRDefault="003E5E9F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5E9F" w:rsidRDefault="003E5E9F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5E9F" w:rsidRPr="003E5E9F" w:rsidRDefault="003E5E9F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785" w:type="dxa"/>
        <w:tblInd w:w="-10" w:type="dxa"/>
        <w:tblLook w:val="04A0" w:firstRow="1" w:lastRow="0" w:firstColumn="1" w:lastColumn="0" w:noHBand="0" w:noVBand="1"/>
      </w:tblPr>
      <w:tblGrid>
        <w:gridCol w:w="1287"/>
        <w:gridCol w:w="2130"/>
        <w:gridCol w:w="1356"/>
        <w:gridCol w:w="1024"/>
        <w:gridCol w:w="1003"/>
        <w:gridCol w:w="1000"/>
        <w:gridCol w:w="1075"/>
        <w:gridCol w:w="910"/>
      </w:tblGrid>
      <w:tr w:rsidR="00EF5F83" w:rsidRPr="00C4631A" w:rsidTr="00EF5F83">
        <w:trPr>
          <w:trHeight w:val="840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Страна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Модель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цифровизации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EGDI 2024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значение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EGDI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NRI 2024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балл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NRI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IMD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WDCR 2024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E2761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OECD DGI</w:t>
            </w:r>
          </w:p>
        </w:tc>
      </w:tr>
      <w:tr w:rsidR="00EF5F83" w:rsidRPr="00C4631A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85FA5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185FA5"/>
                <w:sz w:val="24"/>
                <w:szCs w:val="24"/>
              </w:rPr>
              <w:t>Эстония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Малое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цифровое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государство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0,9727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18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Топ-10</w:t>
            </w:r>
          </w:p>
        </w:tc>
      </w:tr>
      <w:tr w:rsidR="00EF5F83" w:rsidRPr="00C4631A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>Респ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 xml:space="preserve">.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>Корея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Developmental state 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крупная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0,9679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72,5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№ 1 </w:t>
            </w:r>
            <w:r w:rsidRPr="0048225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F5F83" w:rsidRPr="00C4631A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F334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EF3340"/>
                <w:sz w:val="24"/>
                <w:szCs w:val="24"/>
              </w:rPr>
              <w:t>Сингапур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Глобальный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эталон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0,9691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№ 1 </w:t>
            </w:r>
            <w:r w:rsidRPr="0048225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Топ-5</w:t>
            </w:r>
          </w:p>
        </w:tc>
      </w:tr>
      <w:tr w:rsidR="00EF5F83" w:rsidRPr="00C4631A" w:rsidTr="00EF5F83">
        <w:trPr>
          <w:trHeight w:val="300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6D11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3B6D11"/>
                <w:sz w:val="24"/>
                <w:szCs w:val="24"/>
              </w:rPr>
              <w:t>Польша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Догоняющая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(CEE)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0,8677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41–43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</w:tbl>
    <w:p w:rsidR="00EF5F83" w:rsidRPr="003E5E9F" w:rsidRDefault="00C02A16" w:rsidP="003E5E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Таблица 2.1. Позиции четырёх стран в международных индексах цифровой зрелости (2024)</w:t>
      </w:r>
    </w:p>
    <w:p w:rsidR="00C02A16" w:rsidRPr="003E5E9F" w:rsidRDefault="00C02A16" w:rsidP="003E5E9F">
      <w:pPr>
        <w:spacing w:after="0" w:line="360" w:lineRule="auto"/>
        <w:ind w:left="142" w:firstLine="426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Источники: UN DESA (EGDI 2024);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Portulans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Insti</w:t>
      </w:r>
      <w:r w:rsidR="004B1E76" w:rsidRPr="003E5E9F">
        <w:rPr>
          <w:rFonts w:ascii="Times New Roman" w:hAnsi="Times New Roman" w:cs="Times New Roman"/>
          <w:i/>
          <w:sz w:val="24"/>
          <w:szCs w:val="24"/>
          <w:lang w:val="ru-RU"/>
        </w:rPr>
        <w:t>tute</w:t>
      </w:r>
      <w:proofErr w:type="spellEnd"/>
      <w:r w:rsidR="004B1E76"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(NRI 2024); IMD WDCR 2024.</w:t>
      </w:r>
    </w:p>
    <w:p w:rsidR="00EF5F83" w:rsidRPr="00EF5F83" w:rsidRDefault="00EF5F83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Данные таблицы 2.1 показывают: все четыре страны занимают заметные позиции в международных рейтингах цифровой зрелости, но достигают этих результатов разными путями. Эстония опирается на модель компактного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цифрового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государства, Республика Корея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государственно-направляемую ц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ифровую модернизацию,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Сингапур 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высокий уровень институциональной координации и цифровой ко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нкурентоспособности, а Польша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на постепенную догоняющую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рамках европейской интеграции.</w:t>
      </w:r>
    </w:p>
    <w:p w:rsidR="00C02A16" w:rsidRPr="000E5726" w:rsidRDefault="004B3C97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Эстония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«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цифрового государства» малой пост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советской экономики. Цифровая трансформация Эстонии началась с программы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Tiger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Leap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Tiigrihüpe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), запущенной в 1996 году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направленной на компьютеризаций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школ, подключение их к интернету</w:t>
      </w:r>
      <w:r>
        <w:rPr>
          <w:rFonts w:ascii="Times New Roman" w:hAnsi="Times New Roman" w:cs="Times New Roman"/>
          <w:sz w:val="28"/>
          <w:szCs w:val="28"/>
          <w:lang w:val="ru-RU"/>
        </w:rPr>
        <w:t>, подготовку учителей и создания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учебн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ого контента на эстонском языке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2000 году все школы Эстонии были оснащены компьютерами, а к 2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001 году подключены к интернету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ря этому страна сформировала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нюю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базу цифровой грамотности и подготовила общество к дальнейшему развитию электронного государства.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Следующим ключевым шагом стало создание технологической основы эстонского цифрового государства. Центральное место за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няла платформа 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(X-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tee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)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распределённая система обмена данными между государственными и частными информационными системами. Проект развернули в 2001 году на принципе децентрализации: данные хранятся в исходных реестрах и передаются по запросу через защищённые каналы с использованием цифрово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й подписи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настоящему времени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более 450 организаций, включая свыше 150 учреждений государственного сектора, обеспечивает работу около 1300 информационных систем и обрабатывает при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мерно 2,2 млрд транзакций в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2,2 </w:t>
      </w:r>
      <w:proofErr w:type="gramStart"/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миллиарда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страны с 1,3 миллиона людей. Это примерно 1700 транзакций на человека в год. Цифра говорит сама за </w:t>
      </w:r>
      <w:proofErr w:type="spellStart"/>
      <w:proofErr w:type="gramStart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себя.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Цифры</w:t>
      </w:r>
      <w:proofErr w:type="spellEnd"/>
      <w:proofErr w:type="gramEnd"/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впечатляют.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Открытие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lastRenderedPageBreak/>
        <w:t>исходного кода централь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компонентов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 лицензией MIT усилило между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 xml:space="preserve">народное значение этой </w:t>
      </w:r>
      <w:proofErr w:type="gramStart"/>
      <w:r w:rsidR="003B484D">
        <w:rPr>
          <w:rFonts w:ascii="Times New Roman" w:hAnsi="Times New Roman" w:cs="Times New Roman"/>
          <w:sz w:val="28"/>
          <w:szCs w:val="28"/>
          <w:lang w:val="ru-RU"/>
        </w:rPr>
        <w:t>модели ,например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в 2018 году были соединены системы обмена данными Эстонии и Финляндии.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Продолжением этой модели стала прогр</w:t>
      </w:r>
      <w:r w:rsidR="00BA6504">
        <w:rPr>
          <w:rFonts w:ascii="Times New Roman" w:hAnsi="Times New Roman" w:cs="Times New Roman"/>
          <w:sz w:val="28"/>
          <w:szCs w:val="28"/>
          <w:lang w:val="ru-RU"/>
        </w:rPr>
        <w:t xml:space="preserve">амма электронного </w:t>
      </w:r>
      <w:proofErr w:type="spellStart"/>
      <w:r w:rsidR="00BA6504">
        <w:rPr>
          <w:rFonts w:ascii="Times New Roman" w:hAnsi="Times New Roman" w:cs="Times New Roman"/>
          <w:sz w:val="28"/>
          <w:szCs w:val="28"/>
          <w:lang w:val="ru-RU"/>
        </w:rPr>
        <w:t>резидентства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она позволила Эстонии использовать цифровую инфраструктуру не только внутри страны, но и за её пределами. Программа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Residency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запущенная в конце 2014 года, по состоянию на 2025 год охватывает более 128 тыс. человек из 185 стран; ими основано свыше 36 тыс. эстонских компаний, а совокупный прямой экономический эффект дл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я бюджета составил 342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2024 году e-резиденты создали 4818 новых компаний, а налоговые поступления от 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рограммы достигли 66,8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В Индексе развития электронных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правительства ООН EGDI 2024 года Эстония заняла 2-е место в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ире со значением индекса 0,9727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итоге эстонская модель держится на четырёх опорах: циф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ровая грамотность,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межведомстве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цифровая идентификация и продвижение государственных решений на 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международном уровне.</w:t>
      </w:r>
    </w:p>
    <w:p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Республика Корея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 государственно-направляемой цифровой модернизации. Цифровая трансформация Республики Корея отличается сильной ролью государства, долгосрочным планированием и активным использованием фискальных стимулов для ускорения технологического развития. Одним из ключевых программных документов стал Корейский новый курс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объявленный 14 июля 2020 года. Общий объём инвестиций программы на 2020-2025 годы составил 160 трлн вон, или около 133 млрд долларов США, из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которых 114,1 трлн вон финансировалось центральным правительством, что соо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тветствовало 5,9% ВВП 2020 года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была направлена на создание 1,9 млн рабочих мест и включала три блока: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Green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укрепление системы социаль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ной защиты.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Центральным цифровым блоком стал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На его реализацию было выделено 58,2 трлн вон, из которых 44,8 трлн финансиро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вались из государственной казны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основе п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рограммы лежала концепция </w:t>
      </w:r>
      <w:proofErr w:type="gramStart"/>
      <w:r w:rsidR="004007C3">
        <w:rPr>
          <w:rFonts w:ascii="Times New Roman" w:hAnsi="Times New Roman" w:cs="Times New Roman"/>
          <w:sz w:val="28"/>
          <w:szCs w:val="28"/>
          <w:lang w:val="ru-RU"/>
        </w:rPr>
        <w:t>DNA  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proofErr w:type="gram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AI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связывала развитие данных, сетевой инфраструктуры и искусственного интеллекта с модернизацией ключевых секторов экономики. В практическом плане программа включала создание отраслевых платформ больших данных, внедрение 5G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блокчейн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государственные услуги, оснащение 18 больниц технологиями 5G и интернета вещей, разработку программного обеспечения для диагностики 12 заболеваний, а также подключение более 310 000 классов к высокоскор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остному беспроводному интернету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июле 2021 года был объявлен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2.0 - общий бюджет программы расш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ирили примерно до 220 трлн вон.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 данным Министерства науки и ИКТ Кореи, совокупный бюджет на развитие ведущих цифровых технологий в первый год реализации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10,1 трлн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вон, или 8,7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программы также отразилась на международных позициях страны: в рейтинге цифровой конкурентоспособности IMD Республика Корея поднялась с 10-го места в 2019 году на 8-е в 2020 году, а в индексе готовности правительств к использованию искусствен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ного интеллекта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Oxford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Insights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26-го на 7-е место.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Ещё в декабре 2019 года Корея приняла Национальную стратегию в области искусственного интеллекта, предусматривающую цель войти в тройку наиболее конкурентоспособных цифровых экономик мира к 2030 году и инвестиции в размере 1 трлн вон на развитие ИИ-п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олупроводников в течение 10 лет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EGDI 2024 Республика Корея занимает 4-е место со значением индекса 0,9679, а в OECD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23 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1-е место среди стран ОЭСР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 xml:space="preserve"> В принципе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корейская модель отличается крупным масштабом государственных инвестиций и тесной связью цифровой трансформа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ции с антикризисной политикой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именно как ответ на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пандемии COVID-19.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Сингапур: модель города-государства как глобального эталона цифровой конкурентоспособности. Инициатива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была объявлена в 2014 году и стала основой сингапурской стратегии цифровой трансформации, ориентир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ованной на внедрение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информацио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-коммуникационных технологий, цифровых платформ, сетей и больших данных в государ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ственное управление и экономику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8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этой политики были созданы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специализированные институты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которые объединили стратегическое планирование и техническую реализацию цифровых сервисов. В 2023 году координация цифровой повестки была передана Министерству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цифрового развития и информаций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показывает дальнейшее институциональное укрепление цифровой трансформации в стране.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Практические результаты сингапурской модели проявляются в устойчивом росте цифровой экономики и широком распространении цифровых сервисов. Её вклад в ВВП Сингапура увеличился с 13,3% в 2017 году до 17,7% в 2023 году при среднегодовом темпе роста 11,2%, что почти вдвое превышало темп роста 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lastRenderedPageBreak/>
        <w:t>экономики в целом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9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Около 99% домохозяйств подключены к интернету, а 99% государственных услуг доступны в цифровом формате. Ключевыми эл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ементами цифровой инфраструктур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являются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единая система цифровой идентификации, платёжная 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PayNow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Virtual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Singapore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трёхмерный цифровой двойник городской среды, используемый для моделировани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я сценариев городского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0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 COVID-19 Сингапур оперативно развернул систему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er</w:t>
      </w:r>
      <w:proofErr w:type="spellEnd"/>
      <w:r w:rsidR="00990EE6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контактов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показало способность цифровой инфраструктуры быстро адаптироваться к кризисным условиям.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стала обновлённая стратегия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2.0. В октябре 2024 года премьер-министр Лоуренс Вонг представил концепцию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2.0, одним из ключевых элементов которой стало выделение 120 млн сингапурских долларов на программу AI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Science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развития междисциплинарных исследований в области искусственного интеллекта.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Новая стратегия переносит акцент с создания базовой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инфраструктуры на практиче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ское использование технологий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 генератив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ного искусственного интеллекта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дальнейшего развития экономики и общества. В IMD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Competitiveness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Ranking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Сингапур занимает 1-е место в мире, 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2024 2-е место, а в EGDI 2024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3-е ме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сто со значением индекса 0,9691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2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Отличитель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ная черта сингапурской модели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сочетание стратегического государственного планирования, активного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участия частного сектора и системной интеграции цифровых решений в городскую среду.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Польша 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догоняющей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экономики. Цифровая трансформация Польши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развивалась иначе чем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Эстонии, Кореи или Сингапура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не как единая централизованная стратегия, а как постепенный процесс сближения с цифровыми стандартами Европейского союза. Важную роль здесь сыграли финансовые инструменты ЕС, развитие внутреннего ИКТ-сектора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модернизация государственных цифровых сервисов. Первым крупным программным документом стала программа «Цифровая Польша» на период 2014-2020 годов с бюджетом около 2,17 млрд евро, направленная на развитие широкополосной инфраструктуры и 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фровых государственных сервисов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Её продолжением стала программа FERC на период 2021-2027 годов, реализуемая под координацией Министерства цифровых дел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нтра проектов «Цифровая Польша»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Заметным результатом этой политики стало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цифровых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государствен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сервисов. Одним из ключевых элементов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польской цифровой трансформаций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стало мобильное приложение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запущенное в 2017 году. В 2020 году в приложение интегрировали электронные рецепты и мобильные водительские удостоверения. 14 июля 2023 года вступил в силу закон, уравнявший юридическую силу цифрового удостоверения личности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mDowód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приложении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el</w:t>
      </w:r>
      <w:proofErr w:type="spellEnd"/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2.0 с пластиковым документом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2025 году число пользователей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превысило 10 млн человек, то есть около трети населения страны; цифровое водительское удостоверение используют 5,5 млн граждан, цифровое свидетельство о регис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трации транспортного средства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5,7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млн,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ччерез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доступна более 40 государственных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6"/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Параллельно Польша развивает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il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платформу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ePUAP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ни обеспечивают доступ к государственным порталам, электронное подписание документов и вз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аимодействие с органами власти.</w:t>
      </w:r>
    </w:p>
    <w:p w:rsidR="00C02A16" w:rsidRPr="000E5726" w:rsidRDefault="00737AF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7AF8">
        <w:rPr>
          <w:rFonts w:ascii="Times New Roman" w:hAnsi="Times New Roman" w:cs="Times New Roman"/>
          <w:sz w:val="28"/>
          <w:szCs w:val="28"/>
          <w:lang w:val="ru-RU"/>
        </w:rPr>
        <w:t>При этом польская модель показывает разрыв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развитием государственных цифровых сервисов и уро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внем цифровой зрелости население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бизнеса. По данным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Decade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Report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Европейской комиссии за 2024 год,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базовыми цифровыми навыками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обло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дают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44% населения Польши при среднем показателе по ЕС 56%; искусственный интеллект полностью внедрили 3,7% компаний при среднем уровне ЕС 8%, а аналитику данных используют 19,3% компа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ний при среднем уровне ЕС 33,2%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ИКТ-сектор страны растёт достаточно быстро. Согласно OECD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Outlook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среднегодовой темп роста ИКТ-сектора Польши за пер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иод 2013-2023 годов превысил 8%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Польша представляет собой модель «конвергенции с ограничениями»: цифровое государство и ИКТ-сектор развиваются, но проблемы цифровых навыков и внедрения технологий в частном секторе пока остаются. Именно поэтому польский опыт особенно интересен для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стран с переходной экономикой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включая Узбекистан.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 четырёх моделей. Сравнение выбранных стран показывает, что во всех четырёх случаях цифровая трансформация опирается на институциональный центр координации: RIA в Эстонии, MSIT в Республике Корея,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/MDDI в Сингапуре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Ministerstwo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Cyfryzacji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 Общей чертой является и использование цифровой идентификации как основы электронных государственных сервисов: e-ID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Mobile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-ID в Эстонии,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национального цифрового идентификатора в Корее,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Сингапуре,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Profil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Различия между моделями связаны прежде всего с масштабом инвестиций, институциональной средой и балансом между ролью государства и частного сектора. Корейская модель выделяется самым крупным объёмом государственных вложений: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общее финансирование составило 160 трлн вон на 2020-2025 годы, что соответствовало 5,9% ВВП 2020 года. Эстонская модель, напротив,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цифровая идентификация могут стать основой цифрового государства даже при сравнительно ограниченных ресурсах. Сингапурская модель отличается высокой степенью интеграции цифровых решений в городскую среду и значительным вкладом цифровой экономики в ВВП: в 2023 го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ду этот показатель достиг 17,7%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Польская модель отражает особенности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развитые государственные сервисы сочетаются здесь с более низкой цифровой зрелостью населения и частного сектора.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Эстония потратила на цифровую трансформацию десяти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летия последовательной работы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и получила -3% в 2020 против -6,1% по ЕС. Грубо говоря, каждый евро вложенный в X-</w:t>
      </w:r>
      <w:proofErr w:type="spellStart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в 2001 году окупился в 2020-м.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Четыре страны представляют разные модели ц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ифровой трансформации: </w:t>
      </w:r>
      <w:proofErr w:type="gramStart"/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Эстония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интероперабельное</w:t>
      </w:r>
      <w:proofErr w:type="spellEnd"/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цифровое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государство, Республика Корея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государственно-направляемую цифровую 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модернизацию, Сингапур </w:t>
      </w:r>
      <w:proofErr w:type="spellStart"/>
      <w:r w:rsidR="004F305F">
        <w:rPr>
          <w:rFonts w:ascii="Times New Roman" w:hAnsi="Times New Roman" w:cs="Times New Roman"/>
          <w:sz w:val="28"/>
          <w:szCs w:val="28"/>
          <w:lang w:val="ru-RU"/>
        </w:rPr>
        <w:t>высоко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нтегрированную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цифровую экономик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>у города-государства, а Польша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конвергенцию с определёнными ограничениями.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развивается не по ед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 xml:space="preserve">иной схеме, а через разные </w:t>
      </w:r>
      <w:proofErr w:type="spellStart"/>
      <w:r w:rsidR="00915457">
        <w:rPr>
          <w:rFonts w:ascii="Times New Roman" w:hAnsi="Times New Roman" w:cs="Times New Roman"/>
          <w:sz w:val="28"/>
          <w:szCs w:val="28"/>
          <w:lang w:val="ru-RU"/>
        </w:rPr>
        <w:t>инсте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туциональные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траектории. В следующем параграфе рассматривается как эти экономики реагировали на глобальные кризисы 2020-2022 годов с учётом уровня цифровой зрелости.</w:t>
      </w:r>
    </w:p>
    <w:p w:rsidR="004B1E76" w:rsidRDefault="004B1E7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8" w:name="_Toc231804950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2.2. Реакция национальных экономик на глобальные кризисы 2020-2022 годов в контексте уровня цифровой зрелости</w:t>
      </w:r>
      <w:bookmarkEnd w:id="8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согласования сравнительного анализа с эконометрической моделью параграфа 2.3 в работе выделяются два кризисных года. 2020-й рассматривается как период острой фазы пандемии COVID-19 и максимального падения ВВП, а 2022-й - как период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энергетического и инфляционного шока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связанного с геополитической эскалацией. При этом 2021 год трактуется как этап восстановления, а не как самостоятельный кризисный эпизод. В эконометрической модели эти кризисные годы отражены через бинарные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что позволяет отдельно оценить их влияние на зависимую переменную при контроле уровня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Такое разделение важно потому что пандемия COVID-19 выступила шоком неэкономического происхождения и ограничила физическую мобильность, тогда как кризис 2022 года проявился преимущественно через энергетический, ценовой и инфляционный каналы. Это позволяет оценить не только способность цифровой инфраструктуры смягчать последствия кризисов, но и её пределы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там где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находится вне прямого воздействия цифровых технологий.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Реакция Эстонии. В 2020 году экономика Эстонии показала сравнительно мягкое падение: снижение ВВП составило 3,0% против среднего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оказати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ля</w:t>
      </w:r>
      <w:proofErr w:type="spellEnd"/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по ЕС на уровне -6,1%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в 2021 году экономика восс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тановилась с темпом роста 8,6%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иболее высоких показателей в ЕС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 xml:space="preserve">И тут появляется </w:t>
      </w:r>
      <w:proofErr w:type="gramStart"/>
      <w:r w:rsidR="00277A71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r w:rsidR="00277A71" w:rsidRPr="00277A71">
        <w:t xml:space="preserve"> </w:t>
      </w:r>
      <w:r w:rsidR="00277A71">
        <w:rPr>
          <w:lang w:val="ru-RU"/>
        </w:rPr>
        <w:t>,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77A71" w:rsidRPr="00277A71">
        <w:rPr>
          <w:rFonts w:ascii="Times New Roman" w:hAnsi="Times New Roman" w:cs="Times New Roman"/>
          <w:sz w:val="28"/>
          <w:szCs w:val="28"/>
          <w:lang w:val="ru-RU"/>
        </w:rPr>
        <w:t>ак</w:t>
      </w:r>
      <w:proofErr w:type="gramEnd"/>
      <w:r w:rsidR="00277A71" w:rsidRPr="00277A71">
        <w:rPr>
          <w:rFonts w:ascii="Times New Roman" w:hAnsi="Times New Roman" w:cs="Times New Roman"/>
          <w:sz w:val="28"/>
          <w:szCs w:val="28"/>
          <w:lang w:val="ru-RU"/>
        </w:rPr>
        <w:t xml:space="preserve"> стране с населением меньше чем в Ташкенте удалось обогнать по устойчивости Францию и Германию?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Это объясняется прежде всего высокой цифровой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lastRenderedPageBreak/>
        <w:t>зрелостью страны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возможностями инфраструктуры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помогла сохранить непрерывность государственных функций при ограничении физического взаимодействия. В период пандемии 99% государственных услуг оставались доступны онлайн, а 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правительство просто запустило новые сервисы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упрощённые процедуры регистрации браков, рождений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обращений за пособиями через e-ID 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853EF" w:rsidRPr="00F853EF">
        <w:t xml:space="preserve">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Когда я смотрел на эти цифры, первая мысль была простая: страна с населением 1,3 млн человек обогнала по устойчивости Францию и Италию. Это заставляет задуматься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Кризис 2022 года обнажил пределы эстонской модели. Отказ от российских энергоносителей и высокая чувствительность к региональным энергетическим рынкам обернулись падением ВВП на 1,3% и инф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ляцией, превысившей 19% по HICP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2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Цена высокая.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подтверждает вывод первой главы: цифровая зрелость смягчает шоки мобильности и информационной асимметрии, но не закрывает структурную уязвимость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 энергетическим и ценовым потрясениям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="00592F74" w:rsidRPr="00592F74">
        <w:rPr>
          <w:rFonts w:ascii="Times New Roman" w:hAnsi="Times New Roman" w:cs="Times New Roman"/>
          <w:sz w:val="28"/>
          <w:szCs w:val="28"/>
          <w:lang w:val="ru-RU"/>
        </w:rPr>
        <w:t>Получается</w:t>
      </w:r>
      <w:proofErr w:type="gramEnd"/>
      <w:r w:rsidR="00592F74" w:rsidRPr="00592F74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="00592F74" w:rsidRPr="00592F74">
        <w:rPr>
          <w:rFonts w:ascii="Times New Roman" w:hAnsi="Times New Roman" w:cs="Times New Roman"/>
          <w:sz w:val="28"/>
          <w:szCs w:val="28"/>
          <w:lang w:val="ru-RU"/>
        </w:rPr>
        <w:t>цифровизац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>ия</w:t>
      </w:r>
      <w:proofErr w:type="spellEnd"/>
      <w:r w:rsidR="00592F74">
        <w:rPr>
          <w:rFonts w:ascii="Times New Roman" w:hAnsi="Times New Roman" w:cs="Times New Roman"/>
          <w:sz w:val="28"/>
          <w:szCs w:val="28"/>
          <w:lang w:val="ru-RU"/>
        </w:rPr>
        <w:t xml:space="preserve"> защищает от одних кризисов </w:t>
      </w:r>
      <w:r w:rsidR="00592F74" w:rsidRPr="00592F74">
        <w:rPr>
          <w:rFonts w:ascii="Times New Roman" w:hAnsi="Times New Roman" w:cs="Times New Roman"/>
          <w:sz w:val="28"/>
          <w:szCs w:val="28"/>
          <w:lang w:val="ru-RU"/>
        </w:rPr>
        <w:t>но не от других?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224E">
        <w:rPr>
          <w:rFonts w:ascii="Times New Roman" w:hAnsi="Times New Roman" w:cs="Times New Roman"/>
          <w:sz w:val="28"/>
          <w:szCs w:val="28"/>
          <w:lang w:val="ru-RU"/>
        </w:rPr>
        <w:t xml:space="preserve">Энергетика не цифра.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План восстановления и устойчивости Эстонии, утверждённый в 2021 году, предусматривал 953,3 млн евр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>о, или около 3,4% ВВП 2019 года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21,5% ресурсов направлено на цифровую трансформацию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 41,5% на климатические цели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3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Адаптация Эстонии была направ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>лена сразу на два блока рисков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и энергетико-климатический.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Республики Корея. Среди рассматриваемых стран К</w:t>
      </w:r>
      <w:r w:rsidR="00D33B33">
        <w:rPr>
          <w:rFonts w:ascii="Times New Roman" w:hAnsi="Times New Roman" w:cs="Times New Roman"/>
          <w:sz w:val="28"/>
          <w:szCs w:val="28"/>
          <w:lang w:val="ru-RU"/>
        </w:rPr>
        <w:t>орея прошла 2020 год мягче всех,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ВВП снизился лишь на 0,7%, а докризисный уровень активности восстановился уже к маю 2021 года. </w:t>
      </w:r>
      <w:r w:rsidR="00D33B33">
        <w:rPr>
          <w:rFonts w:ascii="Times New Roman" w:hAnsi="Times New Roman" w:cs="Times New Roman"/>
          <w:sz w:val="28"/>
          <w:szCs w:val="28"/>
          <w:lang w:val="ru-RU"/>
        </w:rPr>
        <w:t>Вот тут остается открытый вопрос,</w:t>
      </w:r>
      <w:r w:rsidR="00D33B33" w:rsidRPr="00D33B33">
        <w:t xml:space="preserve"> </w:t>
      </w:r>
      <w:r w:rsidR="00D33B33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D33B33" w:rsidRPr="00D33B33">
        <w:rPr>
          <w:rFonts w:ascii="Times New Roman" w:hAnsi="Times New Roman" w:cs="Times New Roman"/>
          <w:sz w:val="28"/>
          <w:szCs w:val="28"/>
          <w:lang w:val="ru-RU"/>
        </w:rPr>
        <w:t>ак стране с одним и тем же внешним шоком удалось упасть в девять раз меньше чем в среднем по ЕС?</w:t>
      </w:r>
      <w:r w:rsidR="00D33B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202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1 году рост ВВП составил 4,6%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наибо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высокий показатель за одиннадцать лет, обусловленный устойчивым внешним спросом на полупроводник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и и потребительскую электронику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4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Мягкость спада объясняется тремя факторами: эффективной системой цифрового отслеживания контактов, масштабным фискальным стимулированием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экспортных ИКТ-секторов на фоне роста глобальног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 спроса на цифровые технологии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2022 году Республика Корея сохранила положительный рост ВВП на уровне 2,7%, тогда как ряд европейских экономик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силь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нр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ощутил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энергетического кризиса. Инфляция достигла пика в 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июле 2022 года на уровне 6,3%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максимум с ноября 1998 года, однако этот показатель оставался ниже уровне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большинства европейских стран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2023 году прогноз роста был снижен до 1,4%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замедление экспортного цикла полупроводников дал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о о себе знать. Здесь,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выступил не только инструментом краткосрочной стабилизации в период пандемии, но и механизмом укрепления долгосрочной конкурентоспособности экономики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Корея сделала ставку и выиграла.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подтверждается подъёмом Кореи в рейтинге цифр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овой </w:t>
      </w:r>
      <w:proofErr w:type="spellStart"/>
      <w:r w:rsidR="007200F4">
        <w:rPr>
          <w:rFonts w:ascii="Times New Roman" w:hAnsi="Times New Roman" w:cs="Times New Roman"/>
          <w:sz w:val="28"/>
          <w:szCs w:val="28"/>
          <w:lang w:val="ru-RU"/>
        </w:rPr>
        <w:t>конкурентоспасобности</w:t>
      </w:r>
      <w:proofErr w:type="spellEnd"/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7200F4">
        <w:rPr>
          <w:rFonts w:ascii="Times New Roman" w:hAnsi="Times New Roman" w:cs="Times New Roman"/>
          <w:sz w:val="28"/>
          <w:szCs w:val="28"/>
          <w:lang w:val="ru-RU"/>
        </w:rPr>
        <w:t>IMD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10-го места в 2019 году на 8-е в 2020-м.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Сингапура. В 2020 году экономика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Сингапура сократилась на 3,9%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высокая зависимость от международной торговли, туризма и трансграничной мобильности дала о себе знать. Однако уже в 2021 году ВВП вырос н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 7,6%, а в 2022 году на 3,6%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8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Важную роль сыграла быстрая мобилизация цифровой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инфраструктуры. В марте 2020 года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 восемь недель разра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ботал и запустил (</w:t>
      </w:r>
      <w:proofErr w:type="spellStart"/>
      <w:r w:rsidR="007200F4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первое в мире национальное приложение для отслеживания контактов; к началу 2022 года в нём было зарегистриров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ано более 6,2 млн пользователей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9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сократить время между выявлением случая заболевания и установлением близких контактов с четырёх д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ней до менее чем пол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тора суток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Одновремен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цифровые системы обеспечили быструю реализацию бюджетной поддержки. В 2020 году правительство Сингапура объявило четыре пакета фискального стимулирования общим объёмом более 20% ВВП 2019 года, включая субсидии на заработную плату до 75% от первых 4600 сингапурских долларов и 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енежные переводы домохозяйствам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Сингапур потратил много</w:t>
      </w:r>
      <w:r w:rsidR="00286375" w:rsidRPr="00286375">
        <w:rPr>
          <w:rFonts w:ascii="Times New Roman" w:hAnsi="Times New Roman" w:cs="Times New Roman"/>
          <w:sz w:val="28"/>
          <w:szCs w:val="28"/>
          <w:lang w:val="ru-RU"/>
        </w:rPr>
        <w:t xml:space="preserve"> и получил результат соответствующий масштабу.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атёжная инфраструктура позволили точнее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направлять поддержку, сокращая временные лаги фискальной трансмиссии. В 2022 году инфляция в Си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нгапуре достигла 6,1%, что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потр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бовало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нескольких раундов денежно-кредитного ужесточения со стороны Денежно-кредитного управления Сингапура.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33B33">
        <w:rPr>
          <w:rFonts w:ascii="Times New Roman" w:hAnsi="Times New Roman" w:cs="Times New Roman"/>
          <w:sz w:val="28"/>
          <w:szCs w:val="28"/>
          <w:lang w:val="ru-RU"/>
        </w:rPr>
        <w:t>Все таки</w:t>
      </w:r>
      <w:proofErr w:type="gramEnd"/>
      <w:r w:rsidR="00D33B33">
        <w:rPr>
          <w:rFonts w:ascii="Times New Roman" w:hAnsi="Times New Roman" w:cs="Times New Roman"/>
          <w:sz w:val="28"/>
          <w:szCs w:val="28"/>
          <w:lang w:val="ru-RU"/>
        </w:rPr>
        <w:t xml:space="preserve"> остается вопрос который имеет значение в этом контексте, м</w:t>
      </w:r>
      <w:r w:rsidR="00D33B33" w:rsidRPr="00D33B33">
        <w:rPr>
          <w:rFonts w:ascii="Times New Roman" w:hAnsi="Times New Roman" w:cs="Times New Roman"/>
          <w:sz w:val="28"/>
          <w:szCs w:val="28"/>
          <w:lang w:val="ru-RU"/>
        </w:rPr>
        <w:t>огла ли эта поддержка сработать так быстро без цифровой инфраструктуры?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Польши. В 2020 году эконом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ика Польши сократилась на 2,0%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наиболее мягких спадов в ЕС, значительно лучше среднего по союзу (-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6,1%).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2021 году рост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ВВП составил 5,9%, а в 2022-м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4,9%, несмотря на войну в Украине, э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нергетический кризис и инфляцию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За этой устойчивостью стоит сразу несколько причин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крупным внутренним рынком, диверсифицированной структурой экономики, гибким обменным курсом злотого и антикризисным пакетом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Tarcza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Antykryzysowa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объёмом около 55 млрд долларов. Цифровой компонент тоже имел значение: расширение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Кризис 2022 года показал более высокую чувствительность Польши к энергетическому и инфляционному шоку. Зависимость от угольной энергетики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 из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самых высоких среди стран МЭА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и доля ископаемого топлива на уровне 85% общего энергоснабжения в 2020 году создавали структурную уязвимость.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энергетики оказалась важнее уровня </w:t>
      </w:r>
      <w:proofErr w:type="spellStart"/>
      <w:r w:rsidR="00286375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Структура энергетики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Дополнительное давление добавили близость к зоне конфликта и значительный приток украинских беженцев. Инфляция достигла 18,4% в феврале 2023 года.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смягчения последствий правительство ввело Антиинфляционный щит: снижение НДС на электроэне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ргию с 23% до 5%, на отопление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23% до 8%, а также снижение НДС и акцизов на топливо; общая стоимос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ть мер составила около 2,1%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польского и эстонского кейсов п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одтверждает одну и ту же логику,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цифровая зрелость смягчает шоки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мобильности и административных ограничений, но не закрывает структурную уязвимость к энергетическим и ценовым потрясениям.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Урок простой.</w:t>
      </w:r>
    </w:p>
    <w:p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синтез. Сопоставление траекторий четырёх экономик за 2020-2022 годы даёт несколько важных выводов. Во-первых, в период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2020 года все четыре страны показали более мягкое падение ВВП чем средний показатель по ЕС: в Республике Корея снижение сос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тавило 0,7%, в Польше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- 2,0%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, в Эстонии - 3,0%, в Сингапуре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3,9%, тогда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как средний спад по ЕС достиг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6,1%. Это говорит 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может повышать устойчивость экономик к шокам связанным с ограничением физической мобильно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сти и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админ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стративных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процессов. Во-вторых, в 2021 году все четыре страны показали быстрое восстановление: наиболее высокие темпы роста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у Эстонии -8,6% и Сингапура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7,6%, тогда как Польша выросл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а на 5,9%, а Республика Корея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4,6%.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динамика показывает что цифровая инфраструктура могла поддержать восстановление деловой активности,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государственных сервисов и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потри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бительского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спроса. Динамика реального ВВП четырёх стран в сопоставлении со средним показателем по ЕС за 2019-2022 го</w:t>
      </w:r>
      <w:r w:rsidR="00E23D01">
        <w:rPr>
          <w:rFonts w:ascii="Times New Roman" w:hAnsi="Times New Roman" w:cs="Times New Roman"/>
          <w:sz w:val="28"/>
          <w:szCs w:val="28"/>
          <w:lang w:val="ru-RU"/>
        </w:rPr>
        <w:t>ды представлена на рисунке 2.1.</w:t>
      </w:r>
    </w:p>
    <w:p w:rsidR="00EF5F83" w:rsidRPr="004D6A0C" w:rsidRDefault="00EF5F83" w:rsidP="00EF5F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F6DE2" wp14:editId="3A27470D">
            <wp:extent cx="6152515" cy="3635375"/>
            <wp:effectExtent l="0" t="0" r="635" b="3175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EF5F83" w:rsidRPr="000E5726" w:rsidRDefault="00EF5F83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5F83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 2.1 Динамика реального валового внутреннего продукта в Эстонии, Республике Корея, Сингапуре и Польше в сопоставлении со средним показателем по Европейскому союзу, 2019-2022 гг., %</w:t>
      </w:r>
    </w:p>
    <w:p w:rsidR="00C02A16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по данным IMF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World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Economic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Outlook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(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April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2024),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Eurostat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EF5F83" w:rsidRPr="00EF5F83" w:rsidRDefault="00EF5F83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В-третьих, энергетический и инфляционный шок 2022 года обнажил пределы цифровой зрелости. Она могла поддерживать государственные сервисы, б</w:t>
      </w:r>
      <w:r w:rsidR="00627AAF">
        <w:rPr>
          <w:rFonts w:ascii="Times New Roman" w:hAnsi="Times New Roman" w:cs="Times New Roman"/>
          <w:sz w:val="28"/>
          <w:szCs w:val="28"/>
          <w:lang w:val="ru-RU"/>
        </w:rPr>
        <w:t xml:space="preserve">изнес-процессы и </w:t>
      </w:r>
      <w:proofErr w:type="gramStart"/>
      <w:r w:rsidR="00627AAF">
        <w:rPr>
          <w:rFonts w:ascii="Times New Roman" w:hAnsi="Times New Roman" w:cs="Times New Roman"/>
          <w:sz w:val="28"/>
          <w:szCs w:val="28"/>
          <w:lang w:val="ru-RU"/>
        </w:rPr>
        <w:t>коммуникации</w:t>
      </w:r>
      <w:proofErr w:type="gramEnd"/>
      <w:r w:rsidR="00627AA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 не устраняла ценовые уязвимости связанные со структурой энергетики и внешними рынками. Поэтому Эстония и Польша, более зависимые от ископаемого топлива и региональны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 xml:space="preserve">х энергетических рисков, </w:t>
      </w:r>
      <w:proofErr w:type="spellStart"/>
      <w:r w:rsidR="001657DE">
        <w:rPr>
          <w:rFonts w:ascii="Times New Roman" w:hAnsi="Times New Roman" w:cs="Times New Roman"/>
          <w:sz w:val="28"/>
          <w:szCs w:val="28"/>
          <w:lang w:val="ru-RU"/>
        </w:rPr>
        <w:t>столкне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лись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более высокой инфляцией чем Республика Корея</w:t>
      </w:r>
      <w:r w:rsidR="00225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Сингапур. Сопоставление пиковых значений потребительской инфляции четырёх стран представлено на рисунке 2.2.</w:t>
      </w:r>
    </w:p>
    <w:p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5F83" w:rsidRPr="004D6A0C" w:rsidRDefault="00EF5F83" w:rsidP="00EF5F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DD904C" wp14:editId="41F56D87">
            <wp:extent cx="6152515" cy="3999230"/>
            <wp:effectExtent l="0" t="0" r="635" b="127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Pr="004D6A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F5F83" w:rsidRPr="003E5E9F" w:rsidRDefault="00EF5F83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2.2 Пиковые значения потребительской инфляции в Эстонии, Польше, Республике Корея и Сингапуре в 2022 году, % </w:t>
      </w:r>
    </w:p>
    <w:p w:rsidR="00EF5F83" w:rsidRPr="003E5E9F" w:rsidRDefault="00EF5F83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по данным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Eurostat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(HICP),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Bank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of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Korea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,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Monetary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Authority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of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Singapore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EF5F83" w:rsidRPr="000E5726" w:rsidRDefault="00EF5F83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В-четвёрты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 xml:space="preserve">х, во всех четырёх странах </w:t>
      </w:r>
      <w:proofErr w:type="spellStart"/>
      <w:r w:rsidR="001657DE">
        <w:rPr>
          <w:rFonts w:ascii="Times New Roman" w:hAnsi="Times New Roman" w:cs="Times New Roman"/>
          <w:sz w:val="28"/>
          <w:szCs w:val="28"/>
          <w:lang w:val="ru-RU"/>
        </w:rPr>
        <w:t>значе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тельную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роль сыграли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фискальные меры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реализованные с опорой на цифровую инфраструктуру. Их масштаб различался - от 2,1% ВВП в Польше до более чем 20% ВВП в Сингапуре. Это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инфраструктура важна не только для развития электронного государства, но и для более быстрой передачи антикризисной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держки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населению и бизнесу.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050ED2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ED2">
        <w:rPr>
          <w:rFonts w:ascii="Times New Roman" w:hAnsi="Times New Roman" w:cs="Times New Roman"/>
          <w:sz w:val="28"/>
          <w:szCs w:val="28"/>
          <w:lang w:val="ru-RU"/>
        </w:rPr>
        <w:t>Теперь пора проверить эти наблюдения цифрами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Для проверки выявленных закономерностей нужно перейти от описательного сравнения стран к статистической оценке связи между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показателями устойчивости национальных экономик. Поэтому следующий параграф посвящён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эконометрическому моделированию на панельных данных за 2010-2023 годы.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Картина не однозначная.</w:t>
      </w:r>
      <w:r w:rsidR="00BC19B3" w:rsidRPr="00BC19B3">
        <w:t xml:space="preserve"> 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>Четыре страны четыре модели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один вывод: цифровая готовность работает ка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>к страховка. Покупаешь заранее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получаешь 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>выплату в кризис. Не покупаешь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платишь сам.</w:t>
      </w:r>
    </w:p>
    <w:p w:rsidR="00E23D01" w:rsidRPr="000E5726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9" w:name="_Toc231804951"/>
      <w:bookmarkStart w:id="10" w:name="_GoBack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2.3. Эконометрическая оценка влияния </w:t>
      </w:r>
      <w:proofErr w:type="spellStart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цифровизации</w:t>
      </w:r>
      <w:proofErr w:type="spellEnd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на устойчивость национальных экономик на основе панельных данных</w:t>
      </w:r>
      <w:bookmarkEnd w:id="9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четырёх стран в параграфе 2.1 и оценка их реакции на кризисы 2020 и 2022 годов в параграфе 2.2 показали общую закономерность: экономики с более высоким уровнем цифровой зрелости проходили кризисные периоды мягче и быстрее возвращались к росту.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Здесь проверяем цифрами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эконометрической модели на панельных данных. Количественная проверка выдвинутых гипотез проведена на несбалансированной панели 49 стран за период 2010-2024 годов с использованием данных Всемирного банка (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Исследование строится на двух гипотезах.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предполагает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экономики, выраженный через долю интернет-пользователей, положительно связан с ВВП на душу населения и может смягчать негативное влияние глоб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альных кризисов. Вспомогательный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состоит в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сила и статистическая значимость этого эффе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кта различаются между тремя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групами</w:t>
      </w:r>
      <w:proofErr w:type="spellEnd"/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стран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развитыми, переходными и развивающимися экономиками.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Выборка вк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лючает 49 стран,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классифицирова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>на три группы по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критериями Всемирного банка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методологией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: 22 развитых экономики ОЭСР с высоким доходом (ВВП на душу свыше 25 тысяч долларов в ценах 2015 года), 16 переходных экономик (постсоветские и постсоциалистические страны со средним доходом, включая Эстонию, Польшу, Казахстан и Турцию)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11 развивающихся экономик с низким и нижне-средним доходом (включая Узбекистан, Китай, Индию, Бразилию). После исключения наблюдений с пропущенными значениями итоговая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панель содержит 707 наблюдении,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330 - по группе развитых стран, 233 - по переходным экономикам и 144 - по развивающимся.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Зависимая переменная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натуральный логарифм ВВП на душу населения в постоянных ценах 2015 года (</w:t>
      </w:r>
      <w:r w:rsidRPr="000E5726">
        <w:rPr>
          <w:rFonts w:ascii="Times New Roman" w:hAnsi="Times New Roman" w:cs="Times New Roman"/>
          <w:sz w:val="28"/>
          <w:szCs w:val="28"/>
        </w:rPr>
        <w:t>NY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PCAP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KD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Основной регрессор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логарифм доли интернет-пользователей (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USER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). Контрольные переменные включают ло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гарифм валового накопления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осно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капитала (</w:t>
      </w:r>
      <w:r w:rsidRPr="000E5726">
        <w:rPr>
          <w:rFonts w:ascii="Times New Roman" w:hAnsi="Times New Roman" w:cs="Times New Roman"/>
          <w:sz w:val="28"/>
          <w:szCs w:val="28"/>
        </w:rPr>
        <w:t>NE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FTOT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инфляцию (</w:t>
      </w:r>
      <w:r w:rsidRPr="000E5726">
        <w:rPr>
          <w:rFonts w:ascii="Times New Roman" w:hAnsi="Times New Roman" w:cs="Times New Roman"/>
          <w:sz w:val="28"/>
          <w:szCs w:val="28"/>
        </w:rPr>
        <w:t>FP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CPI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безработицу (</w:t>
      </w:r>
      <w:r w:rsidRPr="000E5726">
        <w:rPr>
          <w:rFonts w:ascii="Times New Roman" w:hAnsi="Times New Roman" w:cs="Times New Roman"/>
          <w:sz w:val="28"/>
          <w:szCs w:val="28"/>
        </w:rPr>
        <w:t>SL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UEM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долю экспорта высокотехнологичных товаров (</w:t>
      </w:r>
      <w:r w:rsidRPr="000E5726">
        <w:rPr>
          <w:rFonts w:ascii="Times New Roman" w:hAnsi="Times New Roman" w:cs="Times New Roman"/>
          <w:sz w:val="28"/>
          <w:szCs w:val="28"/>
        </w:rPr>
        <w:t>TX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VAL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MF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Кризисные периоды идентифицированы через две раздельные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-переменные: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(2020 год) 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(2022 год). Включение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воляет тестировать гипотезу о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ференциальном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антикризисном эффекте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Спецификация модели оценивается отдельно для каждой из трёх групп стран.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Описательная статистика по группам стран представлена в таблице 2.2 и показывает заметные различия по основным переменным модели. Средний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логарифм ВВП на душу населения составляет 10,694 в группе развитых стран, 9,153 в пере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ходных и 8,480 в развивающихся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соответствует примерно 44 000, 9 400 и 4 800 долларов соответственно. Средний уровень интернет-проникновения равен 86,8%, 72,4% и 55,6%, а средняя инфляция в развивающихся экономиках (4,76%) заметно выше чем в развитых странах (2,06%). Распределение переменных на рисунке 2.3 в виде диаграмм раз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маха также подтверждает различие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группами и обосновывает необходимость раздельного эконометрического анализа.</w:t>
      </w:r>
    </w:p>
    <w:p w:rsidR="00EF5F83" w:rsidRPr="000E5726" w:rsidRDefault="00EF5F83" w:rsidP="00DC07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77BD8A" wp14:editId="2FAF4DBF">
            <wp:extent cx="5493148" cy="3293533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537" cy="33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F83" w:rsidRPr="003E5E9F" w:rsidRDefault="0027301E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Таблица </w:t>
      </w:r>
      <w:r w:rsidR="00C02A16" w:rsidRPr="003E5E9F">
        <w:rPr>
          <w:rFonts w:ascii="Times New Roman" w:hAnsi="Times New Roman" w:cs="Times New Roman"/>
          <w:b/>
          <w:sz w:val="24"/>
          <w:szCs w:val="24"/>
          <w:lang w:val="ru-RU"/>
        </w:rPr>
        <w:t>2.2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 - </w:t>
      </w:r>
      <w:r w:rsidR="00C02A16" w:rsidRPr="003E5E9F">
        <w:rPr>
          <w:rFonts w:ascii="Times New Roman" w:hAnsi="Times New Roman" w:cs="Times New Roman"/>
          <w:b/>
          <w:sz w:val="24"/>
          <w:szCs w:val="24"/>
          <w:lang w:val="ru-RU"/>
        </w:rPr>
        <w:t>Описательная статистика основных переменных модели по группам стран</w:t>
      </w:r>
    </w:p>
    <w:p w:rsidR="00C02A16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данных Всемирного банка и результатов обработки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="00E23D01"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EF5F83" w:rsidRPr="00EF5F83" w:rsidRDefault="00EF5F83" w:rsidP="00DC076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46608A" wp14:editId="6DF28B43">
            <wp:extent cx="5897230" cy="3519805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970"/>
                    <a:stretch/>
                  </pic:blipFill>
                  <pic:spPr bwMode="auto">
                    <a:xfrm>
                      <a:off x="0" y="0"/>
                      <a:ext cx="5934884" cy="3542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F83" w:rsidRPr="003E5E9F" w:rsidRDefault="0027301E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 2.3 - </w:t>
      </w:r>
      <w:r w:rsidR="00C02A16" w:rsidRPr="003E5E9F">
        <w:rPr>
          <w:rFonts w:ascii="Times New Roman" w:hAnsi="Times New Roman" w:cs="Times New Roman"/>
          <w:b/>
          <w:sz w:val="24"/>
          <w:szCs w:val="24"/>
        </w:rPr>
        <w:t>Boxplot</w:t>
      </w:r>
      <w:r w:rsidR="00C02A16" w:rsidRPr="003E5E9F">
        <w:rPr>
          <w:rFonts w:ascii="Times New Roman" w:hAnsi="Times New Roman" w:cs="Times New Roman"/>
          <w:b/>
          <w:sz w:val="24"/>
          <w:szCs w:val="24"/>
          <w:lang w:val="ru-RU"/>
        </w:rPr>
        <w:t>-распределение переменных эконометрической модели по группам стран</w:t>
      </w:r>
    </w:p>
    <w:p w:rsidR="00C02A16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3E5E9F" w:rsidRPr="003E5E9F" w:rsidRDefault="003E5E9F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Необходимость раздельной оценки по группам стран подтверждается тестом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оу</w:t>
      </w:r>
      <w:proofErr w:type="spellEnd"/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на структурную однородность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представлены в таблице 2.3. Значение 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-статистики составило 5,3377 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 = 18;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= 631;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что позволяет отвергнуть нулев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ую гипотезу об одинаковости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коэ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фициентов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тремя группами стран на уровне значимости менее 0,001. Иными словами, оценка единой модели по всей выборке дала бы смещён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ную интерпретацию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резултатов</w:t>
      </w:r>
      <w:proofErr w:type="spellEnd"/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реально различаются между развитыми, переходными и развивающимися экономиками.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Различия статистически значимы.</w:t>
      </w:r>
    </w:p>
    <w:p w:rsidR="00EF5F83" w:rsidRPr="000E5726" w:rsidRDefault="00EF5F83" w:rsidP="00DC0760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5705F" wp14:editId="734496B2">
            <wp:extent cx="5554980" cy="716915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9832"/>
                    <a:stretch/>
                  </pic:blipFill>
                  <pic:spPr bwMode="auto">
                    <a:xfrm>
                      <a:off x="0" y="0"/>
                      <a:ext cx="5554980" cy="71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F83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Таблица 2.3 - Результаты теста 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Чоу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структурную однородность между группами стран</w:t>
      </w:r>
    </w:p>
    <w:p w:rsidR="00C02A16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3E5E9F" w:rsidRPr="003E5E9F" w:rsidRDefault="003E5E9F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Выбор между моделями с фиксированными (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случайными (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эффектами был сделан на основе теста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дополнительной теоретической аргументации. Формальный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группы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4,576;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0,87)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1,363;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0,998) указывает на допустимость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-модели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0"/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-модель не была идентифициро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>вана из-за сингулярной матрицы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связано с небольшим размером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144 наблюдения на 11 стран при 9 переменных. Тем не менее во всех трёх группах используется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-модель. Во-первых, это обеспечивает сопоставимость результатов между группами. Во-вт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орых,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страновая</w:t>
      </w:r>
      <w:proofErr w:type="spellEnd"/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гетерогенность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качество институтов, географическое положение, ис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торическая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трайктория</w:t>
      </w:r>
      <w:proofErr w:type="spellEnd"/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развития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высокой вероятностью коррелирует с уровнем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делает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состоятельным, а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несостоятельным. В-третьих, диагностика остатков показала чувствительность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теста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гетероскедасте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может завышать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value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В-четвёртых, в панельных исследованиях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межстрановых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различий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с фиксированными эффектами является более надёжным выбором.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Диагностика остатков проводилась отдельно для каждой группы стран.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Бройша-Пагана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выявил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группах развитых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87,210;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5,9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38,888;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1,21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тогда как в группе развивающихся стран гомоскедастичность не отвергается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11,790;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0,225).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Вулдриджа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показал наличие серийной автокорреляции во всех трёх группах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¹⁶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Выявленная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автокорреляция обосновывают применение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кластеризованных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странам стандартных ошибок </w:t>
      </w:r>
      <w:r w:rsidRPr="000E5726">
        <w:rPr>
          <w:rFonts w:ascii="Times New Roman" w:hAnsi="Times New Roman" w:cs="Times New Roman"/>
          <w:sz w:val="28"/>
          <w:szCs w:val="28"/>
        </w:rPr>
        <w:t>HC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1 во всех спецификациях модели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1"/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Итоговые результаты оценки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 представлены в таблице 2.4.</w:t>
      </w:r>
    </w:p>
    <w:p w:rsidR="00EF5F83" w:rsidRPr="000E5726" w:rsidRDefault="00EF5F83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60E9F" wp14:editId="657BA939">
            <wp:extent cx="6151880" cy="5417261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263" b="-739"/>
                    <a:stretch/>
                  </pic:blipFill>
                  <pic:spPr bwMode="auto">
                    <a:xfrm>
                      <a:off x="0" y="0"/>
                      <a:ext cx="6151880" cy="541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F83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Таблица 2.4 - Результаты оценки </w:t>
      </w:r>
      <w:r w:rsidRPr="003E5E9F">
        <w:rPr>
          <w:rFonts w:ascii="Times New Roman" w:hAnsi="Times New Roman" w:cs="Times New Roman"/>
          <w:b/>
          <w:sz w:val="24"/>
          <w:szCs w:val="24"/>
        </w:rPr>
        <w:t>FE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-моделей по группам стран</w:t>
      </w:r>
    </w:p>
    <w:p w:rsidR="00C02A16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 для группы развитых стран (22 страны, 330 наблюдений)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как на общий уровень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экономического роста, так и на реакцию экономики в кризисные периоды.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= 0,050)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указывает на положительную эластичность: рост интернет-проникновения на 1% связан с увеличением ВВП на душу населения примерно на 0,21% при прочих равных условиях.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равен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-1,7942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0,002), что отражает значительное отрицательное воздействие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шока. При этом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= 0,003)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говорит о смягчающей роли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пандемии.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Аналогично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, interaction term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значим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: β = 0,3943 (p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развитых странах более высокий уровень интернет-проникновения был связан с меньшим негативным эффектом кризисов 2020 и 2022 годов.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переходных экономик (16 стран, 233 наблюдения)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наиболее выраженным: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0,31% при прочих равных условиях. Однако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незначимы: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0,1105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0,661),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0,456).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Иными словами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переходных экономиках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скорее устойчивым фактором роста чем подтверждённым антикризисным буфером. Отрицательный знак коэффициента при геополитическом кризисе может быт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ь связан со спецификой </w:t>
      </w:r>
      <w:proofErr w:type="gramStart"/>
      <w:r w:rsidR="008453F5">
        <w:rPr>
          <w:rFonts w:ascii="Times New Roman" w:hAnsi="Times New Roman" w:cs="Times New Roman"/>
          <w:sz w:val="28"/>
          <w:szCs w:val="28"/>
          <w:lang w:val="ru-RU"/>
        </w:rPr>
        <w:t>выборки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включает страны непосредственно затронутые шоком 2022 года, когда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могла компенсировать структурные потери от разрыва торговых и энергетических цепочек.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развивающихся экономик включающей Узбекистан (11 стран, 144 наблюдения),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также положителен и 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0,20% при прочих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равных условиях. При этом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53F5">
        <w:rPr>
          <w:rFonts w:ascii="Times New Roman" w:hAnsi="Times New Roman" w:cs="Times New Roman"/>
          <w:sz w:val="28"/>
          <w:szCs w:val="28"/>
          <w:lang w:val="ru-RU"/>
        </w:rPr>
        <w:t>незначимыж</w:t>
      </w:r>
      <w:proofErr w:type="spellEnd"/>
      <w:r w:rsidR="008453F5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Такой результат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цифровой зрелости развивающихся экономик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поддерживает рост, но антикризисного эффекта пока не даёт.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>Потенциал есть.</w:t>
      </w:r>
      <w:r w:rsidR="00F853E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Честно говоря, это и был </w:t>
      </w:r>
      <w:proofErr w:type="gramStart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главный вопрос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с которым я начинал эту работу. О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твет оказался </w:t>
      </w:r>
      <w:proofErr w:type="gramStart"/>
      <w:r w:rsidR="00F853EF">
        <w:rPr>
          <w:rFonts w:ascii="Times New Roman" w:hAnsi="Times New Roman" w:cs="Times New Roman"/>
          <w:sz w:val="28"/>
          <w:szCs w:val="28"/>
          <w:lang w:val="ru-RU"/>
        </w:rPr>
        <w:t>неоднозначным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но именно поэтому интересным.</w:t>
      </w:r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Узбекистана это означает конкретное: расширение цифрового доступа само по себе работает на рост, но для смягчения внешних шоков нужен более высокий 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уровень цифровой инфраструктуры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институциональной интеграции и реального использования технологий в бизнесе. Дополнительно стоит учитывать огра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ничение статистической мощности,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144 наблюдения на 11 стран при 9 переменных снижают вероятность выявления слабых эффектов.</w:t>
      </w:r>
    </w:p>
    <w:p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Визуальное сопоставление интернет-проникновения и ВВП на душу населения в кризисные годы представлено на рисунке 2.4. Рисунок дополняет 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-моделей: развитые экономики находятся в зоне высоких значений обоих показателей, тогда как переходные и развивающиеся страны демонстрируют более неоднородную траекторию.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F5F83" w:rsidRPr="000E5726" w:rsidRDefault="00EF5F83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17EA24" wp14:editId="347E3947">
            <wp:extent cx="6151880" cy="3448329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344"/>
                    <a:stretch/>
                  </pic:blipFill>
                  <pic:spPr bwMode="auto">
                    <a:xfrm>
                      <a:off x="0" y="0"/>
                      <a:ext cx="6151880" cy="3448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F83" w:rsidRPr="003E5E9F" w:rsidRDefault="00C02A16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 2.4 - Взаимосвязь между уровнем интернет-проникновения и ВВП на душу населения в кризисные годы по группам стран</w:t>
      </w:r>
    </w:p>
    <w:p w:rsidR="00C02A16" w:rsidRPr="003E5E9F" w:rsidRDefault="00C02A16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Полученные коэффициенты позволяют построить условные прогнозные сценарии и сравнить потенциальный эф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фект дальнейшего роста </w:t>
      </w:r>
      <w:proofErr w:type="spellStart"/>
      <w:r w:rsidR="008453F5">
        <w:rPr>
          <w:rFonts w:ascii="Times New Roman" w:hAnsi="Times New Roman" w:cs="Times New Roman"/>
          <w:sz w:val="28"/>
          <w:szCs w:val="28"/>
          <w:lang w:val="ru-RU"/>
        </w:rPr>
        <w:t>интернет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проникновения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группами стран. Эти расчёты не являются полноценны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м макроэкономическим </w:t>
      </w:r>
      <w:proofErr w:type="gramStart"/>
      <w:r w:rsidR="008453F5">
        <w:rPr>
          <w:rFonts w:ascii="Times New Roman" w:hAnsi="Times New Roman" w:cs="Times New Roman"/>
          <w:sz w:val="28"/>
          <w:szCs w:val="28"/>
          <w:lang w:val="ru-RU"/>
        </w:rPr>
        <w:t>прогнозом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основаны на предположении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показывают лишь относительный вклад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динамику ВВП на душу населения. Сводные прогнозные значения по трём группам стран на 2025-2030 годы представлены в таблице 2.5. Детальная интерпретация сценария для Узбекистана рассматривается в §3.3.</w:t>
      </w:r>
    </w:p>
    <w:p w:rsidR="00C91D9E" w:rsidRPr="000E5726" w:rsidRDefault="00C91D9E" w:rsidP="00DC07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68163B" wp14:editId="5929D389">
            <wp:extent cx="6012180" cy="4410075"/>
            <wp:effectExtent l="0" t="0" r="762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958"/>
                    <a:stretch/>
                  </pic:blipFill>
                  <pic:spPr bwMode="auto">
                    <a:xfrm>
                      <a:off x="0" y="0"/>
                      <a:ext cx="601218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3E5E9F" w:rsidRDefault="00C02A16" w:rsidP="00C91D9E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Таблица 2.5 - Прогноз ВВП на душу населения по группам стран на 2025-2030 годы (</w:t>
      </w:r>
      <w:r w:rsidRPr="003E5E9F">
        <w:rPr>
          <w:rFonts w:ascii="Times New Roman" w:hAnsi="Times New Roman" w:cs="Times New Roman"/>
          <w:b/>
          <w:sz w:val="24"/>
          <w:szCs w:val="24"/>
        </w:rPr>
        <w:t>FE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-модели)</w:t>
      </w:r>
    </w:p>
    <w:p w:rsidR="00C02A16" w:rsidRPr="003E5E9F" w:rsidRDefault="00C02A16" w:rsidP="00C91D9E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Проведённый эконометрический анализ на несбалансированной панели 49 стран за 2010-2024 годы (707 наблюдений) даёт несколько выводов.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подтверждается: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ки значим во всех трёх группах 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0,212 для развитых,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для развивающихся экономик. Вспомогательная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также подтверждается -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отвергает однородность коэффициентов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а антикризисные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значимы только для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Число не </w:t>
      </w:r>
      <w:proofErr w:type="gramStart"/>
      <w:r w:rsidR="00286375">
        <w:rPr>
          <w:rFonts w:ascii="Times New Roman" w:hAnsi="Times New Roman" w:cs="Times New Roman"/>
          <w:sz w:val="28"/>
          <w:szCs w:val="28"/>
          <w:lang w:val="ru-RU"/>
        </w:rPr>
        <w:t>большое</w:t>
      </w:r>
      <w:proofErr w:type="gramEnd"/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но статистически значимое, и это важно.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переходных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развивающихся экономик такие эффекты статистически не подтверждаются. В развивающихся странах включая Узбекистан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 выступает прежде всего фактором роста, но не выполняет функцию макроэкономического стабилизатора. Полученны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е результаты создают </w:t>
      </w:r>
      <w:proofErr w:type="spellStart"/>
      <w:r w:rsidR="008453F5">
        <w:rPr>
          <w:rFonts w:ascii="Times New Roman" w:hAnsi="Times New Roman" w:cs="Times New Roman"/>
          <w:sz w:val="28"/>
          <w:szCs w:val="28"/>
          <w:lang w:val="ru-RU"/>
        </w:rPr>
        <w:t>количестве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ную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основу для практических рекомендаций, рассматриваемых в параграфах 3.2 и 3.3.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второй главе.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>ация</w:t>
      </w:r>
      <w:proofErr w:type="spellEnd"/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 повышает устойчивость национальных экономик, однако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эффект зависит от типа кризиса и уровня цифровой зрелости.</w:t>
      </w:r>
      <w:r w:rsidR="0006224E">
        <w:rPr>
          <w:rFonts w:ascii="Times New Roman" w:hAnsi="Times New Roman" w:cs="Times New Roman"/>
          <w:sz w:val="28"/>
          <w:szCs w:val="28"/>
          <w:lang w:val="ru-RU"/>
        </w:rPr>
        <w:t xml:space="preserve"> Картина не однозначная.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2020 году Эстония, Республика Корея, Сингапур и Польша показали более мягкое падение ВВП по 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>сравнению со средним по ЕС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связано с развитием цифрового государства, онлайн-сервисов и механизмов адресной поддержки. Кризис 2022 го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да показал пределы </w:t>
      </w:r>
      <w:proofErr w:type="spellStart"/>
      <w:r w:rsidR="009450A1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энергетические и геополитические шоки не компенсируются цифровыми технологиями даже при высокой цифровой зрелости. Эконометрика на панели 49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 стран подтвердила </w:t>
      </w:r>
      <w:proofErr w:type="spellStart"/>
      <w:r w:rsidR="009450A1">
        <w:rPr>
          <w:rFonts w:ascii="Times New Roman" w:hAnsi="Times New Roman" w:cs="Times New Roman"/>
          <w:sz w:val="28"/>
          <w:szCs w:val="28"/>
          <w:lang w:val="ru-RU"/>
        </w:rPr>
        <w:t>положительнуй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связь между интернет-проникновением и ВВП на душу населения: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подтвердил структурные различия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Антикризисный буферный эффект выявлен только у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0,3943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фактором роста во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всех группах, но функцию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макроо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кономического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стабилизатора начинает выполнять только при высоком уровне цифровой зрелости. Для Узбекистана вывод конкретный: расширение интернет-проникновения усиливает рост, но для антикризисного эффекта нужна более глубокая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частного сектора.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β=0,394 для развитых стран против незначи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>мого эффекта для развивающихся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это и есть главный количественный результат работы. </w:t>
      </w:r>
      <w:proofErr w:type="spellStart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как стабилизатор только после определённого порога зрелости. Узбек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истан этот порог ещё не </w:t>
      </w:r>
      <w:proofErr w:type="gramStart"/>
      <w:r w:rsidR="00BC19B3">
        <w:rPr>
          <w:rFonts w:ascii="Times New Roman" w:hAnsi="Times New Roman" w:cs="Times New Roman"/>
          <w:sz w:val="28"/>
          <w:szCs w:val="28"/>
          <w:lang w:val="ru-RU"/>
        </w:rPr>
        <w:t>прошёл</w:t>
      </w:r>
      <w:proofErr w:type="gramEnd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но он близко.</w:t>
      </w:r>
    </w:p>
    <w:p w:rsidR="00C02A16" w:rsidRPr="003E5E9F" w:rsidRDefault="00C02A16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1" w:name="_Toc231804952"/>
      <w:bookmarkEnd w:id="10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ГЛАВА </w:t>
      </w:r>
      <w:r w:rsidRPr="003E5E9F">
        <w:rPr>
          <w:rFonts w:ascii="Times New Roman" w:hAnsi="Times New Roman" w:cs="Times New Roman"/>
          <w:b/>
          <w:color w:val="auto"/>
          <w:sz w:val="28"/>
          <w:szCs w:val="28"/>
        </w:rPr>
        <w:t>III</w:t>
      </w:r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. ИСПОЛЬЗОВАНИЕ МЕЖДУНАРОДНОГО ОПЫТА ЦИФРОВИЗАЦИИ В УСЛОВИЯХ РЕСПУБЛИКИ УЗБЕКИСТАН</w:t>
      </w:r>
      <w:bookmarkEnd w:id="11"/>
    </w:p>
    <w:p w:rsidR="00C02A16" w:rsidRPr="003E5E9F" w:rsidRDefault="00C02A16" w:rsidP="003E5E9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2" w:name="_Toc231804953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 Современное состояние цифровой трансформации экономики Узбекистана в рамках Стратегии «Цифровой Узбекистан - 2030»</w:t>
      </w:r>
      <w:bookmarkEnd w:id="12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международного опыта из второй главы и модель пяти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из первой главы позволяют перейти к оценке текущего состояния цифровой трансформации Республики Узбе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кистан. Задача этого </w:t>
      </w:r>
      <w:proofErr w:type="gramStart"/>
      <w:r w:rsidR="00F647F9">
        <w:rPr>
          <w:rFonts w:ascii="Times New Roman" w:hAnsi="Times New Roman" w:cs="Times New Roman"/>
          <w:sz w:val="28"/>
          <w:szCs w:val="28"/>
          <w:lang w:val="ru-RU"/>
        </w:rPr>
        <w:t>параграфа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просто описать государственные программы, а охарактеризовать стартовую позицию национальной экономики по тем индикаторам которые использовались при анализе Эстонии, Республики Корея, Сингапура и Польши. Это обеспечивает методологическую сопоставимость и позволяет оценить возможности адаптации международного опыта к условиям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F647F9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Стратегия «Цифровой Узбекистан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2030», утверждённая Указом Президента Республики Узбекистан № УП-6079 от 5 октября 2020 года, определяет основные ориентиры цифровой транс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формации национальной экономики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её 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мках в 2023-2024 годах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реализово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вались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 «Цифровое правительство» и «Цифровой регион», включавшие 300 приоритетных проектов, из них 112 - в сфере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управления, 51 - в сект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орах реальной экономики и 137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 области реги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ональной цифровой трансформации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Стратегия также устанавливае</w:t>
      </w:r>
      <w:r>
        <w:rPr>
          <w:rFonts w:ascii="Times New Roman" w:hAnsi="Times New Roman" w:cs="Times New Roman"/>
          <w:sz w:val="28"/>
          <w:szCs w:val="28"/>
          <w:lang w:val="ru-RU"/>
        </w:rPr>
        <w:t>т ряд количественных ориентиров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увеличение доли цифровой экономики в ВВП не менее чем в 2,5 раза к 2026 году, расширение экспорта про</w:t>
      </w:r>
      <w:r>
        <w:rPr>
          <w:rFonts w:ascii="Times New Roman" w:hAnsi="Times New Roman" w:cs="Times New Roman"/>
          <w:sz w:val="28"/>
          <w:szCs w:val="28"/>
          <w:lang w:val="ru-RU"/>
        </w:rPr>
        <w:t>граммного обеспечения в 10 раз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 500 млн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долларов США, а также вхождение Узбекистана в число 30 ведущих стран мира по </w:t>
      </w:r>
      <w:r w:rsidR="00C02A16" w:rsidRPr="000E5726">
        <w:rPr>
          <w:rFonts w:ascii="Times New Roman" w:hAnsi="Times New Roman" w:cs="Times New Roman"/>
          <w:sz w:val="28"/>
          <w:szCs w:val="28"/>
        </w:rPr>
        <w:t>EGDI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к 2030 году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ориентиры позволяют оценить насколько фактическая динамика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заявленным целям.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международного позиционирования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заметно продвинулась по ряду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композитных индексов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рассмотре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во второй главе. По данным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Survey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ООН за 2024 год, Узбекистан занял 63-е место среди 193 стран со значением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0,7999, поднявшись с 69-й позиции в 2022 году, когда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значение инде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кса составляло 0,7265, и впервые вошёл в группу стран с «о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чень высоким» уровнем развития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електронного</w:t>
      </w:r>
      <w:proofErr w:type="spellEnd"/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правительства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5"/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Тем самым целевой показатель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≥ 0,75, установленный Стратегией на 2025 год, был достигнут раньше срока. Одновременно Узбекистан поднялся на 37 позиций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Maturity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Всемирного банка и впервые вошёл в высшую категорию «</w:t>
      </w:r>
      <w:r w:rsidRPr="000E5726">
        <w:rPr>
          <w:rFonts w:ascii="Times New Roman" w:hAnsi="Times New Roman" w:cs="Times New Roman"/>
          <w:sz w:val="28"/>
          <w:szCs w:val="28"/>
        </w:rPr>
        <w:t>A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Индексе готовности к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искусствен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ому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интеллекту </w:t>
      </w:r>
      <w:r w:rsidRPr="000E5726">
        <w:rPr>
          <w:rFonts w:ascii="Times New Roman" w:hAnsi="Times New Roman" w:cs="Times New Roman"/>
          <w:sz w:val="28"/>
          <w:szCs w:val="28"/>
        </w:rPr>
        <w:t>Oxford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Insights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страна улучшила позиции: с 87-го места в 2023 году до 70-го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 2024 году и 62-го в 2025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При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с цифровыми лидерами сохраняется: по сравнению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Эстонией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занявшей 2-е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отставание Узбекистана составляет 0,1728 пункта индекса и 61 позицию рейтинга.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Сост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ояние цифровой инфраструктуры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базовое условие для реализации пяти кана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лов влияния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усту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йчивость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экономики. В Узбекистане наблюдается расширение сетевой связности, однако по отдельным качественным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параметрам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прежде всего скорости передачи данных и развитию фиксированного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широкополосно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го доступа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отставание. К началу 2023 года протяжённость волоконно-оптических линий связи в Узбекистане превысила 227 тыс. км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⁸⁸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2024 году покрытие сетями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достигло 97% населения, тогда как покрытие сетями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составило лишь 18%.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данным Международного союза эле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ктросвязи, уровень 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 Узбекистане в 2023 году достиг 89% населе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ния против 83,9% годом ранее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структу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ра доступа остаётся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преимуществу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нно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мобильной: подписка на активную мобильную широкополосную связь составила 107%, тогда как фиксированная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широкополосная подписка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30,3%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Согласно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Speedtest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Global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 началу 2025 года медианная скорость загрузки в фиксированной сети достигла 79 Мбит/с, увеличившись на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43% за год, а в мобильной сети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38 Мбит/с, увеличившись на 53%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целом Узбекистан уже сформировал базовую цифровую инфраструктуру, но следующий этап требует повы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шения качества связи, расширение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-покрытия и развития фиксированного широкополосного доступа.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ИКТ-сектора важна для анализа пятого канала - устойчивости самого сектора как отдельного компонента национальной экономики. В случае Узбекистана этот сектор растёт быстро, хотя его доля в структуре экономики пока остаётся сравнительно небольшой. По данным Агентства государственной статистики Республики Узбекистан, в 2024 году ВВП страны в текущих ценах составил 1 454,6 трлн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или 114,96 млрд долларов США, увеличивши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сь на 6,5% в реальном выражений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доля услуг информации и связи в валовой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доба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вленной стоимости достигла 2,4%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Внутри сектора основная часть добавленной стоимост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и приходится на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телекоммуникацие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услуги, компьютерное п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рограммирование и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консультацион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услуги, тогда как хостинг, обработка данных и разработка программного обеспечения занимают меньшую долю. Темп р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оста сектора информаций1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связи в 2024 году составил 24,7% в реальном выражении, что значительно превысило общий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темп роста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рассматриват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ь ИКТ-сектор как один из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наибол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динамичных э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лементов экономики. При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со странами ОЭСР, где доля ВДС ИКТ-сектора в 2023 году в среднем составила 6,2%, показывает: Узбекистан пока находи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тся на раннем этапе формирование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экономики - высокие темпы роста сектора ещё не перешли в сопоставимую долю в ВДС.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Развитие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Узбекистана отражает формирование институциональной 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>базы для экспортно-</w:t>
      </w:r>
      <w:proofErr w:type="spellStart"/>
      <w:r w:rsidR="00C74BEF">
        <w:rPr>
          <w:rFonts w:ascii="Times New Roman" w:hAnsi="Times New Roman" w:cs="Times New Roman"/>
          <w:sz w:val="28"/>
          <w:szCs w:val="28"/>
          <w:lang w:val="ru-RU"/>
        </w:rPr>
        <w:t>ориентирован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ИКТ-сектора. Созданный в 2019 году, к концу 2024 года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объединял более 2 500 компаний-резиде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нтов и около 11 тыс. работников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Экспорт ИКТ-услуг увеличился с 50 млн долларов США в 2015 году до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344 млн долларов США в 2023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Оценки за 2024 год различаются в зависимости от источника и методологии учёта: в одних источниках указывается 620 млн долларов США, в 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других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1,15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важнее учитывать не отдельную оценку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, а общую динамику: экспорт ИКТ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услуг показывает устойчивый рост что подтверждает усиление роли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институционального центра цифровой экономики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>ифровизация</w:t>
      </w:r>
      <w:proofErr w:type="spellEnd"/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одно из наиболее быстро развивающихся направлений цифровой трансформации Узбекистана. Она создаёт основу для канала фискальной трансмиссии. По данным отчёта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Mastercard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0E5726">
        <w:rPr>
          <w:rFonts w:ascii="Times New Roman" w:hAnsi="Times New Roman" w:cs="Times New Roman"/>
          <w:sz w:val="28"/>
          <w:szCs w:val="28"/>
        </w:rPr>
        <w:t>Fintech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Market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» за 2023 год, число пользователей удалённых банковских услуг увеличилось с примерно 8 млн человек в 2018 год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у до 30 млн человек в 2022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2020-2022 годах объём транзакций через системы </w:t>
      </w:r>
      <w:r w:rsidRPr="000E5726">
        <w:rPr>
          <w:rFonts w:ascii="Times New Roman" w:hAnsi="Times New Roman" w:cs="Times New Roman"/>
          <w:sz w:val="28"/>
          <w:szCs w:val="28"/>
        </w:rPr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-онлайн рос в среднем на 119% в год, а совокупная стоимость операци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увеличилась примерно в 15 раз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началу 2024 года в обращении находилось более 5,6 млн держателей платёжных карт, число клиентов интернет-банкинга превысило 900 тыс., а на 100 тыс. населения приходилось 28,3 банкомата и 552,5 </w:t>
      </w:r>
      <w:r w:rsidRPr="000E5726">
        <w:rPr>
          <w:rFonts w:ascii="Times New Roman" w:hAnsi="Times New Roman" w:cs="Times New Roman"/>
          <w:sz w:val="28"/>
          <w:szCs w:val="28"/>
        </w:rPr>
        <w:t>POS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-терминала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Совокупный объём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транзакциии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межбанковскую систему в 2024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году превысил 7 279 трлн </w:t>
      </w:r>
      <w:proofErr w:type="spellStart"/>
      <w:r w:rsidR="00302040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данные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цифровые финансы в Узбекистане уже формируют инфраструктурную базу для более быстрой передачи государственных выплат, поддержк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и бизнеса и антикризисных мер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во второй главе рассматривалось на примере Сингапура и Республики Корея.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Систематизация рассмотренных показателей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трансформация Узбекистана развивается неравномерно. С одной стороны, страна заметно продвинулась в развитии цифрового государства, базовой инфр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аструктуры и цифровых финансов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подтверждается международными индексами и ростом использования онлайн-сервисов.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раняется отставание по доле ИКТ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сектора в валовой добавленной стоимости и по распространению продвинутых цифровых технологий среди предприятий.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 этом смысле Узбекистан близок к польской модели «конвергенции с ограничениями» из §2.1: при активном развитии государст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венных цифровых сервисов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сохране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в цифровой зрелости частного сектора. Возможности сокращения этой асимметрии на основе адаптации международного опыта рассматриваются в следующем параграфе.</w:t>
      </w:r>
      <w:r w:rsidR="00D6223A" w:rsidRPr="00D6223A">
        <w:t xml:space="preserve">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63-е место из 193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звучит скромно. Но ещё в 2022 году это было 69-е место. За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два года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шесть позиций вверх. При таком темпе к 2030 году цель войти в топ-30 выглядит реалистично.</w:t>
      </w:r>
    </w:p>
    <w:p w:rsidR="00E23D01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3E5E9F" w:rsidRDefault="00C02A16" w:rsidP="003E5E9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3" w:name="_Toc231804954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3.2. Адаптация международного опыта цифровой трансформации к условиям Республики Узбекистан</w:t>
      </w:r>
      <w:bookmarkEnd w:id="13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Результаты эконометрического анализа из параграфа 2.3 и сравнительный анализ четырёх стран-лидеров позволяют перейти к оценке того, какой международный опыт может быть адаптирован к условиям Узбекистана. В этом параграфе адаптация понимается не как прямое копирование отдельных инструментов, а как выборочное использование институциональных решений с учётом стартовых условий национальной экономики рассмотренных в параграфе 3.1.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Отправной точкой является результат из §2.3: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статистически значимые различия между развитыми, переходными и развивающимися экономиками. Узбекистан, согласно классификации Всемирного банка </w:t>
      </w:r>
      <w:r w:rsidRPr="000E5726">
        <w:rPr>
          <w:rFonts w:ascii="Times New Roman" w:hAnsi="Times New Roman" w:cs="Times New Roman"/>
          <w:sz w:val="28"/>
          <w:szCs w:val="28"/>
        </w:rPr>
        <w:t>lower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middle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income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методологии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3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относится к группе развивающихся экономик, включающей 11 стран и 144 наблюдения. В этой группе коэффициент при основном регрессоре </w:t>
      </w:r>
      <w:r w:rsidRPr="000E5726">
        <w:rPr>
          <w:rFonts w:ascii="Times New Roman" w:hAnsi="Times New Roman" w:cs="Times New Roman"/>
          <w:sz w:val="28"/>
          <w:szCs w:val="28"/>
        </w:rPr>
        <w:lastRenderedPageBreak/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) - это показывает положительную связь между интернет-проникновением и ВВП на душу населения: рост доли интернет-пользователей на 1% ассоциируется с увеличением ВВП на душу населения примерно на 0,20%.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Однако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оказались статистически незначимыми: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Это означает что при текущем уровне цифровой зрелости Узбекистана цифровые технологии поддерживают рост в обычных условиях, но пока не дают устойчивого буферного эффекта при внешних шоках.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Узбекистану поэтому нужно не только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расширении цифрового доступа, но и в превращении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полноценный инструмент антикризисной устойчивости.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экономиках (22 страны, 330 наблюдений)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статистически значимым.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Коэффициент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Crisis_COVID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составил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β = 0,394 (p = 0,003), 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- β = 0,394 (p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странах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не только функцию фактора роста, но и роль макроэкономического стабилизатора в период внешних шоков. Для Узбекистана этот результат задаёт стратегический ориентир: нужно достичь такого уровня цифровой зрелости при котором цифровые технологии смогу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т смягчать не только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транзакцио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ограничения, но и кризисные колебания экономической активности. Графическое сопоставление кризисных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группам стран представлено на рисунке 3.1.</w:t>
      </w:r>
    </w:p>
    <w:p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A52382" wp14:editId="3E500BEB">
            <wp:extent cx="6151880" cy="3290865"/>
            <wp:effectExtent l="0" t="0" r="127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0991"/>
                    <a:stretch/>
                  </pic:blipFill>
                  <pic:spPr bwMode="auto">
                    <a:xfrm>
                      <a:off x="0" y="0"/>
                      <a:ext cx="6151880" cy="329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3E5E9F" w:rsidRDefault="00C02A16" w:rsidP="00C91D9E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3.1 - Дифференциальная эластичность 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цифровизации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 кризисные периоды по группам стран</w:t>
      </w:r>
    </w:p>
    <w:p w:rsidR="00C02A16" w:rsidRPr="003E5E9F" w:rsidRDefault="00C02A16" w:rsidP="00C91D9E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моделей цифровой трансформации из §2.1 позволяет выделить элементы международного опыта полезные для Узбекистана. Эстонская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особый интерес, поскольку обеспечивает защищённый обмен данными между государственными органами и частным сектором, усиливая канал фискальной трансмиссии и 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нижая административные издержки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Дополнительным преимуществом является открытая архитектура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что снижает барьеры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технологического заимствования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Вместе с тем прямое копирование эстонской модели невозможно из-за разницы в масштабе. Население Эстонии составляет около 1,3 млн человек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тогда как населени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Узбекистана превышает 36 мл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для Узбекистана важен не буквальный перенос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 адаптация её ключевых принципов -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защищённого обмена данными, открытой архитектуры и масштабируемости цифровой инфраструктуры. Более широкие различия между группами стран по уровню экономического 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азвития и интернет-проникновение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на рисунке 3.2.</w:t>
      </w:r>
    </w:p>
    <w:p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5FA1C" wp14:editId="54B8BF70">
            <wp:extent cx="6151880" cy="2895936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554"/>
                    <a:stretch/>
                  </pic:blipFill>
                  <pic:spPr bwMode="auto">
                    <a:xfrm>
                      <a:off x="0" y="0"/>
                      <a:ext cx="6151880" cy="289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3E5E9F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3.2 - Динамика </w:t>
      </w:r>
      <w:r w:rsidRPr="003E5E9F">
        <w:rPr>
          <w:rFonts w:ascii="Times New Roman" w:hAnsi="Times New Roman" w:cs="Times New Roman"/>
          <w:b/>
          <w:sz w:val="24"/>
          <w:szCs w:val="24"/>
        </w:rPr>
        <w:t>ln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</w:rPr>
        <w:t>GDPpc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и </w:t>
      </w:r>
      <w:r w:rsidRPr="003E5E9F">
        <w:rPr>
          <w:rFonts w:ascii="Times New Roman" w:hAnsi="Times New Roman" w:cs="Times New Roman"/>
          <w:b/>
          <w:sz w:val="24"/>
          <w:szCs w:val="24"/>
        </w:rPr>
        <w:t>ln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(интернет-проникновения) по группам стран за 2010-2024 годы</w:t>
      </w:r>
    </w:p>
    <w:p w:rsidR="00C02A16" w:rsidRPr="003E5E9F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Корейская модель масштабного государственного инвестирования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релевантна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Узбекистана прежде всего с точки зр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ения институционального дизайна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Опыт Республики Корея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включение цифровых проектов в антикризисные бюджетные программы позволяет одноврем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енно поддерживать восстановления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создавать основу для долгоср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очной устойчивости. Но,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прямое воспроизведение корейской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модели ограничено масштабом финансирования: объём средств на развитие ведущих цифровых технологий составил 10,1 трлн вон, или около 8,5 млрд долларов США. Поэто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му для Узбекистана лучше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заимствовать не м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асштаб расходов, а сам принцип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привязку программ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бюджетным циклам.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Польская модель имеет значение для Узбекистана в контексте преодоления асимметрии цифровой зрелости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выявленной в §3.1. Её ключевой урок в том что развитие цифрового государства должно сопровождаться целевыми мерами 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малого и среднего бизнеса 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иначе возникает разрыв между государственными сервисами и частным сектором. В условиях Узбекис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тана такую функцию могут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выполне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 Азиатского банка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Европейского банка реконструкции и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Всемирного банка, уже участвующие в финансировании проектов цифровой инфраструктуры.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Сингапурская модель наименее пригодна для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прямого переноса в Узбекистан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Сингапур является городом-государством площадью 728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тогда как Узбекистан занимает 448 тыс.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имеет выраженную региональную дисперсию. Вместе с тем отдельны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е элементы сингапурского опыта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прежде всего система цифровой идентификации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SingPass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механизмы адресной фискально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й помощи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черезз</w:t>
      </w:r>
      <w:proofErr w:type="spellEnd"/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цифровые каналы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могут быть адаптированы для крупных городов Узбекистана, включая Ташкент, Самарканд и Бухару.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Синтез сравнительного и эконометрического анализа позволяет </w:t>
      </w:r>
      <w:r w:rsidR="003B484D" w:rsidRPr="003B484D">
        <w:rPr>
          <w:rFonts w:ascii="Times New Roman" w:hAnsi="Times New Roman" w:cs="Times New Roman"/>
          <w:sz w:val="28"/>
          <w:szCs w:val="28"/>
          <w:lang w:val="ru-RU"/>
        </w:rPr>
        <w:t>обозначить главное направление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Узбекистана приоритетом должна стать не формальная максимизация композитных индексов цифровой зрелости, а развитие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инфраструктур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ы канала фискальной трансмиссии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системы цифровой идентификации, интегрированных межведомственных баз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данных и цифровых платежей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Именно этот канал, как показано в §2.2, обеспечил высокую скорость развёртывания антикризисных программ в Сингапуре и Республике Ко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рея в период пандемии 2020 года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X-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2,2 млрд транза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кций в год для 1,3 млн человек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это 1700 на человека. Если масштаб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ировать на Узбекистан с 36 млн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потребуется система способная держать 61 млрд транзакций.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D6223A">
        <w:rPr>
          <w:rFonts w:ascii="Times New Roman" w:hAnsi="Times New Roman" w:cs="Times New Roman"/>
          <w:sz w:val="28"/>
          <w:szCs w:val="28"/>
          <w:lang w:val="ru-RU"/>
        </w:rPr>
        <w:t>амбициозная</w:t>
      </w:r>
      <w:proofErr w:type="gramEnd"/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но решаемая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Эстония начинала с нуля в 2001 году.</w:t>
      </w:r>
    </w:p>
    <w:p w:rsidR="00E23D01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EB0285" w:rsidRDefault="00C02A16" w:rsidP="00EB0285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4" w:name="_Toc231804955"/>
      <w:r w:rsidRPr="00EB028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 Практические рекомендации по укреплению цифровой устойчивости экономики Республики Узбекистан и оценка ожидаемого эффекта</w:t>
      </w:r>
      <w:bookmarkEnd w:id="14"/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Практические рекомендации этого параграфа опираются на три результата полученные в ходе исследования. Во-первых, в группе развивающихся экономик выявлена статистически значимая положительная связь между интернет-проникновением и ВВП на душу населения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Во-вторых, в этой же группе не подтверждён самостоятельный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В-третьих, такой эффект выявлен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0,003). Поэтому рекомендации имеют двухуровневую логику: первый уровень - усиление прямого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как фактора роста, </w:t>
      </w:r>
      <w:proofErr w:type="gramStart"/>
      <w:r w:rsidR="00F74968">
        <w:rPr>
          <w:rFonts w:ascii="Times New Roman" w:hAnsi="Times New Roman" w:cs="Times New Roman"/>
          <w:sz w:val="28"/>
          <w:szCs w:val="28"/>
          <w:lang w:val="ru-RU"/>
        </w:rPr>
        <w:t>второй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создание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институциональных условий для перехода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функции макроэкономического стабилизатора.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Первая рекомендация - дальнейшее расширение интернет-проникновения как о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сновного показателя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цифровизаций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использованного в модели. По данным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Международного союза эле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ктросвязи, уровень 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 Узбекистане в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2023 году достиг 89% населения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Прогнозный сценарий на основе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-модели для группы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разв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вающихся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 показывает количественный эффект дальнейшего роста: при достижении уровня интернет-проникновения 90% прогнозный ВВП на душу населения составит примерно 3 653 доллара США в постоянных ценах 20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15 года, а при достижении 95%</w:t>
      </w:r>
      <w:r w:rsidR="00386D9A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около 3 693 долларов США. Соответствующий сценарий представлен на рисунке 3.3.</w:t>
      </w:r>
    </w:p>
    <w:p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51F87" wp14:editId="49E750D7">
            <wp:extent cx="6151880" cy="3266103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1676"/>
                    <a:stretch/>
                  </pic:blipFill>
                  <pic:spPr bwMode="auto">
                    <a:xfrm>
                      <a:off x="0" y="0"/>
                      <a:ext cx="6151880" cy="326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EB0285" w:rsidRDefault="00386D9A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Рисунок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3.3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Прогнозный сценарий ВВП на душу населения для Узбекистана при росте интернет-проникновения</w:t>
      </w:r>
    </w:p>
    <w:p w:rsidR="00C02A16" w:rsidRDefault="00C02A16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proofErr w:type="spellStart"/>
      <w:r w:rsidRPr="00EB0285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EB0285" w:rsidRPr="00EB0285" w:rsidRDefault="00EB0285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C02A1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Сопоставление с базовым модельным уровнем 3 569 долларов при 80-процентном интернет-проникновении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дальнейшее расширение цифрового доступа может дать прирост порядка 84-124 долларов на душу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населения. При численности населения свыше 36 млн человек это соответствует совокупному макроэкономическому эффекту примерно 3,0-4,5 м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лрд долларов США. При этом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допо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нительный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эффект перехода от 90% к 95% интернет-проникновения составляет около 40 долларов США на душу населения, или примерно 1,4 млрд долларов США в масштабе экономики. Эти оценки условны и основ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аны </w:t>
      </w:r>
      <w:proofErr w:type="gramStart"/>
      <w:r w:rsidR="00386D9A">
        <w:rPr>
          <w:rFonts w:ascii="Times New Roman" w:hAnsi="Times New Roman" w:cs="Times New Roman"/>
          <w:sz w:val="28"/>
          <w:szCs w:val="28"/>
          <w:lang w:val="ru-RU"/>
        </w:rPr>
        <w:t>на предположений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более точная оценка доверительных интервалов для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-прогнозов требует </w:t>
      </w:r>
      <w:r w:rsidRPr="000E5726">
        <w:rPr>
          <w:rFonts w:ascii="Times New Roman" w:hAnsi="Times New Roman" w:cs="Times New Roman"/>
          <w:sz w:val="28"/>
          <w:szCs w:val="28"/>
        </w:rPr>
        <w:t>bootstrap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-процедуры, что выходит за рамки этой работы. Детальные прогнозные значения по го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дам представлены в таблице 3.1.</w:t>
      </w:r>
    </w:p>
    <w:p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516EE" wp14:editId="261D8599">
            <wp:extent cx="6151880" cy="1689561"/>
            <wp:effectExtent l="0" t="0" r="127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919"/>
                    <a:stretch/>
                  </pic:blipFill>
                  <pic:spPr bwMode="auto">
                    <a:xfrm>
                      <a:off x="0" y="0"/>
                      <a:ext cx="6151880" cy="168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EB0285" w:rsidRDefault="00386D9A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Таблица 3.1 - 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Прогноз ВВП на душу населения для Узбекистана на 2025-2030 годы (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FE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-модель, 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ceteris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paribus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C02A16" w:rsidRPr="00EB0285" w:rsidRDefault="00C02A16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EB0285">
        <w:rPr>
          <w:rFonts w:ascii="Times New Roman" w:hAnsi="Times New Roman" w:cs="Times New Roman"/>
          <w:i/>
          <w:sz w:val="24"/>
          <w:szCs w:val="24"/>
        </w:rPr>
        <w:t>R</w:t>
      </w: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EB0285">
        <w:rPr>
          <w:rFonts w:ascii="Times New Roman" w:hAnsi="Times New Roman" w:cs="Times New Roman"/>
          <w:i/>
          <w:sz w:val="24"/>
          <w:szCs w:val="24"/>
        </w:rPr>
        <w:t>Studio</w:t>
      </w:r>
      <w:r w:rsidR="00E872C1"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Default="00386D9A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Сравнение тре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х сценариев роста интернет-проникновения и связанной с ними динамик</w:t>
      </w:r>
      <w:r>
        <w:rPr>
          <w:rFonts w:ascii="Times New Roman" w:hAnsi="Times New Roman" w:cs="Times New Roman"/>
          <w:sz w:val="28"/>
          <w:szCs w:val="28"/>
          <w:lang w:val="ru-RU"/>
        </w:rPr>
        <w:t>и ВВП на душу население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на рисунке 3.4.</w:t>
      </w:r>
    </w:p>
    <w:p w:rsidR="00C91D9E" w:rsidRPr="000E5726" w:rsidRDefault="00C91D9E" w:rsidP="00DC0760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9B0FF4" wp14:editId="38BFE785">
            <wp:extent cx="6151880" cy="2732758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2709"/>
                    <a:stretch/>
                  </pic:blipFill>
                  <pic:spPr bwMode="auto">
                    <a:xfrm>
                      <a:off x="0" y="0"/>
                      <a:ext cx="6151880" cy="273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9E" w:rsidRPr="00EB0285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Рисунок 3.4 - Прогноз ВВП на душу населения для Узбекистана по трём сценариям на 2025-2030 годы</w:t>
      </w:r>
    </w:p>
    <w:p w:rsidR="00C02A16" w:rsidRPr="00EB0285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>Источник: составлено автором на основе результатов</w:t>
      </w:r>
      <w:r w:rsidR="00386D9A"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эконометрического моделирование</w:t>
      </w: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в </w:t>
      </w:r>
      <w:proofErr w:type="spellStart"/>
      <w:r w:rsidRPr="00EB0285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="00E872C1"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Вторая реком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ендация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преодоление асимметрии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цифровой зрелости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выявленной в §3.1, то есть разрыва между развитием государственных цифровых сервисов и более ограниченной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сектора. Эконометрический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 группе развивающихся экономик экспорт высокотехнологичных товаров пока не является статистически значимым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-0,0013;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0,835), тогда как в группе развитых стран его вклад положителен и значим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0,0067;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0,027). Это указывает на то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в Узбекистане пока не достигла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уровня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котором она транслируется в структурную диверсификацию э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кспорта. В практическом плане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комендуется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расширение программ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направлении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лей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текстильной промышленности, агропромышл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енного комплекса,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горнодобычи</w:t>
      </w:r>
      <w:proofErr w:type="spellEnd"/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а не только экспорт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но-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ориентирован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ИТ-сектора.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Третья рекомендация касается развития инфраструктуры канала фискальной трансмиссии. Как показал анализ параграфа 2.2, антикризисная скорость Сингапура и Республики Корея в 2020 году определялась не столько общим масштабом цифровой экономики, сколько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наличием трёх базовых элементов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системы цифровой идентификаци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и, интегрированных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межведомстве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баз данных и инфраструктуры мгновенных цифровых платежей. В Узбекистане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первый элемент уже формируется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второй находится на ранней стадии; третий демонстрирует быстрый рост: объём </w:t>
      </w:r>
      <w:r w:rsidRPr="000E5726">
        <w:rPr>
          <w:rFonts w:ascii="Times New Roman" w:hAnsi="Times New Roman" w:cs="Times New Roman"/>
          <w:sz w:val="28"/>
          <w:szCs w:val="28"/>
        </w:rPr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-транзакций увеличивался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на 119% в год в 2020-2022 годах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7"/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. Рекомендуется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ускореннуе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завершение интеграции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 по модели эстонской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создаст технологическую основу для адресного и быстрого развёртывания антикризисных прог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рамм при будущих внешних шоках.</w:t>
      </w:r>
    </w:p>
    <w:p w:rsidR="00C02A16" w:rsidRPr="000E5726" w:rsidRDefault="00386D9A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Четвёртая рекомендация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учёт типа кризиса при проектировании цифровой устойчивости. Эконометрический анализ показал различие между двумя видами шоков: при пандемии </w:t>
      </w:r>
      <w:r w:rsidR="00C02A16" w:rsidRPr="000E5726">
        <w:rPr>
          <w:rFonts w:ascii="Times New Roman" w:hAnsi="Times New Roman" w:cs="Times New Roman"/>
          <w:sz w:val="28"/>
          <w:szCs w:val="28"/>
        </w:rPr>
        <w:t>COVID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-19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дала статистически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значимый буферный эффект в группе развитых стран (</w:t>
      </w:r>
      <w:r w:rsidR="00C02A16" w:rsidRPr="000E5726">
        <w:rPr>
          <w:rFonts w:ascii="Times New Roman" w:hAnsi="Times New Roman" w:cs="Times New Roman"/>
          <w:sz w:val="28"/>
          <w:szCs w:val="28"/>
        </w:rPr>
        <w:t>p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тогда как при геополитическом кризисе 2022 года её эффект оказался менее универсальным. Для группы переходных экономик коэффициент </w:t>
      </w:r>
      <w:r w:rsidR="00C02A16" w:rsidRPr="000E5726">
        <w:rPr>
          <w:rFonts w:ascii="Times New Roman" w:hAnsi="Times New Roman" w:cs="Times New Roman"/>
          <w:sz w:val="28"/>
          <w:szCs w:val="28"/>
        </w:rPr>
        <w:t>interaction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2A16" w:rsidRPr="000E5726">
        <w:rPr>
          <w:rFonts w:ascii="Times New Roman" w:hAnsi="Times New Roman" w:cs="Times New Roman"/>
          <w:sz w:val="28"/>
          <w:szCs w:val="28"/>
        </w:rPr>
        <w:t>term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геополитическом кризисе отрицателен, но статистически незначим (</w:t>
      </w:r>
      <w:r w:rsidR="00C02A16" w:rsidRPr="000E5726">
        <w:rPr>
          <w:rFonts w:ascii="Times New Roman" w:hAnsi="Times New Roman" w:cs="Times New Roman"/>
          <w:sz w:val="28"/>
          <w:szCs w:val="28"/>
        </w:rPr>
        <w:t>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-0,1252; </w:t>
      </w:r>
      <w:r w:rsidR="00C02A16" w:rsidRPr="000E5726">
        <w:rPr>
          <w:rFonts w:ascii="Times New Roman" w:hAnsi="Times New Roman" w:cs="Times New Roman"/>
          <w:sz w:val="28"/>
          <w:szCs w:val="28"/>
        </w:rPr>
        <w:t>p</w:t>
      </w:r>
      <w:r w:rsidR="00C91D9E">
        <w:rPr>
          <w:rFonts w:ascii="Times New Roman" w:hAnsi="Times New Roman" w:cs="Times New Roman"/>
          <w:sz w:val="28"/>
          <w:szCs w:val="28"/>
          <w:lang w:val="ru-RU"/>
        </w:rPr>
        <w:t> = </w:t>
      </w:r>
      <w:r>
        <w:rPr>
          <w:rFonts w:ascii="Times New Roman" w:hAnsi="Times New Roman" w:cs="Times New Roman"/>
          <w:sz w:val="28"/>
          <w:szCs w:val="28"/>
          <w:lang w:val="ru-RU"/>
        </w:rPr>
        <w:t>0,456)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отражает ограниченную способность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компенсировать потери от разрыва торговых и энергетических цепочек. Для Узбекистана это означает что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инструмент противодействия шокам мобильнос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 и информационной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ассиметрии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пандемиям, логистическим сбоям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административным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ограничениям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но не как замену политике энергетической безопасности и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>иверсификаций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внешней торговли.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Пятая рекомендация связана с ограничением статистической мощности модели для группы развивающихся экономик. В этой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использовались 144 наблюдения что снижает вероятность выявления слабых эффектов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кризисные периоды. Поэтому незначимость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может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ясняться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отсутствием антикризисног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о эффекта, но и ограниченным объе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мом данных. В связи с этим рекомендуется организация систематического мониторинга показателей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экономической устойчивости Узбекистана в рамках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периодической повторной оценкой эконометрической модели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мере накопления данных. Включение Узбекистана в международные панельные базы 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повысит сопоставимость результатов и позволит 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намного точно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отслеживать его сближение с группой переходных экономик, где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рост выражен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более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сильнее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E872C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Обобщение 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тех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пяти рекомендаций позволяет определить последовательность приоритетов. На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первом этапе (2025-2027 </w:t>
      </w:r>
      <w:proofErr w:type="gramStart"/>
      <w:r w:rsidR="00386D9A">
        <w:rPr>
          <w:rFonts w:ascii="Times New Roman" w:hAnsi="Times New Roman" w:cs="Times New Roman"/>
          <w:sz w:val="28"/>
          <w:szCs w:val="28"/>
          <w:lang w:val="ru-RU"/>
        </w:rPr>
        <w:t>годы)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завершить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инфрас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труктуры фискальной трансмиссии,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интегрировать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данных, расширить инфраструктуру цифровых платежей и довести интернет-проникновение до 90%. На втором этапе (2027-2030 годы) основное внимание должно быть направлено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ого сектора и сокращение разрывов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государст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венными онлайн-сервисами и </w:t>
      </w:r>
      <w:proofErr w:type="spellStart"/>
      <w:r w:rsidR="00114396">
        <w:rPr>
          <w:rFonts w:ascii="Times New Roman" w:hAnsi="Times New Roman" w:cs="Times New Roman"/>
          <w:sz w:val="28"/>
          <w:szCs w:val="28"/>
          <w:lang w:val="ru-RU"/>
        </w:rPr>
        <w:t>цифру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вой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зрелостью предприятий через целевые программы для малого и среднего бизнеса. На третьем эта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пе, после 2030 года, приоритет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достижение такого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функцию макроэкономического стабилизатора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аналогичную выявленной в группе развиты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х стран. Указанная </w:t>
      </w:r>
      <w:proofErr w:type="spellStart"/>
      <w:r w:rsidR="00114396">
        <w:rPr>
          <w:rFonts w:ascii="Times New Roman" w:hAnsi="Times New Roman" w:cs="Times New Roman"/>
          <w:sz w:val="28"/>
          <w:szCs w:val="28"/>
          <w:lang w:val="ru-RU"/>
        </w:rPr>
        <w:t>последовател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согласуется с целевыми показателями Стратегии «Цифровой Узбекистан - 2030»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опирается на количественные результаты настоящего исследования.</w:t>
      </w:r>
      <w:r w:rsidR="00D6223A" w:rsidRPr="00D6223A">
        <w:t xml:space="preserve">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Три этапа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025-2027, 2027-2030, после 2030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красивая схема. За каждым этапом стоит конкретный порог: 90% интернет-проникновения, работающий 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MyID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частного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сектора. Пропустишь один </w:t>
      </w:r>
      <w:proofErr w:type="gramStart"/>
      <w:r w:rsidR="00D6223A">
        <w:rPr>
          <w:rFonts w:ascii="Times New Roman" w:hAnsi="Times New Roman" w:cs="Times New Roman"/>
          <w:sz w:val="28"/>
          <w:szCs w:val="28"/>
          <w:lang w:val="ru-RU"/>
        </w:rPr>
        <w:t>этап</w:t>
      </w:r>
      <w:proofErr w:type="gram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следующий не сработает.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третьей главе. Анализ цифровой трансформации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достигла заметного прогресса в развитии электронного правительства и базовой цифровой инфраструктуры.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- 97%.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Для меня это неожиданно высокая цифр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ещё пять лет назад картина была совершенно другой. Прогресс </w:t>
      </w:r>
      <w:proofErr w:type="spellStart"/>
      <w:proofErr w:type="gramStart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реальный.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spellEnd"/>
      <w:proofErr w:type="gramEnd"/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яется структурная асимметрия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активном развитии государственных цифровых сервисов доля услуг информации и св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язи в ВДС составляет лишь 2,4%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ниже среднего уровня стран ОЭСР. Сопоставление с результатами эконометрического анализа показывает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выступает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однако пока не достигла уровня при котором она выполняет функцию антикризисного стабилизатора. Для адаптации наиболее применимы: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корейская привязка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поддержка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 и сингапурские решения в сфере цифровой идентификации. Рекомендаци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и предполагают поэтапный подход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2025-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2027 годах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межведомственной интеграции, цифровых платежей и доведение интернет-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проникнов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ения до 90%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в 2027-2030 годах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 и час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тного сектора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после 2030 года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функцию не только фактора роста, но и макроэкономического стабилизатора.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Задача конкретная.</w:t>
      </w: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2DBB" w:rsidRPr="000E5726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EB0285" w:rsidRDefault="00C02A16" w:rsidP="00EB0285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5" w:name="_Toc231804956"/>
      <w:r w:rsidRPr="00EB028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ЗАКЛЮЧЕНИЕ</w:t>
      </w:r>
      <w:bookmarkEnd w:id="15"/>
    </w:p>
    <w:p w:rsidR="00C02A16" w:rsidRPr="000E5726" w:rsidRDefault="003B484D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этой работе было изучено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теоретическое осмысление и эмпирическая проверка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связи между цифровой трансформацией национальных экономик и их устойчивостью к глобальным кризисным шокам. В работе рассматривался вопрос о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является ли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значимым фактором экономической усто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>йчивости и при каких условиях ее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влияние проявляется наиболее заметно. Ответ был получен на основе сочетания теоретического анализа, сравнительного изучения международного опыта и эконометрического моделирования.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Теоретическая рамка первой главы опирается на подходы к экономической уязвимости и устойч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ивости из работ Л. </w:t>
      </w:r>
      <w:proofErr w:type="spellStart"/>
      <w:r w:rsidR="006B77F0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 и со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авторов, аналитические материалы ОЭСР, а также трактовки цифровой экономики Всемирного банка и других международных организаций.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экономик: непрерывность государствен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ных функций, фискальная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трансми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адаптация частного сектора, диверсификация конечного спроса и устойчивость информационно-коммуникационного сектора. Главный теоретический вывод первой главы в том что устойчивость экономики формируется не только в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момент кризиса, а заранее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через качество институтов, уровень инфраструктурного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развития,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цифровую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готовность и способность быстро адаптироваться к внешним шокам.</w:t>
      </w:r>
    </w:p>
    <w:p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Эстонии, Республики Корея, Сингапура и Польши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был связан с более мягкой реакцией экономик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пандемийный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2020 года. Цифровое государство, онлайн-сервисы, электронная идентификация, цифровые платежи и механизмы адресной поддержки позволили этим странам быстрее сохранять государственные функции, поддерживать бизнес и население, а также частично компенсировать ограничения физической мобильности. Вместе с тем кризис 2022 года выявил пределы этого эффекта: энергетические, ценовые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геополитические шоки не могут быть полностью нейтрализованы цифровыми технологиями даже при высоком уровне цифровой инфраструктуры. Эстония и Польша, несмот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ря на развитые цифровые сервисы,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столкнулись с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высоким инфляционным давлением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связанным с энергетическими и внешнеторговыми факторами. Это подтвердило необходимость раздельного учёта кризисов 2020 и 2022 годов в эконометрической модели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161822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="00161822">
        <w:rPr>
          <w:rFonts w:ascii="Times New Roman" w:hAnsi="Times New Roman" w:cs="Times New Roman"/>
          <w:sz w:val="28"/>
          <w:szCs w:val="28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Основной эмпирический результат работы получен в §2.3 на несбалансированной панели 49 стран за 2010-2024 годы (707 наблюдений).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5,3377;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структурную неоднородность выборки и обосновал раздельный анализ трёх групп стран. Основная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₁ подтверждена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ически значим во всех группах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Вспомогательная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также получила подтверждение: антикризисный буферный эффект, выраженный через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статистически выявлен только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0,003;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В переходных и развивающихся экономиках аналогичные эффекты статистически не подтверждаются. 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имеет пороговый характер: цифровые технологии становятся полноценным антикризисным стабилизатором только при достижении высок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Применительно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Республике Узбекистан третья глава показала наличие асимметрии цифровой трансформации. С одной стороны, страна достигла заметного прогресса в развитии электронного правительства и базовой цифровой инфраструктуры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97% населения.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ставание по глубине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цифровизаци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сектора: доля услуг информации и связи в ВДС составляет 2,4%, что ниже среднего уровня стран ОЭСР. Эконометрические результаты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развитий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поддерживает экономический рост: рост интернет-проникновения на 1% связан с увеличением ВВП на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душу население примерно на 0,2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% при прочих равных условиях.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Цифра небольшая на первый взгляд. Но если умножить на 36 миллионов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 жителей Узбекистана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масштаб становится понятным.</w:t>
      </w:r>
      <w:r w:rsidR="00F853EF">
        <w:rPr>
          <w:rFonts w:ascii="Times New Roman" w:hAnsi="Times New Roman" w:cs="Times New Roman"/>
          <w:sz w:val="28"/>
          <w:szCs w:val="28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Однако антикризисная буферная функция для группы развивающихся экономик включая Узбекистан, пока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что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не идентифицируется. Прогнозный сценарий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дополнительный переход от 90% к 95% интернет-проникновения может быть связан с эффектом около 40 долларов США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душу населения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(ВВП на душу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насления</w:t>
      </w:r>
      <w:proofErr w:type="spellEnd"/>
      <w:r w:rsidR="0016182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или примерно 1,4 млрд долларов США в масштабе экономики.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Сформулированные практические рекомендации образуют поэтапную программу цифрового развития с горизонтом до 2030 года и после. На первом этап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е в 2025-2027 годах приоритет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развитие инфр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аструктуры фискальной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трансмисси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межведомственной интеграции, цифровых платежей и расширения интернет-проникновения. На втором этапе в 2027-2030 годах ключевая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преодоление асимметрии цифровой зрелости через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отраслей, малого и среднего бизнеса, а также расширение использования цифровых технологий в частном секторе. После 2030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года стратегический ориентир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не только функцию фактора роста, но и функцию макроэкономического стабилизатора. Адаптация международного опыта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при этом должна быть выборочной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орий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нтир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льности</w:t>
      </w:r>
      <w:proofErr w:type="spellEnd"/>
      <w:r w:rsidR="00161822">
        <w:rPr>
          <w:rFonts w:ascii="Times New Roman" w:hAnsi="Times New Roman" w:cs="Times New Roman"/>
          <w:sz w:val="28"/>
          <w:szCs w:val="28"/>
          <w:lang w:val="ru-RU"/>
        </w:rPr>
        <w:t>, опыт Республики Корея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пример привязки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модель - основа для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МСБ, а отдельные элементы сингапурской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системы цифровой идентификации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ориентир для развития единого доступа к государственным и финансовым </w:t>
      </w:r>
      <w:proofErr w:type="spellStart"/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сервисам.ого</w:t>
      </w:r>
      <w:proofErr w:type="spellEnd"/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уровня цифровой зрелости.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Научная новизна исследования состоит в трёх аспектах. Во-первых,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экономическую устойчивость, связывающая конкретные направления цифрового развития с механизмами реакции экономики на внешние шоки. Во-вторых, на основе панельного анализа 49 стран эмпирически показан пороговый характер антикризисного буферного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положительная связь с ростом наблюдается во всех группах, но стабилизирующий эффект статистически выявляется только в развитых экономиках. В-третьих, для Республики Узбекистан предложены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прогнозные сценарии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позволяющие связать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целевые ориентиры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2030» с количественными эконометрическими оценками. Вместе с тем исследование имеет ряд ограничений: использование одного основного индикатора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упрощённая идентификация кризисных периодов и ограниченный размер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развивающихся экономик. Эти ограничения определяют напра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вления дальнейших исследований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набора цифровых индикаторов, применение методов </w:t>
      </w:r>
      <w:r w:rsidRPr="000E5726">
        <w:rPr>
          <w:rFonts w:ascii="Times New Roman" w:hAnsi="Times New Roman" w:cs="Times New Roman"/>
          <w:sz w:val="28"/>
          <w:szCs w:val="28"/>
        </w:rPr>
        <w:t>IV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E5726">
        <w:rPr>
          <w:rFonts w:ascii="Times New Roman" w:hAnsi="Times New Roman" w:cs="Times New Roman"/>
          <w:sz w:val="28"/>
          <w:szCs w:val="28"/>
        </w:rPr>
        <w:t>GMM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проведение отраслевого анализа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Узбекистана.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Главный вывод</w:t>
      </w:r>
      <w:proofErr w:type="gram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который я сделал: </w:t>
      </w:r>
      <w:proofErr w:type="spellStart"/>
      <w:r w:rsidR="00D6223A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это не кнопка которую нажимают в кризис. Это </w:t>
      </w:r>
      <w:proofErr w:type="gram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инфраструктура</w:t>
      </w:r>
      <w:proofErr w:type="gram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которую строят годами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до кризиса. Узбекистан строит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и это уже важно.</w:t>
      </w:r>
    </w:p>
    <w:p w:rsidR="00D32DBB" w:rsidRDefault="00D32DBB" w:rsidP="00D32DBB">
      <w:pPr>
        <w:pStyle w:val="1"/>
        <w:spacing w:line="360" w:lineRule="auto"/>
        <w:ind w:left="2245" w:hanging="260"/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</w:pPr>
      <w:bookmarkStart w:id="16" w:name="_Toc231767561"/>
      <w:bookmarkStart w:id="17" w:name="_Toc231804957"/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t>СПИСОК</w:t>
      </w:r>
      <w:r w:rsidRPr="00AB6598">
        <w:rPr>
          <w:rFonts w:ascii="Times New Roman" w:hAnsi="Times New Roman" w:cs="Times New Roman"/>
          <w:b/>
          <w:color w:val="1B1B1B"/>
          <w:spacing w:val="-4"/>
          <w:sz w:val="28"/>
          <w:szCs w:val="28"/>
        </w:rPr>
        <w:t xml:space="preserve"> </w:t>
      </w:r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t>ИСПОЛЬЗОВАННОЙ</w:t>
      </w:r>
      <w:r w:rsidRPr="00AB6598">
        <w:rPr>
          <w:rFonts w:ascii="Times New Roman" w:hAnsi="Times New Roman" w:cs="Times New Roman"/>
          <w:b/>
          <w:color w:val="1B1B1B"/>
          <w:spacing w:val="-4"/>
          <w:sz w:val="28"/>
          <w:szCs w:val="28"/>
        </w:rPr>
        <w:t xml:space="preserve"> </w:t>
      </w:r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t>ЛИТЕРАТУРЫ</w:t>
      </w:r>
      <w:bookmarkEnd w:id="16"/>
      <w:bookmarkEnd w:id="17"/>
    </w:p>
    <w:p w:rsidR="00D32DBB" w:rsidRPr="007C5847" w:rsidRDefault="00D32DBB" w:rsidP="00D32DBB"/>
    <w:p w:rsidR="00D32DBB" w:rsidRPr="0015125F" w:rsidRDefault="00D32DBB" w:rsidP="00D32DBB">
      <w:pPr>
        <w:pStyle w:val="a3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Нормативно-правовые</w:t>
      </w:r>
      <w:proofErr w:type="spellEnd"/>
      <w:r w:rsidRPr="0015125F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4"/>
          <w:sz w:val="28"/>
          <w:szCs w:val="28"/>
        </w:rPr>
        <w:t>акты</w:t>
      </w:r>
      <w:proofErr w:type="spellEnd"/>
    </w:p>
    <w:p w:rsidR="00D32DBB" w:rsidRPr="00EC28F9" w:rsidRDefault="00D32DBB" w:rsidP="00D32DB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Указ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Президента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Узбекистан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октября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2020 г. № УП-6079 «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Об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утверждении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Стратегии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Цифровой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Узбекистан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- 2030” и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мерах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её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эффективной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». -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Национальная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база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данных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законодательства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Узбекистан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>, 2020.</w:t>
      </w:r>
    </w:p>
    <w:p w:rsidR="00D32DBB" w:rsidRPr="00EC28F9" w:rsidRDefault="00D32DBB" w:rsidP="00D32DB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28F9">
        <w:rPr>
          <w:rFonts w:ascii="Times New Roman" w:eastAsia="Times New Roman" w:hAnsi="Times New Roman" w:cs="Times New Roman"/>
          <w:sz w:val="28"/>
          <w:szCs w:val="28"/>
        </w:rPr>
        <w:t>Government of the Republic of Korea. Korean New Deal: National Strategy for a Great Transformation. - Seoul: Government of the Republic of Korea, 2020.</w:t>
      </w:r>
    </w:p>
    <w:p w:rsidR="00D32DBB" w:rsidRPr="00EC28F9" w:rsidRDefault="00D32DBB" w:rsidP="00D32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European Commission. Operational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Programme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Digital Poland 2014-2020 (POPC). - Brussels: European Commission, 2014-2020.</w:t>
      </w:r>
    </w:p>
    <w:p w:rsidR="00D32DBB" w:rsidRPr="0015125F" w:rsidRDefault="00D32DBB" w:rsidP="00D32DBB">
      <w:pPr>
        <w:pStyle w:val="a3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Научная</w:t>
      </w:r>
      <w:proofErr w:type="spellEnd"/>
      <w:r w:rsidRPr="0015125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z w:val="28"/>
          <w:szCs w:val="28"/>
        </w:rPr>
        <w:t>и</w:t>
      </w:r>
      <w:r w:rsidRPr="0015125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учебная</w:t>
      </w:r>
      <w:proofErr w:type="spellEnd"/>
      <w:r w:rsidRPr="0015125F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2"/>
          <w:sz w:val="28"/>
          <w:szCs w:val="28"/>
        </w:rPr>
        <w:t>литература</w:t>
      </w:r>
      <w:proofErr w:type="spellEnd"/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Wooldridge J. M. Econometric Analysis of Cross Section and Panel Data. 2nd ed. Cambridge, MA: MIT Press, 2010. 1096 p.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Briguglio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Cordina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G.,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Farrugia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Vella S. Economic Vulnerability and Resilience: Concepts and Measurements // Oxford Development Studies. 2009. Vol. 37, No. 3. P. 229-247.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 xml:space="preserve">Caldera Sánchez A., Rasmussen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Economic Resilience: What Role for Policies? // OECD Economics Department Working Papers. 2015. No. 1251.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Caldera Sánchez A., de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Serres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A., Gori F.,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Hermansen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Strengthening Economic Resilience: Insights from the Post-1970 Record of Severe Recessions and Financial Crises // OECD Economic Policy Papers. Paris: OECD Publishing, 2017. No. 20.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Caldera Sánchez A., Gori F. Can Reforms Promoting Growth Increase Financial Fragility? An Empirical Assessment // OECD Economics Department Working Papers. 2016. No. 1340.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Hermansen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Economic Resilience: The Usefulness of Early Warning Indicators in OECD Countries // OECD Economics Department Working Papers. 2015. No. 1250. P. 1-27.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Czernich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Falck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Kretschmer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T.,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Woessmann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L. Broadband Infrastructure and Economic Growth // The Economic Journal. 2011. Vol. 121, No. 552. P. 505-532.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Oikonomou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Pierri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Timmer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Y. IT Shields: Technology Adoption and Economic Resilience during the COVID-19 Pandemic //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Economics. 2023. Vol. 81. Article 102330.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Lee J.-H., Woo J. Discourse of the Post-COVID 19 New Deal in South Korea // Sustainability. 2021. Vol. 13, No. 15. Article 8493.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Yip H. </w:t>
      </w:r>
      <w:proofErr w:type="gramStart"/>
      <w:r w:rsidRPr="00EC28F9">
        <w:rPr>
          <w:rFonts w:ascii="Times New Roman" w:hAnsi="Times New Roman" w:cs="Times New Roman"/>
          <w:sz w:val="28"/>
          <w:szCs w:val="28"/>
        </w:rPr>
        <w:t>et al.</w:t>
      </w:r>
      <w:proofErr w:type="gramEnd"/>
      <w:r w:rsidRPr="00EC28F9">
        <w:rPr>
          <w:rFonts w:ascii="Times New Roman" w:hAnsi="Times New Roman" w:cs="Times New Roman"/>
          <w:sz w:val="28"/>
          <w:szCs w:val="28"/>
        </w:rPr>
        <w:t xml:space="preserve"> Digital Government to Counter the Effects of COVID-19: The Case of Singapore // ERIA Research Project Report. 2022.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Abdukadirova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 A. Statistical Analysis of the Dynamics of Non-Cash Payments in Uzbekistan Over the Past Five Years // Journal of Applied Science and Social Science. 2026. Vol. 16, No. 5. P. 320-323.</w:t>
      </w:r>
    </w:p>
    <w:p w:rsidR="00D32DBB" w:rsidRPr="00EC28F9" w:rsidRDefault="00D32DBB" w:rsidP="00D32DB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Komilova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Nader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Ajayi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R. Evolution of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 Central Asian Countries and Implications for the Region’s Economy //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>. 2025. Vol. 4, No. 4. Article 69.</w:t>
      </w:r>
    </w:p>
    <w:p w:rsidR="00D32DBB" w:rsidRPr="0015125F" w:rsidRDefault="00D32DBB" w:rsidP="00D32DBB">
      <w:pPr>
        <w:pStyle w:val="a3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lastRenderedPageBreak/>
        <w:t>Статистические</w:t>
      </w:r>
      <w:proofErr w:type="spellEnd"/>
      <w:r w:rsidRPr="0015125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z w:val="28"/>
          <w:szCs w:val="28"/>
        </w:rPr>
        <w:t>и</w:t>
      </w:r>
      <w:r w:rsidRPr="0015125F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аналитические</w:t>
      </w:r>
      <w:proofErr w:type="spellEnd"/>
      <w:r w:rsidRPr="0015125F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2"/>
          <w:sz w:val="28"/>
          <w:szCs w:val="28"/>
        </w:rPr>
        <w:t>материалы</w:t>
      </w:r>
      <w:proofErr w:type="spellEnd"/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OECD Digital Economy Outlook 2024. Vol. 1: Embracing the Technology Frontier. Paris: OECD Publishing, 2024.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Development Co-operation Report 2020: Learning from Crises, Building Resilience. Paris: OECD Publishing, 2020.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OECD Structural Analysis (STAN) Database: Value Added by Activity (ISIC Rev.4). Paris: OECD, 2024.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World Bank. World Development Report 2016: Digital Dividends. Washington, D.C.: World Bank, 2016.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World Development Indicators (WDI). Washington, D.C.: World Bank, 2024. URL: </w:t>
      </w:r>
      <w:hyperlink r:id="rId2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https://databank.worldbank.org/source/world-development-indicators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World Bank Country and Lending Groups: Country Classification. URL: </w:t>
      </w:r>
      <w:hyperlink r:id="rId3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https://datahelpdesk.worldbank.org/knowledgebase/articles/906519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UNCTAD. World Investment Report 2023: Investing in Sustainable Energy for All. Geneva: United Nations, 2023.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UNCTAD. Digital Economy Report 2021: Cross-border Data Flows and Development. New York: United Nations, 2021.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International Monetary Fund. World Economic Outlook Database, April 2024. Washington, D.C.: IMF, 2024. URL: </w:t>
      </w:r>
      <w:hyperlink r:id="rId3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https://www.imf.org/en/Publications/WEO/weo-database/2024/April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United Nations Department of Economic and Social Affairs (UN DESA). UN E-Government Survey 2024: Accelerating Digital Transformation for Sustainable Development. New York: United Nations, 2024.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International Telecommunication Union (ITU). ICT Indicators Database. Geneva: ITU, 2024. URL: </w:t>
      </w:r>
      <w:hyperlink r:id="rId3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https://datahub.itu.int/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>Asian Development Bank. Uzbekistan: Country Partnership Strategy 2019-2023. Manila: ADB, 2019.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European Bank for Reconstruction and Development. Uzbekistan Country Strategy 2018-2023. London: EBRD, 2018.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Eurostat. Cloud Computing - Statistics on the Use by Enterprises. Luxembourg: Eurostat, 2023. URL: </w:t>
      </w:r>
      <w:hyperlink r:id="rId3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https://ec.europa.eu/eurostat/statistics-explained/index.php?title=Cloud_computing_-_statistics_on_the_use_by_enterprises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Eurostat. Real GDP Growth Rate - Volume. Annual Data 2019-2022. Luxembourg: Eurostat, 2024. URL: </w:t>
      </w:r>
      <w:hyperlink r:id="rId3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https://ec.europa.eu/eurostat/databrowser/view/tec00115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International Energy Agency. Korean New Deal: Digital New Deal, Green New Deal and Stronger Safety Net. Paris: IEA, 2021.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International Energy Agency. Poland 2022 - Energy Policy Review. Paris: IEA, 2022.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Ministry of Finance of Singapore. Ministerial Statement on Overview of Government’s Strategy to Emerge Stronger from the COVID-19 Pandemic. Singapore: Ministry of Finance, 2020.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Polish Economy Returns to Growth Amidst Pandemic-Related Setbacks. Washington, D.C.: World Bank, 31.03.2021. URL: </w:t>
      </w:r>
      <w:hyperlink r:id="rId3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https://www.worldbank.org/en/news/press-release/2021/03/31/polish-economy-returns-to-growth-amidst-pandemic-related-setbacks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U.S. International Trade Administration. Poland - Digital Economy // Country Commercial Guides. Washington, D.C.: International Trade Administration, 2026. URL: </w:t>
      </w:r>
      <w:hyperlink r:id="rId3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https://www.trade.gov/country-commercial-guides/poland-digital-economy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>European Parliament Research Service. Estonia’s National Recovery and Resilience Plan: Latest State of Play // EPRS Briefing. Brussels: European Parliament, 2023.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Friedrich-Ebert-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Stiftung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>. What to Do About Inflation? Poland. Bonn: Friedrich-Ebert-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Stiftung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>, 2022.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S&amp;P Global Market Intelligence. Singapore Economy Continues on Road to Recovery. July 2022. URL: </w:t>
      </w:r>
      <w:hyperlink r:id="rId3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https://www.spglobal.com/marketintelligence/en/mi/research-analysis/singapore-economy-continues-on-road-to-recovery-july22.html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KEIA. The Korean New Deal // The Peninsula. July 2021. URL: </w:t>
      </w:r>
      <w:hyperlink r:id="rId3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https://keia.org/the-peninsula/the-korean-new-deal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International Institute for Management Development (IMD). World Digital Competitiveness Ranking 2024. Lausanne: IMD, 2024. URL: </w:t>
      </w:r>
      <w:hyperlink r:id="rId3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https://www.imd.org/centers/wcc/world-competitiveness-center/rankings/world-digital-competitiveness-ranking/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Portulans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Institute. Network Readiness Index 2024. Washington, D.C.: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Portulans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Institute, 2024. URL: </w:t>
      </w:r>
      <w:hyperlink r:id="rId4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https://networkreadinessindex.org/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Oxford Insights. Government AI Readiness Index 2023, 2024, 2025. URL: </w:t>
      </w:r>
      <w:hyperlink r:id="rId4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https://oxfordinsights.com/ai-readiness/ai-readiness-index/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Infocomm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Media Development Authority (IMDA). Singapore Digital Economy Report 2024. Singapore: IMDA, 2024.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Statistics Agency under the President of the Republic of Uzbekistan, cited in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UzDaily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Uzbekistan’s GDP amounted to US$114.96 billion in 2024. February 2025. URL: </w:t>
      </w:r>
      <w:hyperlink r:id="rId4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https://www.uzdaily.uz/en/uzbekistans-gdp-amounted-to-us11496-billion-in-2024/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Statistics Agency under the President of the Republic of Uzbekistan. Demographic Situation in Uzbekistan, 2024. Tashkent: Statistics Agency, 2024. URL: </w:t>
      </w:r>
      <w:hyperlink r:id="rId4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https://stat.uz/en/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lastRenderedPageBreak/>
        <w:t>Mastercard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Fintech Market Uzbekistan. December 2023, cited in: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FintechNews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Switzerland. Fintech on the Rise in Uzbekistan: A Short Overview. January 2024. URL: </w:t>
      </w:r>
      <w:hyperlink r:id="rId4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https://fintechnews.ch/fintech/fintech-on-the-rise-in-uzbekistan-a-short-overview/69023/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IT Park Uzbekistan. Annual Report 2024. Tashkent: IT Park Uzbekistan, 2024. URL: </w:t>
      </w:r>
      <w:hyperlink r:id="rId4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https://it-park.uz/en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15125F" w:rsidRDefault="00D32DBB" w:rsidP="00D32DBB">
      <w:pPr>
        <w:pStyle w:val="a3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Электронные</w:t>
      </w:r>
      <w:proofErr w:type="spellEnd"/>
      <w:r w:rsidRPr="0015125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ресурсы</w:t>
      </w:r>
      <w:proofErr w:type="spellEnd"/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e-Estonia. X-Road: Data Exchange Layer. URL: </w:t>
      </w:r>
      <w:hyperlink r:id="rId4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https://e-estonia.com/solutions/interoperability-services/x-road/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X-Road. Open-Source Software. URL: </w:t>
      </w:r>
      <w:hyperlink r:id="rId4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https://x-road.global/xroad-open-source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Education Estonia. How It All Began? From Tiger Leap to Digital Society. 2023. URL: </w:t>
      </w:r>
      <w:hyperlink r:id="rId4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https://www.educationestonia.org/tiger-leap/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Estonian World. Estonia’s Tiger Leap: The Schools Project That Wired a Nation for the Digital Age. 21.02.2026. URL: </w:t>
      </w:r>
      <w:hyperlink r:id="rId4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https://estonianworld.com/technology/estonias-tiger-leap-the-schools-project-that-wired-a-nation-for-the-digital-age/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The Baltic Times. New Milestone for e-Residency with Record Number of Companies Founded in 2024. January 2025. URL: </w:t>
      </w:r>
      <w:hyperlink r:id="rId5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https://www.baltictimes.com/new_milestone_for_e-residency_with_record_number_of_companies_founded_in_2024/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Invest in Estonia. e-Residency Brings Record Revenue in First Half of 2025. August 2025. URL: </w:t>
      </w:r>
      <w:hyperlink r:id="rId5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https://investinestonia.com/e-residency-brings-record-revenue-in-first-half-of-2025/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Singapore. Smart Nation 2.0: Initiatives in Singapore. 2024. URL: </w:t>
      </w:r>
      <w:hyperlink r:id="rId5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https://www.tech.gov.sg/technews/our-enhanced-smart-nation-vision-paving-the-way-for-a-new-digital-era/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lastRenderedPageBreak/>
        <w:t>GovTech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Singapore.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SingPass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: National Digital Identity. URL: </w:t>
      </w:r>
      <w:hyperlink r:id="rId5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https://www.singpass.gov.sg/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OpenGov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Asia. Singapore: Milestones and Momentum of a Smart Nation. December 2025. URL: </w:t>
      </w:r>
      <w:hyperlink r:id="rId5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https://opengovasia.com/singapore-milestones-and-momentum-of-a-smart-nation/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European Commission. Digital Connectivity in Poland // Shaping Europe’s Digital Future. 2026. URL: </w:t>
      </w:r>
      <w:hyperlink r:id="rId5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https://digital-strategy.ec.europa.eu/en/policies/digital-connectivity-poland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AIN.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mObywatel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2.0: Digital ID Became Equal to Plastic Document in Poland. 14.07.2023. URL: </w:t>
      </w:r>
      <w:hyperlink r:id="rId5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https://en.ain.ua/2023/07/14/poland-digital-ids-equal-traditional-documents/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Biometric Update. Poland Campaigns to Boost the Use of Its Digital ID Platform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mObywatel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August 2025. URL: </w:t>
      </w:r>
      <w:hyperlink r:id="rId5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https://www.biometricupdate.com/202508/poland-campaigns-to-boost-the-use-of-its-digital-id-platform-mobywatel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Digital Watch Observatory. Uzbekistan: Country Profile. URL: </w:t>
      </w:r>
      <w:hyperlink r:id="rId5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https://dig.watch/countries/uzbekistan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Ministry of Digital Technologies of the Republic of Uzbekistan.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: National Digital Identification System. URL: </w:t>
      </w:r>
      <w:hyperlink r:id="rId5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https://myid.uz/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TAdviser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ICT Market of Uzbekistan. URL: </w:t>
      </w:r>
      <w:hyperlink r:id="rId6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https://tadviser.com/index.php/Article:ICT_market_of_Uzbekistan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Worlddata.info. Telecommunications in Uzbekistan. URL: </w:t>
      </w:r>
      <w:hyperlink r:id="rId6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https://www.worlddata.info/asia/uzbekistan/telecommunication.php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The Global Economy. Uzbekistan: Internet Users. URL: </w:t>
      </w:r>
      <w:hyperlink r:id="rId6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https://www.theglobaleconomy.com/Uzbekistan/Internet_users/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Freedom House. Freedom on the Net 2024 - Uzbekistan. URL: </w:t>
      </w:r>
      <w:hyperlink r:id="rId6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https://freedomhouse.org/country/uzbekistan/freedom-net/2024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lastRenderedPageBreak/>
        <w:t>Ookla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Speedtest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Global Index - Uzbekistan. January 2025. URL: </w:t>
      </w:r>
      <w:hyperlink r:id="rId6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https://www.speedtest.net/global-index/uzbekistan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EC28F9" w:rsidRDefault="00D32DBB" w:rsidP="00D32DB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Stangarone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T. South Korea’s Strong Economic Performance Faces Post-Pandemic Challenges // East Asia Forum. 04.02.2022. URL: </w:t>
      </w:r>
      <w:hyperlink r:id="rId6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https://eastasiaforum.org/2022/02/04/south-koreas-strong-economic-performance-faces-post-pandemic-challenges/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Pr="00257FDA" w:rsidRDefault="00D32DBB" w:rsidP="00D32D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2DBB" w:rsidRDefault="00D32DBB" w:rsidP="00D32DB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1767562"/>
      <w:bookmarkStart w:id="19" w:name="_Toc231804958"/>
      <w:r w:rsidRPr="0015125F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18"/>
      <w:bookmarkEnd w:id="19"/>
    </w:p>
    <w:p w:rsidR="00D32DBB" w:rsidRPr="007C5847" w:rsidRDefault="00D32DBB" w:rsidP="00D32DBB"/>
    <w:p w:rsidR="00D32DBB" w:rsidRPr="0015125F" w:rsidRDefault="00D32DBB" w:rsidP="00D32DBB">
      <w:pPr>
        <w:rPr>
          <w:rFonts w:ascii="Times New Roman" w:hAnsi="Times New Roman" w:cs="Times New Roman"/>
          <w:b/>
          <w:spacing w:val="-10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Приложение</w:t>
      </w:r>
      <w:proofErr w:type="spellEnd"/>
      <w:r w:rsidRPr="0015125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pacing w:val="-10"/>
          <w:sz w:val="28"/>
          <w:szCs w:val="28"/>
        </w:rPr>
        <w:t>А</w:t>
      </w:r>
    </w:p>
    <w:p w:rsidR="00D32DBB" w:rsidRPr="00EC28F9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Спецификация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эконометрической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модели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распределение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ВВП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душу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населения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по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группам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стран</w:t>
      </w:r>
      <w:proofErr w:type="spellEnd"/>
    </w:p>
    <w:p w:rsidR="00D32DBB" w:rsidRDefault="00D32DBB" w:rsidP="00D32D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16DB9" wp14:editId="005B0709">
            <wp:extent cx="6152515" cy="143573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DBB" w:rsidRP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Формула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А.1 -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Спецификация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FE-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модели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для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оценки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влияния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цифровизации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ВВП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душу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населения</w:t>
      </w:r>
      <w:proofErr w:type="spellEnd"/>
    </w:p>
    <w:p w:rsidR="00D32DBB" w:rsidRPr="007C5847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lastRenderedPageBreak/>
        <w:t>Источник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составлено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автором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основе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результатов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эконометрического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моделирования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в R Studio.</w:t>
      </w:r>
    </w:p>
    <w:p w:rsidR="00D32DBB" w:rsidRDefault="00D32DBB" w:rsidP="00D32DBB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D32DBB" w:rsidRDefault="00D32DBB" w:rsidP="00D32D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999EB" wp14:editId="3A02B3CF">
            <wp:extent cx="6152515" cy="27978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9824"/>
                    <a:stretch/>
                  </pic:blipFill>
                  <pic:spPr bwMode="auto">
                    <a:xfrm>
                      <a:off x="0" y="0"/>
                      <a:ext cx="6152515" cy="279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DBB" w:rsidRP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Рисунок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А.1 -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Распределение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D32DBB">
        <w:rPr>
          <w:rFonts w:ascii="Times New Roman" w:hAnsi="Times New Roman" w:cs="Times New Roman"/>
          <w:b/>
          <w:sz w:val="24"/>
          <w:szCs w:val="24"/>
        </w:rPr>
        <w:t>ln(</w:t>
      </w:r>
      <w:proofErr w:type="gram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ВВП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душу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населения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группам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стран</w:t>
      </w:r>
      <w:proofErr w:type="spellEnd"/>
    </w:p>
    <w:p w:rsidR="00D32DBB" w:rsidRPr="007C5847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Источник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составлено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автором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основе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результатов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эконометрического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C5847">
        <w:rPr>
          <w:rFonts w:ascii="Times New Roman" w:hAnsi="Times New Roman" w:cs="Times New Roman"/>
          <w:i/>
          <w:sz w:val="24"/>
          <w:szCs w:val="24"/>
        </w:rPr>
        <w:t>моделирования</w:t>
      </w:r>
      <w:proofErr w:type="spellEnd"/>
      <w:r w:rsidRPr="007C5847">
        <w:rPr>
          <w:rFonts w:ascii="Times New Roman" w:hAnsi="Times New Roman" w:cs="Times New Roman"/>
          <w:i/>
          <w:sz w:val="24"/>
          <w:szCs w:val="24"/>
        </w:rPr>
        <w:t xml:space="preserve"> в R Studio.</w:t>
      </w:r>
    </w:p>
    <w:p w:rsidR="00D32DBB" w:rsidRPr="00EC28F9" w:rsidRDefault="00D32DBB" w:rsidP="00D32D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32DBB" w:rsidRPr="0015125F" w:rsidRDefault="00D32DBB" w:rsidP="00D32DBB">
      <w:pPr>
        <w:rPr>
          <w:rFonts w:ascii="Times New Roman" w:hAnsi="Times New Roman" w:cs="Times New Roman"/>
          <w:b/>
          <w:spacing w:val="-10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Приложение</w:t>
      </w:r>
      <w:proofErr w:type="spellEnd"/>
      <w:r w:rsidRPr="0015125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pacing w:val="-10"/>
          <w:sz w:val="28"/>
          <w:szCs w:val="28"/>
        </w:rPr>
        <w:t>Б</w:t>
      </w:r>
    </w:p>
    <w:p w:rsid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13A70">
        <w:rPr>
          <w:rFonts w:ascii="Times New Roman" w:hAnsi="Times New Roman" w:cs="Times New Roman"/>
          <w:b/>
          <w:sz w:val="28"/>
          <w:szCs w:val="28"/>
        </w:rPr>
        <w:t>Дополнительные</w:t>
      </w:r>
      <w:proofErr w:type="spellEnd"/>
      <w:r w:rsidRPr="00C13A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3A70">
        <w:rPr>
          <w:rFonts w:ascii="Times New Roman" w:hAnsi="Times New Roman" w:cs="Times New Roman"/>
          <w:b/>
          <w:sz w:val="28"/>
          <w:szCs w:val="28"/>
        </w:rPr>
        <w:t>результаты</w:t>
      </w:r>
      <w:proofErr w:type="spellEnd"/>
      <w:r w:rsidRPr="00C13A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3A70">
        <w:rPr>
          <w:rFonts w:ascii="Times New Roman" w:hAnsi="Times New Roman" w:cs="Times New Roman"/>
          <w:b/>
          <w:sz w:val="28"/>
          <w:szCs w:val="28"/>
        </w:rPr>
        <w:t>эконометрического</w:t>
      </w:r>
      <w:proofErr w:type="spellEnd"/>
      <w:r w:rsidRPr="00C13A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3A70">
        <w:rPr>
          <w:rFonts w:ascii="Times New Roman" w:hAnsi="Times New Roman" w:cs="Times New Roman"/>
          <w:b/>
          <w:sz w:val="28"/>
          <w:szCs w:val="28"/>
        </w:rPr>
        <w:t>моделирования</w:t>
      </w:r>
      <w:proofErr w:type="spellEnd"/>
    </w:p>
    <w:p w:rsidR="00D32DBB" w:rsidRPr="00C13A70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2DBB" w:rsidRDefault="00D32DBB" w:rsidP="00D32DBB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B8DBB3" wp14:editId="12D13128">
            <wp:extent cx="3013075" cy="30937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7094"/>
                    <a:stretch/>
                  </pic:blipFill>
                  <pic:spPr bwMode="auto">
                    <a:xfrm>
                      <a:off x="0" y="0"/>
                      <a:ext cx="3093046" cy="3175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777CF" wp14:editId="7C9C4DCF">
            <wp:extent cx="2727325" cy="3085891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5594"/>
                    <a:stretch/>
                  </pic:blipFill>
                  <pic:spPr bwMode="auto">
                    <a:xfrm>
                      <a:off x="0" y="0"/>
                      <a:ext cx="2733210" cy="309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20A18" wp14:editId="3329F2FE">
            <wp:extent cx="2852420" cy="31775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6404"/>
                    <a:stretch/>
                  </pic:blipFill>
                  <pic:spPr bwMode="auto">
                    <a:xfrm>
                      <a:off x="0" y="0"/>
                      <a:ext cx="2891580" cy="3221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DBB" w:rsidRP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Рисунок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Б.1 -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Корреляционные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матрицы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переменных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эконометрической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модели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группам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стран</w:t>
      </w:r>
      <w:proofErr w:type="spellEnd"/>
    </w:p>
    <w:p w:rsidR="00D32DBB" w:rsidRPr="000A48DB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Источник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составлено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автором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основе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результатов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эконометрического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моделирования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в R Studio.</w:t>
      </w:r>
    </w:p>
    <w:p w:rsid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5BBD8F" wp14:editId="3983F523">
            <wp:extent cx="6152515" cy="286448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7845"/>
                    <a:stretch/>
                  </pic:blipFill>
                  <pic:spPr bwMode="auto">
                    <a:xfrm>
                      <a:off x="0" y="0"/>
                      <a:ext cx="6152515" cy="286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DBB" w:rsidRPr="00D32DBB" w:rsidRDefault="00D32DBB" w:rsidP="00D32DBB">
      <w:pPr>
        <w:spacing w:after="0" w:line="360" w:lineRule="auto"/>
        <w:ind w:left="1136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Рисунок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Б.2 -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Распределение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остатков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FE-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моделей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группам</w:t>
      </w:r>
      <w:proofErr w:type="spellEnd"/>
      <w:r w:rsidRPr="00D32D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2DBB">
        <w:rPr>
          <w:rFonts w:ascii="Times New Roman" w:hAnsi="Times New Roman" w:cs="Times New Roman"/>
          <w:b/>
          <w:sz w:val="24"/>
          <w:szCs w:val="24"/>
        </w:rPr>
        <w:t>стран</w:t>
      </w:r>
      <w:proofErr w:type="spellEnd"/>
    </w:p>
    <w:p w:rsidR="00D32DBB" w:rsidRPr="00AF1E60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Источник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составлено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автором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на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основе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результатов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эконометрического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A48DB">
        <w:rPr>
          <w:rFonts w:ascii="Times New Roman" w:hAnsi="Times New Roman" w:cs="Times New Roman"/>
          <w:i/>
          <w:sz w:val="24"/>
          <w:szCs w:val="24"/>
        </w:rPr>
        <w:t>моделирования</w:t>
      </w:r>
      <w:proofErr w:type="spellEnd"/>
      <w:r w:rsidRPr="000A48DB">
        <w:rPr>
          <w:rFonts w:ascii="Times New Roman" w:hAnsi="Times New Roman" w:cs="Times New Roman"/>
          <w:i/>
          <w:sz w:val="24"/>
          <w:szCs w:val="24"/>
        </w:rPr>
        <w:t xml:space="preserve"> в R Studio.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3678C" w:rsidRDefault="0093678C" w:rsidP="00C02A16">
      <w:pPr>
        <w:spacing w:line="360" w:lineRule="auto"/>
        <w:ind w:firstLine="709"/>
      </w:pPr>
    </w:p>
    <w:sectPr w:rsidR="0093678C" w:rsidSect="0093678C">
      <w:footerReference w:type="default" r:id="rId72"/>
      <w:pgSz w:w="12240" w:h="15840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A27" w:rsidRDefault="00435A27" w:rsidP="00C02A16">
      <w:pPr>
        <w:spacing w:after="0" w:line="240" w:lineRule="auto"/>
      </w:pPr>
      <w:r>
        <w:separator/>
      </w:r>
    </w:p>
  </w:endnote>
  <w:endnote w:type="continuationSeparator" w:id="0">
    <w:p w:rsidR="00435A27" w:rsidRDefault="00435A27" w:rsidP="00C0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1792662935"/>
      <w:docPartObj>
        <w:docPartGallery w:val="Page Numbers (Bottom of Page)"/>
        <w:docPartUnique/>
      </w:docPartObj>
    </w:sdtPr>
    <w:sdtContent>
      <w:p w:rsidR="00BB1BAF" w:rsidRPr="007547C5" w:rsidRDefault="00BB1BAF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547C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47C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17E9D" w:rsidRPr="00B17E9D">
          <w:rPr>
            <w:rFonts w:ascii="Times New Roman" w:hAnsi="Times New Roman" w:cs="Times New Roman"/>
            <w:noProof/>
            <w:sz w:val="28"/>
            <w:szCs w:val="28"/>
            <w:lang w:val="ru-RU"/>
          </w:rPr>
          <w:t>62</w: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B1BAF" w:rsidRDefault="00BB1BA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A27" w:rsidRDefault="00435A27" w:rsidP="00C02A16">
      <w:pPr>
        <w:spacing w:after="0" w:line="240" w:lineRule="auto"/>
      </w:pPr>
      <w:r>
        <w:separator/>
      </w:r>
    </w:p>
  </w:footnote>
  <w:footnote w:type="continuationSeparator" w:id="0">
    <w:p w:rsidR="00435A27" w:rsidRDefault="00435A27" w:rsidP="00C02A16">
      <w:pPr>
        <w:spacing w:after="0" w:line="240" w:lineRule="auto"/>
      </w:pPr>
      <w:r>
        <w:continuationSeparator/>
      </w:r>
    </w:p>
  </w:footnote>
  <w:footnote w:id="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Caldera Sánchez A. et al. Strengthening Economic Resilience: Insights from the Post-1970 Record of Severe Recessions and Financial Crises // OECD Economic Policy Papers. 2017. No. 20. P. 8. DOI: </w:t>
      </w:r>
      <w:hyperlink r:id="rId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  <w:r w:rsidRPr="00081992">
        <w:rPr>
          <w:rFonts w:ascii="Times New Roman" w:hAnsi="Times New Roman" w:cs="Times New Roman"/>
        </w:rPr>
        <w:t>.</w:t>
      </w:r>
      <w:r w:rsidRPr="00081992">
        <w:rPr>
          <w:rFonts w:ascii="Times New Roman" w:hAnsi="Times New Roman" w:cs="Times New Roman"/>
          <w:lang w:val="en-CA"/>
        </w:rPr>
        <w:t xml:space="preserve"> </w:t>
      </w:r>
    </w:p>
  </w:footnote>
  <w:footnote w:id="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</w:t>
      </w:r>
      <w:r w:rsidRPr="00081992">
        <w:rPr>
          <w:rFonts w:ascii="Times New Roman" w:hAnsi="Times New Roman" w:cs="Times New Roman"/>
          <w:lang w:val="ru-RU"/>
        </w:rPr>
        <w:t xml:space="preserve">2023.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81. </w:t>
      </w:r>
      <w:r w:rsidRPr="00081992">
        <w:rPr>
          <w:rFonts w:ascii="Times New Roman" w:hAnsi="Times New Roman" w:cs="Times New Roman"/>
        </w:rPr>
        <w:t>Article</w:t>
      </w:r>
      <w:r w:rsidRPr="00081992">
        <w:rPr>
          <w:rFonts w:ascii="Times New Roman" w:hAnsi="Times New Roman" w:cs="Times New Roman"/>
          <w:lang w:val="ru-RU"/>
        </w:rPr>
        <w:t xml:space="preserve"> 102330.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2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/10.1016/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labeco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.2023.102330</w:t>
        </w:r>
      </w:hyperlink>
      <w:r w:rsidRPr="00081992">
        <w:rPr>
          <w:rFonts w:ascii="Times New Roman" w:hAnsi="Times New Roman" w:cs="Times New Roman"/>
          <w:lang w:val="ru-RU"/>
        </w:rPr>
        <w:t>.</w:t>
      </w:r>
    </w:p>
  </w:footnote>
  <w:footnote w:id="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Узбекистан,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3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Oxford Development Studies. 2009. Vol. 37, No. 3. P. 229-247. DOI: </w:t>
      </w:r>
      <w:hyperlink r:id="rId4" w:tgtFrame="_new" w:history="1">
        <w:r w:rsidRPr="00081992">
          <w:rPr>
            <w:rStyle w:val="a5"/>
            <w:rFonts w:ascii="Times New Roman" w:hAnsi="Times New Roman" w:cs="Times New Roman"/>
          </w:rPr>
          <w:t>https://doi.org/10.1080/13600810903089893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United Nations Department of Economic and Social Affairs (UN DESA). UN E-Government Survey 2024: Accelerating Digital Transformation for Sustainable Development. New York: United Nations, 2024. URL: </w:t>
      </w:r>
      <w:hyperlink r:id="rId5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Development Indicators </w:t>
      </w:r>
      <w:proofErr w:type="spellStart"/>
      <w:r w:rsidRPr="00081992">
        <w:rPr>
          <w:rFonts w:ascii="Times New Roman" w:hAnsi="Times New Roman" w:cs="Times New Roman"/>
        </w:rPr>
        <w:t>databaseWorld</w:t>
      </w:r>
      <w:proofErr w:type="spellEnd"/>
      <w:r w:rsidRPr="00081992">
        <w:rPr>
          <w:rFonts w:ascii="Times New Roman" w:hAnsi="Times New Roman" w:cs="Times New Roman"/>
        </w:rPr>
        <w:t xml:space="preserve"> Bank. World Development Indicators database. Washington, D.C.: World Bank, URL: </w:t>
      </w:r>
      <w:hyperlink r:id="rId6" w:history="1">
        <w:r w:rsidRPr="00081992">
          <w:rPr>
            <w:rStyle w:val="a5"/>
            <w:rFonts w:ascii="Times New Roman" w:hAnsi="Times New Roman" w:cs="Times New Roman"/>
          </w:rPr>
          <w:t>https://databank.worldbank.org/source/world-development-indicators</w:t>
        </w:r>
      </w:hyperlink>
    </w:p>
  </w:footnote>
  <w:footnote w:id="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17-18. DOI: </w:t>
      </w:r>
      <w:hyperlink r:id="rId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Structural Analysis (STAN) Database. Paris: OECD, 2024. URL: </w:t>
      </w:r>
      <w:hyperlink r:id="rId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https://doi.org/10.1787/data-00037-en</w:t>
        </w:r>
      </w:hyperlink>
      <w:r w:rsidRPr="00081992">
        <w:rPr>
          <w:rFonts w:ascii="Times New Roman" w:hAnsi="Times New Roman" w:cs="Times New Roman"/>
        </w:rPr>
        <w:t xml:space="preserve">. </w:t>
      </w:r>
      <w:r w:rsidRPr="00081992">
        <w:rPr>
          <w:rFonts w:ascii="Times New Roman" w:hAnsi="Times New Roman" w:cs="Times New Roman"/>
          <w:lang w:val="ru-RU"/>
        </w:rPr>
        <w:t xml:space="preserve">Классификация ИКТ-сектора приводится по </w:t>
      </w:r>
      <w:r w:rsidRPr="00081992">
        <w:rPr>
          <w:rFonts w:ascii="Times New Roman" w:hAnsi="Times New Roman" w:cs="Times New Roman"/>
        </w:rPr>
        <w:t>ISIC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Rev</w:t>
      </w:r>
      <w:r w:rsidRPr="00081992">
        <w:rPr>
          <w:rFonts w:ascii="Times New Roman" w:hAnsi="Times New Roman" w:cs="Times New Roman"/>
          <w:lang w:val="ru-RU"/>
        </w:rPr>
        <w:t xml:space="preserve">.4, </w:t>
      </w:r>
      <w:r w:rsidRPr="00081992">
        <w:rPr>
          <w:rFonts w:ascii="Times New Roman" w:hAnsi="Times New Roman" w:cs="Times New Roman"/>
        </w:rPr>
        <w:t>divisions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26,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61,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>62-63.</w:t>
      </w:r>
    </w:p>
  </w:footnote>
  <w:footnote w:id="9">
    <w:p w:rsidR="00BB1BAF" w:rsidRPr="00081992" w:rsidRDefault="00BB1BAF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22-24. DOI: </w:t>
      </w:r>
      <w:hyperlink r:id="rId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2024; European Commission. DESI; UN DESA. E-Government Survey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2024.</w:t>
      </w:r>
    </w:p>
  </w:footnote>
  <w:footnote w:id="11">
    <w:p w:rsidR="00BB1BAF" w:rsidRPr="00081992" w:rsidRDefault="00BB1BAF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0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Cloud Computing - Statistics on the Use by Enterprises. Luxembourg: Eurostat, 2023. URL: </w:t>
      </w:r>
      <w:hyperlink r:id="rId11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https://ec.europa.eu/eurostat/statistics-explained/index.php?title=Cloud_computing_-_statistics_on_the_use_by_enterprises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2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  <w:lang w:val="en-CA"/>
        </w:rPr>
        <w:t>.</w:t>
      </w:r>
    </w:p>
  </w:footnote>
  <w:footnote w:id="1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36, 60. DOI: </w:t>
      </w:r>
      <w:hyperlink r:id="rId1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89, 100. DOI: </w:t>
      </w:r>
      <w:hyperlink r:id="rId1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World Development Report 2016: Digital Dividends. Washington, D.C.: World Bank, 2016. DOI: </w:t>
      </w:r>
      <w:hyperlink r:id="rId15" w:tgtFrame="_new" w:history="1">
        <w:r w:rsidRPr="00081992">
          <w:rPr>
            <w:rStyle w:val="a5"/>
            <w:rFonts w:ascii="Times New Roman" w:hAnsi="Times New Roman" w:cs="Times New Roman"/>
          </w:rPr>
          <w:t>https://doi.org/10.1596/978-1-4648-0671-1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16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8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5. DOI: </w:t>
      </w:r>
      <w:hyperlink r:id="rId1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9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UNU-WIDER Research Paper. 2008. No. 2008/55. P. 2-4, 11-14.</w:t>
      </w:r>
    </w:p>
  </w:footnote>
  <w:footnote w:id="20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Economic Resilience: What Role for Policies? // OECD Economics Department Working Papers. 2015. No. 1251. P. 5-7. DOI: </w:t>
      </w:r>
      <w:hyperlink r:id="rId1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1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6. DOI: </w:t>
      </w:r>
      <w:hyperlink r:id="rId1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No. 20. Paris: OECD Publishing, 2017. P. 7-8. DOI: </w:t>
      </w:r>
      <w:hyperlink r:id="rId20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2017. No. 20. P. 8. DOI: </w:t>
      </w:r>
      <w:hyperlink r:id="rId2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22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2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35-37. DOI: </w:t>
      </w:r>
      <w:hyperlink r:id="rId2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57. DOI: </w:t>
      </w:r>
      <w:hyperlink r:id="rId2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7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2020. P. 57-59. DOI: </w:t>
      </w:r>
      <w:hyperlink r:id="rId25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8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 et al. IT Shields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26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</w:p>
  </w:footnote>
  <w:footnote w:id="2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Digital Economy Outlook 2024. Vol. 1. P. 88. DOI: </w:t>
      </w:r>
      <w:hyperlink r:id="rId2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E-commerce statistics for individuals // Statistics Explained. Luxembourg: Eurostat, 2023. URL: </w:t>
      </w:r>
      <w:hyperlink r:id="rId28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https://ec.europa.eu/eurostat/statistics-explained/index.php/E-commerce_statistics_for_individuals</w:t>
        </w:r>
      </w:hyperlink>
    </w:p>
  </w:footnote>
  <w:footnote w:id="3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 Digital Economy Outlook 2024. Vol. 1. Paris: OECD Publishing, 2024. P. 92. DOI: </w:t>
      </w:r>
      <w:hyperlink r:id="rId2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2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Digital Economy Report 2021. New York: United Nations, 2021. URL: </w:t>
      </w:r>
      <w:hyperlink r:id="rId30" w:tgtFrame="_new" w:history="1">
        <w:r w:rsidRPr="00081992">
          <w:rPr>
            <w:rStyle w:val="a5"/>
            <w:rFonts w:ascii="Times New Roman" w:hAnsi="Times New Roman" w:cs="Times New Roman"/>
          </w:rPr>
          <w:t>https://unctad.org/webflyer/digital-economy-report-2021</w:t>
        </w:r>
      </w:hyperlink>
    </w:p>
  </w:footnote>
  <w:footnote w:id="33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31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34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Gori F. Can Reforms Promoting Growth Increase Financial Fragility? // OECD Economics Department Working Papers. 2016. No. 1340. DOI: </w:t>
      </w:r>
      <w:hyperlink r:id="rId32" w:history="1">
        <w:r w:rsidRPr="00081992">
          <w:rPr>
            <w:rStyle w:val="a5"/>
            <w:rFonts w:ascii="Times New Roman" w:hAnsi="Times New Roman" w:cs="Times New Roman"/>
          </w:rPr>
          <w:t>https://doi.org/10.1787/5jln0421ld25-en</w:t>
        </w:r>
      </w:hyperlink>
    </w:p>
  </w:footnote>
  <w:footnote w:id="35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Education Estonia. How it all began? From Tiger Leap to digital society. 2023. URL: </w:t>
      </w:r>
      <w:hyperlink r:id="rId33" w:tgtFrame="_new" w:history="1">
        <w:r w:rsidRPr="00081992">
          <w:rPr>
            <w:rStyle w:val="a5"/>
            <w:rFonts w:ascii="Times New Roman" w:hAnsi="Times New Roman" w:cs="Times New Roman"/>
          </w:rPr>
          <w:t>https://www.educationestonia.org/tiger-leap/</w:t>
        </w:r>
      </w:hyperlink>
    </w:p>
  </w:footnote>
  <w:footnote w:id="3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Tambur</w:t>
      </w:r>
      <w:proofErr w:type="spellEnd"/>
      <w:r w:rsidRPr="00081992">
        <w:rPr>
          <w:rFonts w:ascii="Times New Roman" w:hAnsi="Times New Roman" w:cs="Times New Roman"/>
        </w:rPr>
        <w:t xml:space="preserve"> S. Estonia’s Tiger Leap: The Schools Project That Wired a Nation for the Digital Age // Estonian World. 21.02.2026. URL: </w:t>
      </w:r>
      <w:hyperlink r:id="rId34" w:history="1">
        <w:r w:rsidRPr="00081992">
          <w:rPr>
            <w:rStyle w:val="a5"/>
            <w:rFonts w:ascii="Times New Roman" w:hAnsi="Times New Roman" w:cs="Times New Roman"/>
          </w:rPr>
          <w:t>https://estonianworld.com/technology/estonias-tiger-leap-the-schools-project-that-wired-a-nation-for-the-digital-age/</w:t>
        </w:r>
      </w:hyperlink>
    </w:p>
  </w:footnote>
  <w:footnote w:id="3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 Global. X-Road History. URL: </w:t>
      </w:r>
      <w:hyperlink r:id="rId35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https://x-road.global/xroad-history</w:t>
        </w:r>
      </w:hyperlink>
    </w:p>
  </w:footnote>
  <w:footnote w:id="3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Cybernetica</w:t>
      </w:r>
      <w:proofErr w:type="spellEnd"/>
      <w:r w:rsidRPr="00081992">
        <w:rPr>
          <w:rFonts w:ascii="Times New Roman" w:hAnsi="Times New Roman" w:cs="Times New Roman"/>
        </w:rPr>
        <w:t xml:space="preserve">. Estonian Interoperability Framework X-Road. 2021. URL: </w:t>
      </w:r>
      <w:hyperlink r:id="rId36" w:tgtFrame="_new" w:history="1">
        <w:r w:rsidRPr="00081992">
          <w:rPr>
            <w:rStyle w:val="a5"/>
            <w:rFonts w:ascii="Times New Roman" w:hAnsi="Times New Roman" w:cs="Times New Roman"/>
          </w:rPr>
          <w:t>https://cyber.ee/resources/case-studies/estonian-interoperability-framework-x-road/</w:t>
        </w:r>
      </w:hyperlink>
    </w:p>
  </w:footnote>
  <w:footnote w:id="3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Invest in Estonia. E-Residency Brings Record Revenue in First Half of 2025. August 2025. URL: </w:t>
      </w:r>
      <w:hyperlink r:id="rId37" w:tgtFrame="_new" w:history="1">
        <w:r w:rsidRPr="00081992">
          <w:rPr>
            <w:rStyle w:val="a5"/>
            <w:rFonts w:ascii="Times New Roman" w:hAnsi="Times New Roman" w:cs="Times New Roman"/>
          </w:rPr>
          <w:t>https://investinestonia.com/e-residency-brings-record-revenue-in-first-half-of-2025/</w:t>
        </w:r>
      </w:hyperlink>
    </w:p>
  </w:footnote>
  <w:footnote w:id="4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Baltic Times. New Milestone for e-Residency with Record Number of Companies Founded in 2024. January 2025. URL: </w:t>
      </w:r>
      <w:hyperlink r:id="rId38" w:tgtFrame="_new" w:history="1">
        <w:r w:rsidRPr="00081992">
          <w:rPr>
            <w:rStyle w:val="a5"/>
            <w:rFonts w:ascii="Times New Roman" w:hAnsi="Times New Roman" w:cs="Times New Roman"/>
          </w:rPr>
          <w:t>https://www.baltictimes.com/new_milestone_for_e-residency_with_record_number_of_companies_founded_in_2024/</w:t>
        </w:r>
      </w:hyperlink>
    </w:p>
  </w:footnote>
  <w:footnote w:id="4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2024. New York: United Nations, 2024. URL: </w:t>
      </w:r>
      <w:hyperlink r:id="rId39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</w:t>
        </w:r>
      </w:hyperlink>
    </w:p>
  </w:footnote>
  <w:footnote w:id="4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IEA. Korean New Deal - Digital New Deal, Green New Deal and Stronger Safety Net. 2021. URL: </w:t>
      </w:r>
      <w:hyperlink r:id="rId40" w:tgtFrame="_new" w:history="1">
        <w:r w:rsidRPr="00081992">
          <w:rPr>
            <w:rStyle w:val="a5"/>
            <w:rFonts w:ascii="Times New Roman" w:hAnsi="Times New Roman" w:cs="Times New Roman"/>
          </w:rPr>
          <w:t>https://www.iea.org/policies/11514-korean-new-deal-digital-new-deal-green-new-deal-and-stronger-safety-net</w:t>
        </w:r>
      </w:hyperlink>
    </w:p>
  </w:footnote>
  <w:footnote w:id="4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41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4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KEIA. The Korean New Deal // The Peninsula. July 2021. URL: </w:t>
      </w:r>
      <w:hyperlink r:id="rId42" w:tgtFrame="_new" w:history="1">
        <w:r w:rsidRPr="00081992">
          <w:rPr>
            <w:rStyle w:val="a5"/>
            <w:rFonts w:ascii="Times New Roman" w:hAnsi="Times New Roman" w:cs="Times New Roman"/>
          </w:rPr>
          <w:t>https://keia.org/the-peninsula/the-korean-new-deal/</w:t>
        </w:r>
      </w:hyperlink>
    </w:p>
  </w:footnote>
  <w:footnote w:id="4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MSIT Korea. Digital New Deal Secures Future Growth Engine. August 2021. URL: </w:t>
      </w:r>
      <w:hyperlink r:id="rId43" w:tgtFrame="_new" w:history="1">
        <w:r w:rsidRPr="00081992">
          <w:rPr>
            <w:rStyle w:val="a5"/>
            <w:rFonts w:ascii="Times New Roman" w:hAnsi="Times New Roman" w:cs="Times New Roman"/>
          </w:rPr>
          <w:t>https://www.prnewswire.com/news-releases/digital-new-deal-secures-future-growth-engine-301346790.html</w:t>
        </w:r>
      </w:hyperlink>
    </w:p>
  </w:footnote>
  <w:footnote w:id="4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Diplomat. South Korea’s Digital New Deal. June 2020. URL: </w:t>
      </w:r>
      <w:hyperlink r:id="rId44" w:tgtFrame="_new" w:history="1">
        <w:r w:rsidRPr="00081992">
          <w:rPr>
            <w:rStyle w:val="a5"/>
            <w:rFonts w:ascii="Times New Roman" w:hAnsi="Times New Roman" w:cs="Times New Roman"/>
          </w:rPr>
          <w:t>https://thediplomat.com/2020/06/south-koreas-digital-new-deal/</w:t>
        </w:r>
      </w:hyperlink>
    </w:p>
  </w:footnote>
  <w:footnote w:id="4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Republic of Korea: Country Information. E-Government Development Index 2024. URL: </w:t>
      </w:r>
      <w:hyperlink r:id="rId45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https://publicadministration.un.org/egovkb/en-us/Data/Country-Information/id/138-Republic-of-Korea</w:t>
        </w:r>
      </w:hyperlink>
    </w:p>
  </w:footnote>
  <w:footnote w:id="4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GovInsider</w:t>
      </w:r>
      <w:proofErr w:type="spellEnd"/>
      <w:r w:rsidRPr="00081992">
        <w:rPr>
          <w:rFonts w:ascii="Times New Roman" w:hAnsi="Times New Roman" w:cs="Times New Roman"/>
        </w:rPr>
        <w:t xml:space="preserve">. Leaving </w:t>
      </w:r>
      <w:proofErr w:type="gramStart"/>
      <w:r w:rsidRPr="00081992">
        <w:rPr>
          <w:rFonts w:ascii="Times New Roman" w:hAnsi="Times New Roman" w:cs="Times New Roman"/>
        </w:rPr>
        <w:t>No</w:t>
      </w:r>
      <w:proofErr w:type="gramEnd"/>
      <w:r w:rsidRPr="00081992">
        <w:rPr>
          <w:rFonts w:ascii="Times New Roman" w:hAnsi="Times New Roman" w:cs="Times New Roman"/>
        </w:rPr>
        <w:t xml:space="preserve"> One Behind Will Determine Success of Smart Nation 2.0. 2024. URL: </w:t>
      </w:r>
      <w:hyperlink r:id="rId46" w:tgtFrame="_new" w:history="1">
        <w:r w:rsidRPr="00081992">
          <w:rPr>
            <w:rStyle w:val="a5"/>
            <w:rFonts w:ascii="Times New Roman" w:hAnsi="Times New Roman" w:cs="Times New Roman"/>
          </w:rPr>
          <w:t>https://govinsider.asia/intl-en/article/leaving-no-one-behind-will-determine-success-of-smart-nation-20</w:t>
        </w:r>
      </w:hyperlink>
    </w:p>
  </w:footnote>
  <w:footnote w:id="4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Southeast Asia Infrastructure. Digital Leap: Singapore’s Blueprint for Smart Nation 2.0. 2025. URL: </w:t>
      </w:r>
      <w:hyperlink r:id="rId47" w:tgtFrame="_new" w:history="1">
        <w:r w:rsidRPr="00081992">
          <w:rPr>
            <w:rStyle w:val="a5"/>
            <w:rFonts w:ascii="Times New Roman" w:hAnsi="Times New Roman" w:cs="Times New Roman"/>
          </w:rPr>
          <w:t>https://southeastasiainfra.com/digital-leap-singapores-blueprint-for-smart-nation-2-0/</w:t>
        </w:r>
      </w:hyperlink>
    </w:p>
  </w:footnote>
  <w:footnote w:id="5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Smart Nation 2.0: Initiatives in Singapore. 2024. URL: </w:t>
      </w:r>
      <w:hyperlink r:id="rId48" w:tgtFrame="_new" w:history="1">
        <w:r w:rsidRPr="00081992">
          <w:rPr>
            <w:rStyle w:val="a5"/>
            <w:rFonts w:ascii="Times New Roman" w:hAnsi="Times New Roman" w:cs="Times New Roman"/>
          </w:rPr>
          <w:t>https://www.tech.gov.sg/technews/our-enhanced-smart-nation-vision-paving-the-way-for-a-new-digital-era/</w:t>
        </w:r>
      </w:hyperlink>
    </w:p>
  </w:footnote>
  <w:footnote w:id="5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OpenGov</w:t>
      </w:r>
      <w:proofErr w:type="spellEnd"/>
      <w:r w:rsidRPr="00081992">
        <w:rPr>
          <w:rFonts w:ascii="Times New Roman" w:hAnsi="Times New Roman" w:cs="Times New Roman"/>
        </w:rPr>
        <w:t xml:space="preserve"> Asia. Singapore: Milestones and Momentum of a Smart Nation. December 2025. URL: </w:t>
      </w:r>
      <w:hyperlink r:id="rId49" w:tgtFrame="_new" w:history="1">
        <w:r w:rsidRPr="00081992">
          <w:rPr>
            <w:rStyle w:val="a5"/>
            <w:rFonts w:ascii="Times New Roman" w:hAnsi="Times New Roman" w:cs="Times New Roman"/>
          </w:rPr>
          <w:t>https://opengovasia.com/singapore-milestones-and-momentum-of-a-smart-nation/</w:t>
        </w:r>
      </w:hyperlink>
    </w:p>
  </w:footnote>
  <w:footnote w:id="5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MD. World Digital Competitiveness Ranking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2024; UN DESA. Singapore: EGDI 2024. URL: </w:t>
      </w:r>
      <w:hyperlink r:id="rId50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https://publicadministration.un.org/egovkb/en-us/Data/Country-Information/id/156-Singapore</w:t>
        </w:r>
      </w:hyperlink>
    </w:p>
  </w:footnote>
  <w:footnote w:id="5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Przepióra</w:t>
      </w:r>
      <w:proofErr w:type="spellEnd"/>
      <w:r w:rsidRPr="00081992">
        <w:rPr>
          <w:rFonts w:ascii="Times New Roman" w:hAnsi="Times New Roman" w:cs="Times New Roman"/>
        </w:rPr>
        <w:t xml:space="preserve"> P. Digital State: How Poland Became a European Leader in </w:t>
      </w:r>
      <w:proofErr w:type="spellStart"/>
      <w:r w:rsidRPr="00081992">
        <w:rPr>
          <w:rFonts w:ascii="Times New Roman" w:hAnsi="Times New Roman" w:cs="Times New Roman"/>
        </w:rPr>
        <w:t>Digitalisation</w:t>
      </w:r>
      <w:proofErr w:type="spellEnd"/>
      <w:r w:rsidRPr="00081992">
        <w:rPr>
          <w:rFonts w:ascii="Times New Roman" w:hAnsi="Times New Roman" w:cs="Times New Roman"/>
        </w:rPr>
        <w:t xml:space="preserve"> // Warsaw Institute. 09.10.2025. URL: </w:t>
      </w:r>
      <w:hyperlink r:id="rId51" w:history="1">
        <w:r w:rsidRPr="00081992">
          <w:rPr>
            <w:rStyle w:val="a5"/>
            <w:rFonts w:ascii="Times New Roman" w:hAnsi="Times New Roman" w:cs="Times New Roman"/>
          </w:rPr>
          <w:t xml:space="preserve">Digital State: How Poland Became a European Leader in 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Digitalisation</w:t>
        </w:r>
        <w:proofErr w:type="spellEnd"/>
        <w:r w:rsidRPr="00081992">
          <w:rPr>
            <w:rStyle w:val="a5"/>
            <w:rFonts w:ascii="Times New Roman" w:hAnsi="Times New Roman" w:cs="Times New Roman"/>
          </w:rPr>
          <w:t xml:space="preserve"> | Warsaw Institute</w:t>
        </w:r>
      </w:hyperlink>
    </w:p>
  </w:footnote>
  <w:footnote w:id="5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Digital Connectivity in Poland // Shaping Europe’s Digital Future. Last update: 04.02.2026. URL: </w:t>
      </w:r>
      <w:hyperlink r:id="rId52" w:history="1">
        <w:r w:rsidRPr="00081992">
          <w:rPr>
            <w:rStyle w:val="a5"/>
            <w:rFonts w:ascii="Times New Roman" w:hAnsi="Times New Roman" w:cs="Times New Roman"/>
          </w:rPr>
          <w:t>Digital connectivity in Poland | Shaping Europe’s digital future</w:t>
        </w:r>
      </w:hyperlink>
    </w:p>
  </w:footnote>
  <w:footnote w:id="5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AIN.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 2.0: Digital ID Became Equal to Plastic Document in Poland. 14.07.2023. URL: </w:t>
      </w:r>
      <w:hyperlink r:id="rId53" w:tgtFrame="_new" w:history="1">
        <w:r w:rsidRPr="00081992">
          <w:rPr>
            <w:rStyle w:val="a5"/>
            <w:rFonts w:ascii="Times New Roman" w:hAnsi="Times New Roman" w:cs="Times New Roman"/>
          </w:rPr>
          <w:t>https://en.ain.ua/2023/07/14/poland-digital-ids-equal-traditional-documents/</w:t>
        </w:r>
      </w:hyperlink>
    </w:p>
  </w:footnote>
  <w:footnote w:id="5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Biometric Update. Poland Campaigns to Boost the Use of Its Digital ID Platform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. August 2025. URL: </w:t>
      </w:r>
      <w:hyperlink r:id="rId54" w:tgtFrame="_new" w:history="1">
        <w:r w:rsidRPr="00081992">
          <w:rPr>
            <w:rStyle w:val="a5"/>
            <w:rFonts w:ascii="Times New Roman" w:hAnsi="Times New Roman" w:cs="Times New Roman"/>
          </w:rPr>
          <w:t>https://www.biometricupdate.com/202508/poland-campaigns-to-boost-the-use-of-its-digital-id-platform-mobywatel</w:t>
        </w:r>
      </w:hyperlink>
    </w:p>
  </w:footnote>
  <w:footnote w:id="5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International Trade Administration. Poland - Digital Economy // Country Commercial Guides. 2026. URL: </w:t>
      </w:r>
      <w:hyperlink r:id="rId55" w:tgtFrame="_new" w:history="1">
        <w:r w:rsidRPr="00081992">
          <w:rPr>
            <w:rStyle w:val="a5"/>
            <w:rFonts w:ascii="Times New Roman" w:hAnsi="Times New Roman" w:cs="Times New Roman"/>
          </w:rPr>
          <w:t>https://www.trade.gov/country-commercial-guides/poland-digital-economy</w:t>
        </w:r>
      </w:hyperlink>
    </w:p>
  </w:footnote>
  <w:footnote w:id="5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1. P. 24-25. DOI: </w:t>
      </w:r>
      <w:hyperlink r:id="rId56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5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IMDA. Singapore Digital Economy Report 2024. 2024. P. 8. URL: </w:t>
      </w:r>
      <w:hyperlink r:id="rId57" w:history="1">
        <w:r w:rsidRPr="00081992">
          <w:rPr>
            <w:rStyle w:val="a5"/>
            <w:rFonts w:ascii="Times New Roman" w:hAnsi="Times New Roman" w:cs="Times New Roman"/>
          </w:rPr>
          <w:t>singapore-digital-economy-report-2024.pdf</w:t>
        </w:r>
      </w:hyperlink>
    </w:p>
  </w:footnote>
  <w:footnote w:id="6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Real GDP Growth Rate - Volume: Estonia, Annual Data 2020-2022. URL: </w:t>
      </w:r>
      <w:hyperlink r:id="rId58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6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CSR Universe. Estonia: A Fine Model of E-governance for the World. January 2025. URL: </w:t>
      </w:r>
      <w:hyperlink r:id="rId59" w:tgtFrame="_new" w:history="1">
        <w:r w:rsidRPr="00081992">
          <w:rPr>
            <w:rStyle w:val="a5"/>
            <w:rFonts w:ascii="Times New Roman" w:hAnsi="Times New Roman" w:cs="Times New Roman"/>
          </w:rPr>
          <w:t>https://thecsruniverse.com/articles/estonia-a-fine-model-of-e-governance-for-the-world</w:t>
        </w:r>
      </w:hyperlink>
    </w:p>
  </w:footnote>
  <w:footnote w:id="6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2024: Estonia - Real GDP Growth. Washington, DC: International Monetary Fund, 2024. URL: </w:t>
      </w:r>
      <w:hyperlink r:id="rId60" w:tgtFrame="_new" w:history="1">
        <w:r w:rsidRPr="00081992">
          <w:rPr>
            <w:rStyle w:val="a5"/>
            <w:rFonts w:ascii="Times New Roman" w:hAnsi="Times New Roman" w:cs="Times New Roman"/>
          </w:rPr>
          <w:t>https://www.imf.org/en/Publications/WEO/weo-database/2024/April</w:t>
        </w:r>
      </w:hyperlink>
    </w:p>
  </w:footnote>
  <w:footnote w:id="6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Parliament. Estonia’s National Recovery and Resilience Plan: Latest State of Play // EPRS Briefing. 2023. URL: </w:t>
      </w:r>
      <w:hyperlink r:id="rId61" w:tgtFrame="_new" w:history="1">
        <w:r w:rsidRPr="00081992">
          <w:rPr>
            <w:rStyle w:val="a5"/>
            <w:rFonts w:ascii="Times New Roman" w:hAnsi="Times New Roman" w:cs="Times New Roman"/>
          </w:rPr>
          <w:t>https://www.europarl.europa.eu/thinktank/en/document/EPRS_BRI(2022)698886</w:t>
        </w:r>
      </w:hyperlink>
    </w:p>
  </w:footnote>
  <w:footnote w:id="6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Stangarone</w:t>
      </w:r>
      <w:proofErr w:type="spellEnd"/>
      <w:r w:rsidRPr="00081992">
        <w:rPr>
          <w:rFonts w:ascii="Times New Roman" w:hAnsi="Times New Roman" w:cs="Times New Roman"/>
        </w:rPr>
        <w:t xml:space="preserve"> T. South Korea’s Strong Economic Performance Faces Post-Pandemic Challenges // East Asia Forum. 04.02.2022. URL: </w:t>
      </w:r>
      <w:hyperlink r:id="rId62" w:tgtFrame="_new" w:history="1">
        <w:r w:rsidRPr="00081992">
          <w:rPr>
            <w:rStyle w:val="a5"/>
            <w:rFonts w:ascii="Times New Roman" w:hAnsi="Times New Roman" w:cs="Times New Roman"/>
          </w:rPr>
          <w:t>https://eastasiaforum.org/2022/02/04/south-koreas-strong-economic-performance-faces-post-pandemic-challenges/</w:t>
        </w:r>
      </w:hyperlink>
    </w:p>
  </w:footnote>
  <w:footnote w:id="6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Korean Re. Bulletin No. 180: Economic Outlook 2021. URL: </w:t>
      </w:r>
      <w:hyperlink r:id="rId63" w:tgtFrame="_new" w:history="1">
        <w:r w:rsidRPr="00081992">
          <w:rPr>
            <w:rStyle w:val="a5"/>
            <w:rFonts w:ascii="Times New Roman" w:hAnsi="Times New Roman" w:cs="Times New Roman"/>
          </w:rPr>
          <w:t>http://eng.koreanre.co.kr/webzine/Bulletin_180/bull1.html</w:t>
        </w:r>
      </w:hyperlink>
    </w:p>
  </w:footnote>
  <w:footnote w:id="66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Bank of Korea. Consumer Price Index: July 2022. Seoul: Bank of Korea, 2022. URL: </w:t>
      </w:r>
      <w:hyperlink r:id="rId64" w:tgtFrame="_new" w:history="1">
        <w:r w:rsidRPr="00081992">
          <w:rPr>
            <w:rStyle w:val="a5"/>
            <w:rFonts w:ascii="Times New Roman" w:hAnsi="Times New Roman" w:cs="Times New Roman"/>
          </w:rPr>
          <w:t>https://www.bok.or.kr/eng/main/main.do</w:t>
        </w:r>
      </w:hyperlink>
    </w:p>
  </w:footnote>
  <w:footnote w:id="67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65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68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S&amp;P Global Market Intelligence. Singapore Economy Continues on Road to Recovery. July 2022. URL: </w:t>
      </w:r>
      <w:hyperlink r:id="rId66" w:tgtFrame="_new" w:history="1">
        <w:r w:rsidRPr="00081992">
          <w:rPr>
            <w:rStyle w:val="a5"/>
            <w:rFonts w:ascii="Times New Roman" w:hAnsi="Times New Roman" w:cs="Times New Roman"/>
          </w:rPr>
          <w:t>https://www.spglobal.com/marketintelligence/en/mi/research-analysis/singapore-economy-continues-on-road-to-recovery-july22.html</w:t>
        </w:r>
      </w:hyperlink>
    </w:p>
  </w:footnote>
  <w:footnote w:id="69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ip</w:t>
      </w:r>
      <w:proofErr w:type="spellEnd"/>
      <w:r w:rsidRPr="00081992">
        <w:rPr>
          <w:rFonts w:ascii="Times New Roman" w:hAnsi="Times New Roman" w:cs="Times New Roman"/>
        </w:rPr>
        <w:t xml:space="preserve">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67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Smart Nation Singapore. </w:t>
      </w:r>
      <w:proofErr w:type="spellStart"/>
      <w:r w:rsidRPr="00081992">
        <w:rPr>
          <w:rFonts w:ascii="Times New Roman" w:hAnsi="Times New Roman" w:cs="Times New Roman"/>
        </w:rPr>
        <w:t>TraceTogether</w:t>
      </w:r>
      <w:proofErr w:type="spellEnd"/>
      <w:r w:rsidRPr="00081992">
        <w:rPr>
          <w:rFonts w:ascii="Times New Roman" w:hAnsi="Times New Roman" w:cs="Times New Roman"/>
        </w:rPr>
        <w:t xml:space="preserve"> reduced contact tracing time from 4 days to less than 1.5 days. 2021. </w:t>
      </w:r>
      <w:proofErr w:type="spellStart"/>
      <w:r w:rsidRPr="00081992">
        <w:rPr>
          <w:rFonts w:ascii="Times New Roman" w:hAnsi="Times New Roman" w:cs="Times New Roman"/>
        </w:rPr>
        <w:t>Цит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по</w:t>
      </w:r>
      <w:proofErr w:type="spellEnd"/>
      <w:r w:rsidRPr="00081992">
        <w:rPr>
          <w:rFonts w:ascii="Times New Roman" w:hAnsi="Times New Roman" w:cs="Times New Roman"/>
        </w:rPr>
        <w:t xml:space="preserve">: Yip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68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Finance of Singapore. Ministerial Statement on COVID-19 Strategy. 2020. URL: </w:t>
      </w:r>
      <w:hyperlink r:id="rId69" w:tgtFrame="_new" w:history="1">
        <w:r w:rsidRPr="00081992">
          <w:rPr>
            <w:rStyle w:val="a5"/>
            <w:rFonts w:ascii="Times New Roman" w:hAnsi="Times New Roman" w:cs="Times New Roman"/>
          </w:rPr>
          <w:t>https://www.mof.gov.sg/news-resources/newsroom/ministerial-statement-on-overview-of-government-s-strategy-to-emerge-stronger-from-the-covid-19-pandemic/</w:t>
        </w:r>
      </w:hyperlink>
    </w:p>
  </w:footnote>
  <w:footnote w:id="7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Polish Economy Returns to Growth Amidst Pandemic-Related Setbacks. 31.03.2021. URL: </w:t>
      </w:r>
      <w:hyperlink r:id="rId70" w:tgtFrame="_new" w:history="1">
        <w:r w:rsidRPr="00081992">
          <w:rPr>
            <w:rStyle w:val="a5"/>
            <w:rFonts w:ascii="Times New Roman" w:hAnsi="Times New Roman" w:cs="Times New Roman"/>
          </w:rPr>
          <w:t>https://www.worldbank.org/en/news/press-release/2021/03/31/polish-economy-returns-to-growth-amidst-pandemic-related-setbacks</w:t>
        </w:r>
      </w:hyperlink>
    </w:p>
  </w:footnote>
  <w:footnote w:id="7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Department of State. 2023 Investment Climate Statements: Poland. URL: </w:t>
      </w:r>
      <w:hyperlink r:id="rId71" w:tgtFrame="_new" w:history="1">
        <w:r w:rsidRPr="00081992">
          <w:rPr>
            <w:rStyle w:val="a5"/>
            <w:rFonts w:ascii="Times New Roman" w:hAnsi="Times New Roman" w:cs="Times New Roman"/>
          </w:rPr>
          <w:t>https://www.state.gov/reports/2023-investment-climate-statements/poland</w:t>
        </w:r>
      </w:hyperlink>
    </w:p>
  </w:footnote>
  <w:footnote w:id="7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International Energy Agency. Poland 2022 - Energy Policy Review: Executive Summary. URL: </w:t>
      </w:r>
      <w:hyperlink r:id="rId72" w:tgtFrame="_new" w:history="1">
        <w:r w:rsidRPr="00081992">
          <w:rPr>
            <w:rStyle w:val="a5"/>
            <w:rFonts w:ascii="Times New Roman" w:hAnsi="Times New Roman" w:cs="Times New Roman"/>
          </w:rPr>
          <w:t>https://www.iea.org/reports/poland-2022/executive-summary</w:t>
        </w:r>
      </w:hyperlink>
    </w:p>
  </w:footnote>
  <w:footnote w:id="7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Friedrich-Ebert-</w:t>
      </w:r>
      <w:proofErr w:type="spellStart"/>
      <w:r w:rsidRPr="00081992">
        <w:rPr>
          <w:rFonts w:ascii="Times New Roman" w:hAnsi="Times New Roman" w:cs="Times New Roman"/>
        </w:rPr>
        <w:t>Stiftung</w:t>
      </w:r>
      <w:proofErr w:type="spellEnd"/>
      <w:r w:rsidRPr="00081992">
        <w:rPr>
          <w:rFonts w:ascii="Times New Roman" w:hAnsi="Times New Roman" w:cs="Times New Roman"/>
        </w:rPr>
        <w:t xml:space="preserve">. What to Do About Inflation? Poland. 2022. URL: </w:t>
      </w:r>
      <w:hyperlink r:id="rId73" w:tgtFrame="_new" w:history="1">
        <w:r w:rsidRPr="00081992">
          <w:rPr>
            <w:rStyle w:val="a5"/>
            <w:rFonts w:ascii="Times New Roman" w:hAnsi="Times New Roman" w:cs="Times New Roman"/>
          </w:rPr>
          <w:t>https://www.fes.de/en/progressive-fiscal-policy/inflation/what-to-do-about-inflation/what-to-do-about-inflation-poland</w:t>
        </w:r>
      </w:hyperlink>
    </w:p>
  </w:footnote>
  <w:footnote w:id="7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2024. Washington, DC: International Monetary Fund, 2024; Eurostat. Real GDP Growth Rate - Volume. URL: </w:t>
      </w:r>
      <w:hyperlink r:id="rId74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77">
    <w:p w:rsidR="00BB1BAF" w:rsidRPr="00081992" w:rsidRDefault="00BB1BAF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Development Indicators (WDI). URL: </w:t>
      </w:r>
      <w:hyperlink r:id="rId75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https://databank.worldbank.org/source/world-development-indicators</w:t>
        </w:r>
      </w:hyperlink>
    </w:p>
  </w:footnote>
  <w:footnote w:id="78">
    <w:p w:rsidR="00BB1BAF" w:rsidRPr="00081992" w:rsidRDefault="00BB1BAF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Bank Country and Lending Groups. URL: </w:t>
      </w:r>
      <w:hyperlink r:id="rId76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https://datahelpdesk.worldbank.org/knowledgebase/articles/906519</w:t>
        </w:r>
      </w:hyperlink>
    </w:p>
  </w:footnote>
  <w:footnote w:id="79">
    <w:p w:rsidR="00BB1BAF" w:rsidRPr="00081992" w:rsidRDefault="00BB1BAF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UNCTAD. World Investment Report 2023. Geneva: United Nations, 2023. URL: </w:t>
      </w:r>
      <w:hyperlink r:id="rId77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https://unctad.org/publication/world-investment-report-2023</w:t>
        </w:r>
      </w:hyperlink>
    </w:p>
  </w:footnote>
  <w:footnote w:id="8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Wooldridge J. M. Econometric Analysis of Cross Section and Panel Data. 2nd ed. MIT Press, 2010. P. 286-288.</w:t>
      </w:r>
    </w:p>
  </w:footnote>
  <w:footnote w:id="8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Czernich</w:t>
      </w:r>
      <w:proofErr w:type="spellEnd"/>
      <w:r w:rsidRPr="00081992">
        <w:rPr>
          <w:rFonts w:ascii="Times New Roman" w:hAnsi="Times New Roman" w:cs="Times New Roman"/>
        </w:rPr>
        <w:t xml:space="preserve"> N.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Broadband Infrastructure and Economic Growth // The Economic Journal. </w:t>
      </w:r>
      <w:r w:rsidRPr="00081992">
        <w:rPr>
          <w:rFonts w:ascii="Times New Roman" w:hAnsi="Times New Roman" w:cs="Times New Roman"/>
          <w:lang w:val="ru-RU"/>
        </w:rPr>
        <w:t xml:space="preserve">2011.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121, </w:t>
      </w:r>
      <w:r w:rsidRPr="00081992">
        <w:rPr>
          <w:rFonts w:ascii="Times New Roman" w:hAnsi="Times New Roman" w:cs="Times New Roman"/>
        </w:rPr>
        <w:t>No</w:t>
      </w:r>
      <w:r w:rsidRPr="00081992">
        <w:rPr>
          <w:rFonts w:ascii="Times New Roman" w:hAnsi="Times New Roman" w:cs="Times New Roman"/>
          <w:lang w:val="ru-RU"/>
        </w:rPr>
        <w:t xml:space="preserve">. 552. </w:t>
      </w:r>
      <w:r w:rsidRPr="00081992">
        <w:rPr>
          <w:rFonts w:ascii="Times New Roman" w:hAnsi="Times New Roman" w:cs="Times New Roman"/>
        </w:rPr>
        <w:t>P</w:t>
      </w:r>
      <w:r w:rsidRPr="00081992">
        <w:rPr>
          <w:rFonts w:ascii="Times New Roman" w:hAnsi="Times New Roman" w:cs="Times New Roman"/>
          <w:lang w:val="ru-RU"/>
        </w:rPr>
        <w:t xml:space="preserve">. 505-532.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78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/10.1111/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.1468-0297.2011.02420.</w:t>
        </w:r>
        <w:r w:rsidRPr="00081992">
          <w:rPr>
            <w:rStyle w:val="a5"/>
            <w:rFonts w:ascii="Times New Roman" w:hAnsi="Times New Roman" w:cs="Times New Roman"/>
          </w:rPr>
          <w:t>x</w:t>
        </w:r>
      </w:hyperlink>
    </w:p>
  </w:footnote>
  <w:footnote w:id="8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05.10.2020 «Об утверждении Стратегии “Цифровой Узбекистан - 2030”». </w:t>
      </w:r>
      <w:r w:rsidRPr="00081992">
        <w:rPr>
          <w:rFonts w:ascii="Times New Roman" w:hAnsi="Times New Roman" w:cs="Times New Roman"/>
        </w:rPr>
        <w:t xml:space="preserve">URL: </w:t>
      </w:r>
      <w:hyperlink r:id="rId79" w:history="1">
        <w:r w:rsidRPr="00081992">
          <w:rPr>
            <w:rStyle w:val="a5"/>
            <w:rFonts w:ascii="Times New Roman" w:hAnsi="Times New Roman" w:cs="Times New Roman"/>
          </w:rPr>
          <w:t>https://lex.uz/ru/docs/5031048</w:t>
        </w:r>
      </w:hyperlink>
    </w:p>
  </w:footnote>
  <w:footnote w:id="8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Embassy of the Republic of Uzbekistan in Ukraine. Digital Transformation of Uzbekistan Promotes Regional Integration in Central Asia. URL: </w:t>
      </w:r>
      <w:hyperlink r:id="rId80" w:tgtFrame="_new" w:history="1">
        <w:r w:rsidRPr="00081992">
          <w:rPr>
            <w:rStyle w:val="a5"/>
            <w:rFonts w:ascii="Times New Roman" w:hAnsi="Times New Roman" w:cs="Times New Roman"/>
          </w:rPr>
          <w:t>https://www.uzbekistan.org.ua/en/news/7390-digital-transformation-of-uzbekistan-promotes-regional-integration-in-central-asia.html</w:t>
        </w:r>
      </w:hyperlink>
    </w:p>
  </w:footnote>
  <w:footnote w:id="8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"Цифровой Узбекистан — 2030" и мерах по её эффективной реализации»; </w:t>
      </w:r>
      <w:r w:rsidRPr="00081992">
        <w:rPr>
          <w:rFonts w:ascii="Times New Roman" w:hAnsi="Times New Roman" w:cs="Times New Roman"/>
        </w:rPr>
        <w:t>Beyond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Investments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Group</w:t>
      </w:r>
      <w:r w:rsidRPr="00081992">
        <w:rPr>
          <w:rFonts w:ascii="Times New Roman" w:hAnsi="Times New Roman" w:cs="Times New Roman"/>
          <w:lang w:val="ru-RU"/>
        </w:rPr>
        <w:t xml:space="preserve">. </w:t>
      </w:r>
      <w:r w:rsidRPr="00081992">
        <w:rPr>
          <w:rFonts w:ascii="Times New Roman" w:hAnsi="Times New Roman" w:cs="Times New Roman"/>
        </w:rPr>
        <w:t>Industry &amp; ICT — The Investor Uzbekistan 2023. URL</w:t>
      </w:r>
      <w:hyperlink r:id="rId81" w:history="1">
        <w:r w:rsidRPr="00081992">
          <w:rPr>
            <w:rStyle w:val="a5"/>
            <w:rFonts w:ascii="Times New Roman" w:hAnsi="Times New Roman" w:cs="Times New Roman"/>
          </w:rPr>
          <w:t>: https://www.beyondinvestmentsgroup.com/uzbekistan2023-industryandict</w:t>
        </w:r>
      </w:hyperlink>
    </w:p>
  </w:footnote>
  <w:footnote w:id="8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2024: Accelerating Digital Transformation for Sustainable Development. New York: United Nations, 2024. URL: </w:t>
      </w:r>
      <w:hyperlink r:id="rId82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8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3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8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Oxford Insights. Government AI Readiness Index 2023, 2024, 2025. URL: </w:t>
      </w:r>
      <w:hyperlink r:id="rId84" w:tgtFrame="_new" w:history="1">
        <w:r w:rsidRPr="00081992">
          <w:rPr>
            <w:rStyle w:val="a5"/>
            <w:rFonts w:ascii="Times New Roman" w:hAnsi="Times New Roman" w:cs="Times New Roman"/>
          </w:rPr>
          <w:t>https://oxfordinsights.com/ai-readiness/ai-readiness-index/</w:t>
        </w:r>
      </w:hyperlink>
    </w:p>
  </w:footnote>
  <w:footnote w:id="8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5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8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Worlddata.info. Telecommunications in Uzbekistan. URL: </w:t>
      </w:r>
      <w:hyperlink r:id="rId86" w:tgtFrame="_new" w:history="1">
        <w:r w:rsidRPr="00081992">
          <w:rPr>
            <w:rStyle w:val="a5"/>
            <w:rFonts w:ascii="Times New Roman" w:hAnsi="Times New Roman" w:cs="Times New Roman"/>
          </w:rPr>
          <w:t>https://www.worlddata.info/asia/uzbekistan/telecommunication.php</w:t>
        </w:r>
      </w:hyperlink>
    </w:p>
  </w:footnote>
  <w:footnote w:id="9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Global Economy. Uzbekistan: Internet Users. URL: </w:t>
      </w:r>
      <w:hyperlink r:id="rId87" w:tgtFrame="_new" w:history="1">
        <w:r w:rsidRPr="00081992">
          <w:rPr>
            <w:rStyle w:val="a5"/>
            <w:rFonts w:ascii="Times New Roman" w:hAnsi="Times New Roman" w:cs="Times New Roman"/>
          </w:rPr>
          <w:t>https://www.theglobaleconomy.com/Uzbekistan/Internet_users/</w:t>
        </w:r>
      </w:hyperlink>
    </w:p>
  </w:footnote>
  <w:footnote w:id="9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Freedom House. Freedom on the Net 2024 - Uzbekistan. URL: </w:t>
      </w:r>
      <w:hyperlink r:id="rId88" w:tgtFrame="_new" w:history="1">
        <w:r w:rsidRPr="00081992">
          <w:rPr>
            <w:rStyle w:val="a5"/>
            <w:rFonts w:ascii="Times New Roman" w:hAnsi="Times New Roman" w:cs="Times New Roman"/>
          </w:rPr>
          <w:t>https://freedomhouse.org/country/uzbekistan/freedom-net/2024</w:t>
        </w:r>
      </w:hyperlink>
    </w:p>
  </w:footnote>
  <w:footnote w:id="9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Ookla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Speedtest</w:t>
      </w:r>
      <w:proofErr w:type="spellEnd"/>
      <w:r w:rsidRPr="00081992">
        <w:rPr>
          <w:rFonts w:ascii="Times New Roman" w:hAnsi="Times New Roman" w:cs="Times New Roman"/>
        </w:rPr>
        <w:t xml:space="preserve"> Global Index - Uzbekistan, January 2025. URL: https://www.speedtest.net/global-index/uzbekistan</w:t>
      </w:r>
    </w:p>
  </w:footnote>
  <w:footnote w:id="93">
    <w:p w:rsidR="00BB1BAF" w:rsidRPr="00081992" w:rsidRDefault="00BB1BAF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 xml:space="preserve">. Uzbekistan’s GDP amounted to US$114.96 billion in 2024. February 2025. URL: </w:t>
      </w:r>
      <w:hyperlink r:id="rId89" w:tgtFrame="_new" w:history="1">
        <w:r w:rsidRPr="00081992">
          <w:rPr>
            <w:rStyle w:val="a5"/>
            <w:rFonts w:ascii="Times New Roman" w:hAnsi="Times New Roman" w:cs="Times New Roman"/>
          </w:rPr>
          <w:t>https://www.uzdaily.uz/en/uzbekistans-gdp-amounted-to-us11496-billion-in-2024/</w:t>
        </w:r>
      </w:hyperlink>
    </w:p>
  </w:footnote>
  <w:footnote w:id="9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>. Uzbekistan’s GDP amounted to US$114.96 billion in 2024. February 2025.</w:t>
      </w:r>
    </w:p>
  </w:footnote>
  <w:footnote w:id="9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б. г. URL: </w:t>
      </w:r>
      <w:hyperlink r:id="rId90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  <w:r w:rsidRPr="00081992">
        <w:rPr>
          <w:rFonts w:ascii="Times New Roman" w:hAnsi="Times New Roman" w:cs="Times New Roman"/>
        </w:rPr>
        <w:t>; Beyond Investments Group. Industry &amp; ICT // The Investor Uzbekistan 2023.</w:t>
      </w:r>
    </w:p>
  </w:footnote>
  <w:footnote w:id="9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TAdviser</w:t>
      </w:r>
      <w:proofErr w:type="spellEnd"/>
      <w:r w:rsidRPr="00081992">
        <w:rPr>
          <w:rFonts w:ascii="Times New Roman" w:hAnsi="Times New Roman" w:cs="Times New Roman"/>
        </w:rPr>
        <w:t xml:space="preserve">. ICT Market of Uzbekistan. 2024. URL: </w:t>
      </w:r>
      <w:hyperlink r:id="rId91" w:tgtFrame="_new" w:history="1">
        <w:r w:rsidRPr="00081992">
          <w:rPr>
            <w:rStyle w:val="a5"/>
            <w:rFonts w:ascii="Times New Roman" w:hAnsi="Times New Roman" w:cs="Times New Roman"/>
          </w:rPr>
          <w:t>https://tadviser.com/index.php/Article:ICT_market_of_Uzbekistan</w:t>
        </w:r>
      </w:hyperlink>
      <w:r w:rsidRPr="00081992">
        <w:rPr>
          <w:rFonts w:ascii="Times New Roman" w:hAnsi="Times New Roman" w:cs="Times New Roman"/>
        </w:rPr>
        <w:t>; Ministry of Digital Technologies of the Republic of Uzbekistan. Annual Report on IT Services Exports.</w:t>
      </w:r>
    </w:p>
  </w:footnote>
  <w:footnote w:id="9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Samadkulov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Allanazarov</w:t>
      </w:r>
      <w:proofErr w:type="spellEnd"/>
      <w:r w:rsidRPr="00081992">
        <w:rPr>
          <w:rFonts w:ascii="Times New Roman" w:hAnsi="Times New Roman" w:cs="Times New Roman"/>
        </w:rPr>
        <w:t xml:space="preserve"> R. Economy of the Services Sector: The Share of Tourism and IT Services in GDP. 2024. URL: </w:t>
      </w:r>
      <w:hyperlink r:id="rId92" w:tgtFrame="_new" w:history="1">
        <w:r w:rsidRPr="00081992">
          <w:rPr>
            <w:rStyle w:val="a5"/>
            <w:rFonts w:ascii="Times New Roman" w:hAnsi="Times New Roman" w:cs="Times New Roman"/>
          </w:rPr>
          <w:t>https://interspp.com/index.php/sft/article/download/1696/1293/2524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9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</w:rPr>
        <w:t>FintechNews</w:t>
      </w:r>
      <w:proofErr w:type="spellEnd"/>
      <w:r w:rsidRPr="00081992">
        <w:rPr>
          <w:rFonts w:ascii="Times New Roman" w:hAnsi="Times New Roman" w:cs="Times New Roman"/>
        </w:rPr>
        <w:t xml:space="preserve"> Switzerland. Fintech on the Rise in Uzbekistan: A Short Overview. 2024. URL: </w:t>
      </w:r>
      <w:hyperlink r:id="rId93" w:tgtFrame="_new" w:history="1">
        <w:r w:rsidRPr="00081992">
          <w:rPr>
            <w:rStyle w:val="a5"/>
            <w:rFonts w:ascii="Times New Roman" w:hAnsi="Times New Roman" w:cs="Times New Roman"/>
          </w:rPr>
          <w:t>https://fintechnews.ch/fintech/fintech-on-the-rise-in-uzbekistan-a-short-overview/69023/</w:t>
        </w:r>
      </w:hyperlink>
    </w:p>
  </w:footnote>
  <w:footnote w:id="9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>. Fintech Market Uzbekistan. 2023</w:t>
      </w:r>
    </w:p>
  </w:footnote>
  <w:footnote w:id="10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Evolution of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 in Central Asian Countries and Implications for the Region’s Economy //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. 2025. Vol. 4, No. 4. URL: </w:t>
      </w:r>
      <w:hyperlink r:id="rId94" w:tgtFrame="_new" w:history="1">
        <w:r w:rsidRPr="00081992">
          <w:rPr>
            <w:rStyle w:val="a5"/>
            <w:rFonts w:ascii="Times New Roman" w:hAnsi="Times New Roman" w:cs="Times New Roman"/>
          </w:rPr>
          <w:t>https://www.mdpi.com/2674-1032/4/4/69</w:t>
        </w:r>
      </w:hyperlink>
    </w:p>
  </w:footnote>
  <w:footnote w:id="10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Abdukadirova</w:t>
      </w:r>
      <w:proofErr w:type="spellEnd"/>
      <w:r w:rsidRPr="00081992">
        <w:rPr>
          <w:rFonts w:ascii="Times New Roman" w:hAnsi="Times New Roman" w:cs="Times New Roman"/>
        </w:rPr>
        <w:t xml:space="preserve"> N.A. Statistical Analysis of the Dynamics of Non-Cash Payments in Uzbekistan Over the Past Five Years // Journal of Applied Science and Social Science. 2026. Vol. 16, No. 5. P. 320–323. URL: </w:t>
      </w:r>
      <w:hyperlink r:id="rId95" w:tgtFrame="_new" w:history="1">
        <w:r w:rsidRPr="00081992">
          <w:rPr>
            <w:rStyle w:val="a5"/>
            <w:rFonts w:ascii="Times New Roman" w:hAnsi="Times New Roman" w:cs="Times New Roman"/>
          </w:rPr>
          <w:t>https://www.internationaljournal.co.in/index.php/jasass/article/view/4320</w:t>
        </w:r>
      </w:hyperlink>
    </w:p>
  </w:footnote>
  <w:footnote w:id="10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 Country and Lending Groups: Country Classification. URL: </w:t>
      </w:r>
      <w:hyperlink r:id="rId96" w:tgtFrame="_new" w:history="1">
        <w:r w:rsidRPr="00081992">
          <w:rPr>
            <w:rStyle w:val="a5"/>
            <w:rFonts w:ascii="Times New Roman" w:hAnsi="Times New Roman" w:cs="Times New Roman"/>
          </w:rPr>
          <w:t>https://datahelpdesk.worldbank.org/knowledgebase/articles/906519-world-bank-country-and-lending-groups</w:t>
        </w:r>
      </w:hyperlink>
    </w:p>
  </w:footnote>
  <w:footnote w:id="10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World Investment Report 2023: Investing in Sustainable Energy for All. Geneva: United Nations, 2023. URL: </w:t>
      </w:r>
      <w:hyperlink r:id="rId97" w:tgtFrame="_new" w:history="1">
        <w:r w:rsidRPr="00081992">
          <w:rPr>
            <w:rStyle w:val="a5"/>
            <w:rFonts w:ascii="Times New Roman" w:hAnsi="Times New Roman" w:cs="Times New Roman"/>
          </w:rPr>
          <w:t>https://unctad.org/publication/world-investment-report-2023</w:t>
        </w:r>
      </w:hyperlink>
    </w:p>
  </w:footnote>
  <w:footnote w:id="10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98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05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X-Road. Open-Source Software. б. г. URL: </w:t>
      </w:r>
      <w:hyperlink r:id="rId99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https://x-road.global/xroad-open-source</w:t>
        </w:r>
      </w:hyperlink>
    </w:p>
  </w:footnote>
  <w:footnote w:id="106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Estonia. Population of Estonia, 1 January 2024. 2024. URL: </w:t>
      </w:r>
      <w:hyperlink r:id="rId100" w:tgtFrame="_new" w:history="1">
        <w:r w:rsidRPr="00081992">
          <w:rPr>
            <w:rStyle w:val="a5"/>
            <w:rFonts w:ascii="Times New Roman" w:hAnsi="Times New Roman" w:cs="Times New Roman"/>
          </w:rPr>
          <w:t>https://www.stat.ee/en/find-statistics/statistics-theme/population</w:t>
        </w:r>
      </w:hyperlink>
    </w:p>
  </w:footnote>
  <w:footnote w:id="107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Uzbekistan. Demographic situation in Uzbekistan, 2024. 2024. URL: </w:t>
      </w:r>
      <w:hyperlink r:id="rId101" w:tgtFrame="_new" w:history="1">
        <w:r w:rsidRPr="00081992">
          <w:rPr>
            <w:rStyle w:val="a5"/>
            <w:rFonts w:ascii="Times New Roman" w:hAnsi="Times New Roman" w:cs="Times New Roman"/>
          </w:rPr>
          <w:t>https://stat.uz/en/</w:t>
        </w:r>
      </w:hyperlink>
    </w:p>
  </w:footnote>
  <w:footnote w:id="10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Government of the Republic of Korea. Korean New Deal: National Strategy for a Great Transformation. Seoul, 2020. P. 14–18. URL: </w:t>
      </w:r>
      <w:hyperlink r:id="rId102" w:tgtFrame="_new" w:history="1">
        <w:r w:rsidRPr="00081992">
          <w:rPr>
            <w:rStyle w:val="a5"/>
            <w:rFonts w:ascii="Times New Roman" w:hAnsi="Times New Roman" w:cs="Times New Roman"/>
          </w:rPr>
          <w:t>https://english.moef.go.kr/</w:t>
        </w:r>
      </w:hyperlink>
    </w:p>
  </w:footnote>
  <w:footnote w:id="10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Operational </w:t>
      </w:r>
      <w:proofErr w:type="spellStart"/>
      <w:r w:rsidRPr="00081992">
        <w:rPr>
          <w:rFonts w:ascii="Times New Roman" w:hAnsi="Times New Roman" w:cs="Times New Roman"/>
        </w:rPr>
        <w:t>Programme</w:t>
      </w:r>
      <w:proofErr w:type="spellEnd"/>
      <w:r w:rsidRPr="00081992">
        <w:rPr>
          <w:rFonts w:ascii="Times New Roman" w:hAnsi="Times New Roman" w:cs="Times New Roman"/>
        </w:rPr>
        <w:t xml:space="preserve"> Digital Poland 2014–2020 (POPC). 2014–2020. URL: </w:t>
      </w:r>
      <w:hyperlink r:id="rId103" w:tgtFrame="_new" w:history="1">
        <w:r w:rsidRPr="00081992">
          <w:rPr>
            <w:rStyle w:val="a5"/>
            <w:rFonts w:ascii="Times New Roman" w:hAnsi="Times New Roman" w:cs="Times New Roman"/>
          </w:rPr>
          <w:t>https://ec.europa.eu/regional_policy/en/atlas/programmes/2014-2020/poland/2014pl16rfop002</w:t>
        </w:r>
      </w:hyperlink>
    </w:p>
  </w:footnote>
  <w:footnote w:id="11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Asian Development Bank. Uzbekistan: Country Partnership Strategy 2019–2023. Manila: ADB, 2019. URL: </w:t>
      </w:r>
      <w:hyperlink r:id="rId104" w:tgtFrame="_new" w:history="1">
        <w:r w:rsidRPr="00081992">
          <w:rPr>
            <w:rStyle w:val="a5"/>
            <w:rFonts w:ascii="Times New Roman" w:hAnsi="Times New Roman" w:cs="Times New Roman"/>
          </w:rPr>
          <w:t>https://www.adb.org/documents/uzbekistan-country-partnership-strategy-2019-2023</w:t>
        </w:r>
      </w:hyperlink>
    </w:p>
  </w:footnote>
  <w:footnote w:id="111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EBRD. Uzbekistan Country Strategy 2018–2023. London: EBRD, 2018. URL: </w:t>
      </w:r>
      <w:hyperlink r:id="rId105" w:tgtFrame="_new" w:history="1">
        <w:r w:rsidRPr="00081992">
          <w:rPr>
            <w:rStyle w:val="a5"/>
            <w:rFonts w:ascii="Times New Roman" w:hAnsi="Times New Roman" w:cs="Times New Roman"/>
          </w:rPr>
          <w:t>https://www.ebrd.com/uzbekistan.html</w:t>
        </w:r>
      </w:hyperlink>
    </w:p>
  </w:footnote>
  <w:footnote w:id="112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</w:t>
      </w:r>
      <w:proofErr w:type="spellStart"/>
      <w:r w:rsidRPr="00081992">
        <w:rPr>
          <w:rFonts w:ascii="Times New Roman" w:hAnsi="Times New Roman" w:cs="Times New Roman"/>
        </w:rPr>
        <w:t>SingPass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Identity. б. г. URL: </w:t>
      </w:r>
      <w:hyperlink r:id="rId106" w:tgtFrame="_new" w:history="1">
        <w:r w:rsidRPr="00081992">
          <w:rPr>
            <w:rStyle w:val="a5"/>
            <w:rFonts w:ascii="Times New Roman" w:hAnsi="Times New Roman" w:cs="Times New Roman"/>
          </w:rPr>
          <w:t>https://www.singpass.gov.sg/</w:t>
        </w:r>
      </w:hyperlink>
      <w:r w:rsidRPr="00081992">
        <w:rPr>
          <w:rFonts w:ascii="Times New Roman" w:hAnsi="Times New Roman" w:cs="Times New Roman"/>
        </w:rPr>
        <w:t xml:space="preserve"> (</w:t>
      </w:r>
      <w:proofErr w:type="spellStart"/>
      <w:r w:rsidRPr="00081992">
        <w:rPr>
          <w:rFonts w:ascii="Times New Roman" w:hAnsi="Times New Roman" w:cs="Times New Roman"/>
        </w:rPr>
        <w:t>дата</w:t>
      </w:r>
      <w:proofErr w:type="spellEnd"/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обращения</w:t>
      </w:r>
      <w:proofErr w:type="spellEnd"/>
      <w:r w:rsidRPr="00081992">
        <w:rPr>
          <w:rFonts w:ascii="Times New Roman" w:hAnsi="Times New Roman" w:cs="Times New Roman"/>
        </w:rPr>
        <w:t>: 10.05.2026).</w:t>
      </w:r>
    </w:p>
  </w:footnote>
  <w:footnote w:id="113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Digital Technologies of the Republic of Uzbekistan. </w:t>
      </w:r>
      <w:proofErr w:type="spellStart"/>
      <w:r w:rsidRPr="00081992">
        <w:rPr>
          <w:rFonts w:ascii="Times New Roman" w:hAnsi="Times New Roman" w:cs="Times New Roman"/>
        </w:rPr>
        <w:t>MyID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Identification System. б. г. URL: </w:t>
      </w:r>
      <w:hyperlink r:id="rId107" w:tgtFrame="_new" w:history="1">
        <w:r w:rsidRPr="00081992">
          <w:rPr>
            <w:rStyle w:val="a5"/>
            <w:rFonts w:ascii="Times New Roman" w:hAnsi="Times New Roman" w:cs="Times New Roman"/>
          </w:rPr>
          <w:t>https://myid.uz/</w:t>
        </w:r>
      </w:hyperlink>
    </w:p>
  </w:footnote>
  <w:footnote w:id="114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Strengthening Economic Resilience: Insights from the Post-1970 Record of Severe Recessions and Financial Crises // OECD Economic Policy Papers. 2017. No. 20. P. 8–12. DOI: </w:t>
      </w:r>
      <w:hyperlink r:id="rId10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115">
    <w:p w:rsidR="00BB1BAF" w:rsidRPr="00081992" w:rsidRDefault="00BB1BAF" w:rsidP="00C02A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International Telecommunication Union (ITU). ICT Indicators Database: Individual internet usage, Uzbekistan. 2023. URL: </w:t>
      </w:r>
      <w:hyperlink r:id="rId109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https://datahub.itu.int/</w:t>
        </w:r>
      </w:hyperlink>
    </w:p>
  </w:footnote>
  <w:footnote w:id="116">
    <w:p w:rsidR="00BB1BAF" w:rsidRPr="00081992" w:rsidRDefault="00BB1BAF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IT Park Uzbekistan. Annual Report 2024. 2024. URL: </w:t>
      </w:r>
      <w:hyperlink r:id="rId110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https://it-park.uz/en</w:t>
        </w:r>
      </w:hyperlink>
    </w:p>
  </w:footnote>
  <w:footnote w:id="117">
    <w:p w:rsidR="00BB1BAF" w:rsidRPr="00081992" w:rsidRDefault="00BB1BAF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Mastercard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FintechNews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 Switzerland. Fintech on the Rise in Uzbekistan: A Short Overview. 2024. URL: </w:t>
      </w:r>
      <w:hyperlink r:id="rId111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https://fintechnews.ch/fintech/fintech-on-the-rise-in-uzbekistan-a-short-overview/69023/</w:t>
        </w:r>
      </w:hyperlink>
    </w:p>
  </w:footnote>
  <w:footnote w:id="118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112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19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“Цифровой Узбекистан - 2030” и мерах по её эффективной реализации».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3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120">
    <w:p w:rsidR="00BB1BAF" w:rsidRPr="00081992" w:rsidRDefault="00BB1BAF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Узбекистан.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4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BAF" w:rsidRDefault="00BB1BA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73732"/>
    <w:multiLevelType w:val="hybridMultilevel"/>
    <w:tmpl w:val="7C80C13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3612"/>
    <w:multiLevelType w:val="hybridMultilevel"/>
    <w:tmpl w:val="5914DA0C"/>
    <w:lvl w:ilvl="0" w:tplc="A99685D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92CAB"/>
    <w:multiLevelType w:val="hybridMultilevel"/>
    <w:tmpl w:val="8EB64CEC"/>
    <w:lvl w:ilvl="0" w:tplc="A7DAEF9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851A3"/>
    <w:multiLevelType w:val="multilevel"/>
    <w:tmpl w:val="EBD4BD4E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F14816"/>
    <w:multiLevelType w:val="hybridMultilevel"/>
    <w:tmpl w:val="8F4E20E0"/>
    <w:lvl w:ilvl="0" w:tplc="5502A36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F00D5"/>
    <w:multiLevelType w:val="hybridMultilevel"/>
    <w:tmpl w:val="F468E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77"/>
    <w:rsid w:val="00013C41"/>
    <w:rsid w:val="00050ED2"/>
    <w:rsid w:val="0006224E"/>
    <w:rsid w:val="00081992"/>
    <w:rsid w:val="000C7A25"/>
    <w:rsid w:val="00114396"/>
    <w:rsid w:val="00114EA1"/>
    <w:rsid w:val="00161822"/>
    <w:rsid w:val="001657DE"/>
    <w:rsid w:val="001D4A97"/>
    <w:rsid w:val="001E7D4B"/>
    <w:rsid w:val="0022556C"/>
    <w:rsid w:val="0027301E"/>
    <w:rsid w:val="00277A71"/>
    <w:rsid w:val="00286375"/>
    <w:rsid w:val="00302040"/>
    <w:rsid w:val="00386D9A"/>
    <w:rsid w:val="003879C6"/>
    <w:rsid w:val="00390488"/>
    <w:rsid w:val="003B484D"/>
    <w:rsid w:val="003E5E9F"/>
    <w:rsid w:val="004007C3"/>
    <w:rsid w:val="00435A27"/>
    <w:rsid w:val="004B1E76"/>
    <w:rsid w:val="004B3C97"/>
    <w:rsid w:val="004F305F"/>
    <w:rsid w:val="00592F74"/>
    <w:rsid w:val="00627AAF"/>
    <w:rsid w:val="006B77F0"/>
    <w:rsid w:val="006E5A5E"/>
    <w:rsid w:val="007200F4"/>
    <w:rsid w:val="007322BE"/>
    <w:rsid w:val="00737AF8"/>
    <w:rsid w:val="007638E3"/>
    <w:rsid w:val="007F6B0F"/>
    <w:rsid w:val="00807BBC"/>
    <w:rsid w:val="008453F5"/>
    <w:rsid w:val="00915457"/>
    <w:rsid w:val="0093678C"/>
    <w:rsid w:val="009450A1"/>
    <w:rsid w:val="00990EE6"/>
    <w:rsid w:val="009C4BB1"/>
    <w:rsid w:val="009F154E"/>
    <w:rsid w:val="00B17E9D"/>
    <w:rsid w:val="00BA5274"/>
    <w:rsid w:val="00BA6504"/>
    <w:rsid w:val="00BB1BAF"/>
    <w:rsid w:val="00BC19B3"/>
    <w:rsid w:val="00BF44E5"/>
    <w:rsid w:val="00C02A16"/>
    <w:rsid w:val="00C70677"/>
    <w:rsid w:val="00C74BEF"/>
    <w:rsid w:val="00C91D9E"/>
    <w:rsid w:val="00D32DBB"/>
    <w:rsid w:val="00D33B33"/>
    <w:rsid w:val="00D43AEC"/>
    <w:rsid w:val="00D6223A"/>
    <w:rsid w:val="00DC0760"/>
    <w:rsid w:val="00E23D01"/>
    <w:rsid w:val="00E872C1"/>
    <w:rsid w:val="00EB0285"/>
    <w:rsid w:val="00EF5F83"/>
    <w:rsid w:val="00F647F9"/>
    <w:rsid w:val="00F74968"/>
    <w:rsid w:val="00F853EF"/>
    <w:rsid w:val="00FB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F153"/>
  <w15:chartTrackingRefBased/>
  <w15:docId w15:val="{3F5E550F-EB95-4A64-A445-D070FACA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A16"/>
    <w:pPr>
      <w:spacing w:line="278" w:lineRule="auto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91D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1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2A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2A16"/>
    <w:rPr>
      <w:rFonts w:eastAsiaTheme="majorEastAsia" w:cstheme="majorBidi"/>
      <w:color w:val="2E74B5" w:themeColor="accent1" w:themeShade="BF"/>
      <w:sz w:val="28"/>
      <w:szCs w:val="28"/>
      <w14:ligatures w14:val="standardContextual"/>
    </w:rPr>
  </w:style>
  <w:style w:type="paragraph" w:styleId="a3">
    <w:name w:val="List Paragraph"/>
    <w:basedOn w:val="a"/>
    <w:uiPriority w:val="34"/>
    <w:qFormat/>
    <w:rsid w:val="00C02A16"/>
    <w:pPr>
      <w:ind w:left="720"/>
      <w:contextualSpacing/>
    </w:pPr>
  </w:style>
  <w:style w:type="character" w:styleId="a4">
    <w:name w:val="footnote reference"/>
    <w:uiPriority w:val="99"/>
    <w:semiHidden/>
    <w:unhideWhenUsed/>
    <w:rsid w:val="00C02A16"/>
    <w:rPr>
      <w:vertAlign w:val="superscript"/>
    </w:rPr>
  </w:style>
  <w:style w:type="character" w:styleId="a5">
    <w:name w:val="Hyperlink"/>
    <w:basedOn w:val="a0"/>
    <w:uiPriority w:val="99"/>
    <w:unhideWhenUsed/>
    <w:rsid w:val="00C02A16"/>
    <w:rPr>
      <w:color w:val="0000FF"/>
      <w:u w:val="single"/>
    </w:rPr>
  </w:style>
  <w:style w:type="paragraph" w:styleId="a6">
    <w:name w:val="footnote text"/>
    <w:basedOn w:val="a"/>
    <w:link w:val="a7"/>
    <w:uiPriority w:val="99"/>
    <w:semiHidden/>
    <w:unhideWhenUsed/>
    <w:rsid w:val="00C02A16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C02A16"/>
    <w:rPr>
      <w:sz w:val="20"/>
      <w:szCs w:val="20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C02A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2A16"/>
    <w:rPr>
      <w14:ligatures w14:val="standardContextual"/>
    </w:rPr>
  </w:style>
  <w:style w:type="character" w:styleId="aa">
    <w:name w:val="FollowedHyperlink"/>
    <w:basedOn w:val="a0"/>
    <w:uiPriority w:val="99"/>
    <w:semiHidden/>
    <w:unhideWhenUsed/>
    <w:rsid w:val="004B3C9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91D9E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91D9E"/>
    <w:rPr>
      <w:rFonts w:asciiTheme="majorHAnsi" w:eastAsiaTheme="majorEastAsia" w:hAnsiTheme="majorHAnsi" w:cstheme="majorBidi"/>
      <w:color w:val="2E74B5" w:themeColor="accent1" w:themeShade="BF"/>
      <w:sz w:val="26"/>
      <w:szCs w:val="26"/>
      <w14:ligatures w14:val="standardContextual"/>
    </w:rPr>
  </w:style>
  <w:style w:type="paragraph" w:styleId="ab">
    <w:name w:val="TOC Heading"/>
    <w:basedOn w:val="1"/>
    <w:next w:val="a"/>
    <w:uiPriority w:val="39"/>
    <w:unhideWhenUsed/>
    <w:qFormat/>
    <w:rsid w:val="00EB0285"/>
    <w:pPr>
      <w:spacing w:line="259" w:lineRule="auto"/>
      <w:outlineLvl w:val="9"/>
    </w:pPr>
    <w:rPr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02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B02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0285"/>
    <w:pPr>
      <w:spacing w:after="100"/>
      <w:ind w:left="440"/>
    </w:pPr>
  </w:style>
  <w:style w:type="paragraph" w:styleId="ac">
    <w:name w:val="header"/>
    <w:basedOn w:val="a"/>
    <w:link w:val="ad"/>
    <w:uiPriority w:val="99"/>
    <w:unhideWhenUsed/>
    <w:rsid w:val="00EB0285"/>
    <w:pPr>
      <w:tabs>
        <w:tab w:val="center" w:pos="4844"/>
        <w:tab w:val="right" w:pos="9689"/>
      </w:tabs>
      <w:spacing w:after="0" w:line="240" w:lineRule="auto"/>
    </w:pPr>
    <w:rPr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rsid w:val="00EB0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hyperlink" Target="https://www.imd.org/centers/wcc/world-competitiveness-center/rankings/world-digital-competitiveness-ranking/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ec.europa.eu/eurostat/databrowser/view/tec00115" TargetMode="External"/><Relationship Id="rId42" Type="http://schemas.openxmlformats.org/officeDocument/2006/relationships/hyperlink" Target="https://www.uzdaily.uz/en/uzbekistans-gdp-amounted-to-us11496-billion-in-2024/" TargetMode="External"/><Relationship Id="rId47" Type="http://schemas.openxmlformats.org/officeDocument/2006/relationships/hyperlink" Target="https://x-road.global/xroad-open-source" TargetMode="External"/><Relationship Id="rId50" Type="http://schemas.openxmlformats.org/officeDocument/2006/relationships/hyperlink" Target="https://www.baltictimes.com/new_milestone_for_e-residency_with_record_number_of_companies_founded_in_2024/" TargetMode="External"/><Relationship Id="rId55" Type="http://schemas.openxmlformats.org/officeDocument/2006/relationships/hyperlink" Target="https://digital-strategy.ec.europa.eu/en/policies/digital-connectivity-poland" TargetMode="External"/><Relationship Id="rId63" Type="http://schemas.openxmlformats.org/officeDocument/2006/relationships/hyperlink" Target="https://freedomhouse.org/country/uzbekistan/freedom-net/2024" TargetMode="External"/><Relationship Id="rId68" Type="http://schemas.openxmlformats.org/officeDocument/2006/relationships/image" Target="media/image15.png"/><Relationship Id="rId7" Type="http://schemas.openxmlformats.org/officeDocument/2006/relationships/endnotes" Target="endnotes.xml"/><Relationship Id="rId71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9" Type="http://schemas.openxmlformats.org/officeDocument/2006/relationships/hyperlink" Target="https://databank.worldbank.org/source/world-development-indicators" TargetMode="Externa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hyperlink" Target="https://datahub.itu.int/" TargetMode="External"/><Relationship Id="rId37" Type="http://schemas.openxmlformats.org/officeDocument/2006/relationships/hyperlink" Target="https://www.spglobal.com/marketintelligence/en/mi/research-analysis/singapore-economy-continues-on-road-to-recovery-july22.html" TargetMode="External"/><Relationship Id="rId40" Type="http://schemas.openxmlformats.org/officeDocument/2006/relationships/hyperlink" Target="https://networkreadinessindex.org/" TargetMode="External"/><Relationship Id="rId45" Type="http://schemas.openxmlformats.org/officeDocument/2006/relationships/hyperlink" Target="https://it-park.uz/en" TargetMode="External"/><Relationship Id="rId53" Type="http://schemas.openxmlformats.org/officeDocument/2006/relationships/hyperlink" Target="https://www.singpass.gov.sg/" TargetMode="External"/><Relationship Id="rId58" Type="http://schemas.openxmlformats.org/officeDocument/2006/relationships/hyperlink" Target="https://dig.watch/countries/uzbekistan" TargetMode="External"/><Relationship Id="rId66" Type="http://schemas.openxmlformats.org/officeDocument/2006/relationships/image" Target="media/image13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www.trade.gov/country-commercial-guides/poland-digital-economy" TargetMode="External"/><Relationship Id="rId49" Type="http://schemas.openxmlformats.org/officeDocument/2006/relationships/hyperlink" Target="https://estonianworld.com/technology/estonias-tiger-leap-the-schools-project-that-wired-a-nation-for-the-digital-age/" TargetMode="External"/><Relationship Id="rId57" Type="http://schemas.openxmlformats.org/officeDocument/2006/relationships/hyperlink" Target="https://www.biometricupdate.com/202508/poland-campaigns-to-boost-the-use-of-its-digital-id-platform-mobywatel" TargetMode="External"/><Relationship Id="rId61" Type="http://schemas.openxmlformats.org/officeDocument/2006/relationships/hyperlink" Target="https://www.worlddata.info/asia/uzbekistan/telecommunication.php" TargetMode="Externa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hyperlink" Target="https://www.imf.org/en/Publications/WEO/weo-database/2024/April" TargetMode="External"/><Relationship Id="rId44" Type="http://schemas.openxmlformats.org/officeDocument/2006/relationships/hyperlink" Target="https://fintechnews.ch/fintech/fintech-on-the-rise-in-uzbekistan-a-short-overview/69023/" TargetMode="External"/><Relationship Id="rId52" Type="http://schemas.openxmlformats.org/officeDocument/2006/relationships/hyperlink" Target="https://www.tech.gov.sg/technews/our-enhanced-smart-nation-vision-paving-the-way-for-a-new-digital-era/" TargetMode="External"/><Relationship Id="rId60" Type="http://schemas.openxmlformats.org/officeDocument/2006/relationships/hyperlink" Target="https://tadviser.com/index.php/Article:ICT_market_of_Uzbekistan" TargetMode="External"/><Relationship Id="rId65" Type="http://schemas.openxmlformats.org/officeDocument/2006/relationships/hyperlink" Target="https://eastasiaforum.org/2022/02/04/south-koreas-strong-economic-performance-faces-post-pandemic-challenges/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hart" Target="charts/chart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yperlink" Target="https://datahelpdesk.worldbank.org/knowledgebase/articles/906519" TargetMode="External"/><Relationship Id="rId35" Type="http://schemas.openxmlformats.org/officeDocument/2006/relationships/hyperlink" Target="https://www.worldbank.org/en/news/press-release/2021/03/31/polish-economy-returns-to-growth-amidst-pandemic-related-setbacks" TargetMode="External"/><Relationship Id="rId43" Type="http://schemas.openxmlformats.org/officeDocument/2006/relationships/hyperlink" Target="https://stat.uz/en/" TargetMode="External"/><Relationship Id="rId48" Type="http://schemas.openxmlformats.org/officeDocument/2006/relationships/hyperlink" Target="https://www.educationestonia.org/tiger-leap/" TargetMode="External"/><Relationship Id="rId56" Type="http://schemas.openxmlformats.org/officeDocument/2006/relationships/hyperlink" Target="https://en.ain.ua/2023/07/14/poland-digital-ids-equal-traditional-documents/" TargetMode="External"/><Relationship Id="rId64" Type="http://schemas.openxmlformats.org/officeDocument/2006/relationships/hyperlink" Target="https://www.speedtest.net/global-index/uzbekistan" TargetMode="External"/><Relationship Id="rId69" Type="http://schemas.openxmlformats.org/officeDocument/2006/relationships/image" Target="media/image16.png"/><Relationship Id="rId8" Type="http://schemas.openxmlformats.org/officeDocument/2006/relationships/header" Target="header1.xml"/><Relationship Id="rId51" Type="http://schemas.openxmlformats.org/officeDocument/2006/relationships/hyperlink" Target="https://investinestonia.com/e-residency-brings-record-revenue-in-first-half-of-2025/" TargetMode="External"/><Relationship Id="rId72" Type="http://schemas.openxmlformats.org/officeDocument/2006/relationships/footer" Target="footer4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chart" Target="charts/chart3.xml"/><Relationship Id="rId25" Type="http://schemas.openxmlformats.org/officeDocument/2006/relationships/image" Target="media/image9.png"/><Relationship Id="rId33" Type="http://schemas.openxmlformats.org/officeDocument/2006/relationships/hyperlink" Target="https://ec.europa.eu/eurostat/statistics-explained/index.php?title=Cloud_computing_-_statistics_on_the_use_by_enterprises" TargetMode="External"/><Relationship Id="rId38" Type="http://schemas.openxmlformats.org/officeDocument/2006/relationships/hyperlink" Target="https://keia.org/the-peninsula/the-korean-new-deal" TargetMode="External"/><Relationship Id="rId46" Type="http://schemas.openxmlformats.org/officeDocument/2006/relationships/hyperlink" Target="https://e-estonia.com/solutions/interoperability-services/x-road/" TargetMode="External"/><Relationship Id="rId59" Type="http://schemas.openxmlformats.org/officeDocument/2006/relationships/hyperlink" Target="https://myid.uz/" TargetMode="External"/><Relationship Id="rId67" Type="http://schemas.openxmlformats.org/officeDocument/2006/relationships/image" Target="media/image14.png"/><Relationship Id="rId20" Type="http://schemas.openxmlformats.org/officeDocument/2006/relationships/image" Target="media/image4.png"/><Relationship Id="rId41" Type="http://schemas.openxmlformats.org/officeDocument/2006/relationships/hyperlink" Target="https://oxfordinsights.com/ai-readiness/ai-readiness-index/" TargetMode="External"/><Relationship Id="rId54" Type="http://schemas.openxmlformats.org/officeDocument/2006/relationships/hyperlink" Target="https://opengovasia.com/singapore-milestones-and-momentum-of-a-smart-nation/" TargetMode="External"/><Relationship Id="rId62" Type="http://schemas.openxmlformats.org/officeDocument/2006/relationships/hyperlink" Target="https://www.theglobaleconomy.com/Uzbekistan/Internet_users/" TargetMode="External"/><Relationship Id="rId7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labeco.2023.102330" TargetMode="External"/><Relationship Id="rId21" Type="http://schemas.openxmlformats.org/officeDocument/2006/relationships/hyperlink" Target="https://doi.org/10.1787/6b748a4b-en" TargetMode="External"/><Relationship Id="rId42" Type="http://schemas.openxmlformats.org/officeDocument/2006/relationships/hyperlink" Target="https://keia.org/the-peninsula/the-korean-new-deal/" TargetMode="External"/><Relationship Id="rId47" Type="http://schemas.openxmlformats.org/officeDocument/2006/relationships/hyperlink" Target="https://southeastasiainfra.com/digital-leap-singapores-blueprint-for-smart-nation-2-0/" TargetMode="External"/><Relationship Id="rId63" Type="http://schemas.openxmlformats.org/officeDocument/2006/relationships/hyperlink" Target="http://eng.koreanre.co.kr/webzine/Bulletin_180/bull1.html" TargetMode="External"/><Relationship Id="rId68" Type="http://schemas.openxmlformats.org/officeDocument/2006/relationships/hyperlink" Target="https://www.eria.org/uploads/04_Chapter-3-The-Case-of-Singapore.pdf" TargetMode="External"/><Relationship Id="rId84" Type="http://schemas.openxmlformats.org/officeDocument/2006/relationships/hyperlink" Target="https://oxfordinsights.com/ai-readiness/ai-readiness-index/" TargetMode="External"/><Relationship Id="rId89" Type="http://schemas.openxmlformats.org/officeDocument/2006/relationships/hyperlink" Target="https://www.uzdaily.uz/en/uzbekistans-gdp-amounted-to-us11496-billion-in-2024/" TargetMode="External"/><Relationship Id="rId112" Type="http://schemas.openxmlformats.org/officeDocument/2006/relationships/hyperlink" Target="https://e-estonia.com/solutions/interoperability-services/x-road/?utm_source=chatgpt.com" TargetMode="External"/><Relationship Id="rId2" Type="http://schemas.openxmlformats.org/officeDocument/2006/relationships/hyperlink" Target="https://doi.org/10.1016/j.labeco.2023.102330" TargetMode="External"/><Relationship Id="rId16" Type="http://schemas.openxmlformats.org/officeDocument/2006/relationships/hyperlink" Target="https://doi.org/10.1016/j.labeco.2023.102330" TargetMode="External"/><Relationship Id="rId29" Type="http://schemas.openxmlformats.org/officeDocument/2006/relationships/hyperlink" Target="https://doi.org/10.1787/a1689dc5-en" TargetMode="External"/><Relationship Id="rId107" Type="http://schemas.openxmlformats.org/officeDocument/2006/relationships/hyperlink" Target="https://myid.uz/" TargetMode="External"/><Relationship Id="rId11" Type="http://schemas.openxmlformats.org/officeDocument/2006/relationships/hyperlink" Target="https://ec.europa.eu/eurostat/statistics-explained/index.php?title=Cloud_computing_-_statistics_on_the_use_by_enterprises" TargetMode="External"/><Relationship Id="rId24" Type="http://schemas.openxmlformats.org/officeDocument/2006/relationships/hyperlink" Target="https://doi.org/10.1787/f6d42aa5-en" TargetMode="External"/><Relationship Id="rId32" Type="http://schemas.openxmlformats.org/officeDocument/2006/relationships/hyperlink" Target="https://doi.org/10.1787/5jln0421ld25-en" TargetMode="External"/><Relationship Id="rId37" Type="http://schemas.openxmlformats.org/officeDocument/2006/relationships/hyperlink" Target="https://investinestonia.com/e-residency-brings-record-revenue-in-first-half-of-2025/" TargetMode="External"/><Relationship Id="rId40" Type="http://schemas.openxmlformats.org/officeDocument/2006/relationships/hyperlink" Target="https://www.iea.org/policies/11514-korean-new-deal-digital-new-deal-green-new-deal-and-stronger-safety-net" TargetMode="External"/><Relationship Id="rId45" Type="http://schemas.openxmlformats.org/officeDocument/2006/relationships/hyperlink" Target="https://publicadministration.un.org/egovkb/en-us/Data/Country-Information/id/138-Republic-of-Korea?utm_source=chatgpt.com" TargetMode="External"/><Relationship Id="rId53" Type="http://schemas.openxmlformats.org/officeDocument/2006/relationships/hyperlink" Target="https://en.ain.ua/2023/07/14/poland-digital-ids-equal-traditional-documents/" TargetMode="External"/><Relationship Id="rId58" Type="http://schemas.openxmlformats.org/officeDocument/2006/relationships/hyperlink" Target="https://ec.europa.eu/eurostat/databrowser/view/tec00115/" TargetMode="External"/><Relationship Id="rId66" Type="http://schemas.openxmlformats.org/officeDocument/2006/relationships/hyperlink" Target="https://www.spglobal.com/marketintelligence/en/mi/research-analysis/singapore-economy-continues-on-road-to-recovery-july22.html" TargetMode="External"/><Relationship Id="rId74" Type="http://schemas.openxmlformats.org/officeDocument/2006/relationships/hyperlink" Target="https://ec.europa.eu/eurostat/databrowser/view/tec00115/" TargetMode="External"/><Relationship Id="rId79" Type="http://schemas.openxmlformats.org/officeDocument/2006/relationships/hyperlink" Target="https://lex.uz/ru/docs/5031048" TargetMode="External"/><Relationship Id="rId87" Type="http://schemas.openxmlformats.org/officeDocument/2006/relationships/hyperlink" Target="https://www.theglobaleconomy.com/Uzbekistan/Internet_users/" TargetMode="External"/><Relationship Id="rId102" Type="http://schemas.openxmlformats.org/officeDocument/2006/relationships/hyperlink" Target="https://english.moef.go.kr/" TargetMode="External"/><Relationship Id="rId110" Type="http://schemas.openxmlformats.org/officeDocument/2006/relationships/hyperlink" Target="https://it-park.uz/en" TargetMode="External"/><Relationship Id="rId5" Type="http://schemas.openxmlformats.org/officeDocument/2006/relationships/hyperlink" Target="https://publicadministration.un.org/egovkb/en-us/reports/un-e-government-survey-2024" TargetMode="External"/><Relationship Id="rId61" Type="http://schemas.openxmlformats.org/officeDocument/2006/relationships/hyperlink" Target="https://www.europarl.europa.eu/thinktank/en/document/EPRS_BRI(2022)698886" TargetMode="External"/><Relationship Id="rId82" Type="http://schemas.openxmlformats.org/officeDocument/2006/relationships/hyperlink" Target="https://publicadministration.un.org/egovkb/en-us/Reports/UN-E-Government-Survey-2024" TargetMode="External"/><Relationship Id="rId90" Type="http://schemas.openxmlformats.org/officeDocument/2006/relationships/hyperlink" Target="https://dig.watch/countries/uzbekistan" TargetMode="External"/><Relationship Id="rId95" Type="http://schemas.openxmlformats.org/officeDocument/2006/relationships/hyperlink" Target="https://www.internationaljournal.co.in/index.php/jasass/article/view/4320" TargetMode="External"/><Relationship Id="rId19" Type="http://schemas.openxmlformats.org/officeDocument/2006/relationships/hyperlink" Target="https://doi.org/10.1787/5jrxhgf61q5j-en" TargetMode="External"/><Relationship Id="rId14" Type="http://schemas.openxmlformats.org/officeDocument/2006/relationships/hyperlink" Target="https://doi.org/10.1787/a1689dc5-en" TargetMode="External"/><Relationship Id="rId22" Type="http://schemas.openxmlformats.org/officeDocument/2006/relationships/hyperlink" Target="https://doi.org/10.1787/5jrxhgfqx3mv-en" TargetMode="External"/><Relationship Id="rId27" Type="http://schemas.openxmlformats.org/officeDocument/2006/relationships/hyperlink" Target="https://doi.org/10.1787/a1689dc5-en" TargetMode="External"/><Relationship Id="rId30" Type="http://schemas.openxmlformats.org/officeDocument/2006/relationships/hyperlink" Target="https://unctad.org/webflyer/digital-economy-report-2021" TargetMode="External"/><Relationship Id="rId35" Type="http://schemas.openxmlformats.org/officeDocument/2006/relationships/hyperlink" Target="https://x-road.global/xroad-history" TargetMode="External"/><Relationship Id="rId43" Type="http://schemas.openxmlformats.org/officeDocument/2006/relationships/hyperlink" Target="https://www.prnewswire.com/news-releases/digital-new-deal-secures-future-growth-engine-301346790.html" TargetMode="External"/><Relationship Id="rId48" Type="http://schemas.openxmlformats.org/officeDocument/2006/relationships/hyperlink" Target="https://www.tech.gov.sg/technews/our-enhanced-smart-nation-vision-paving-the-way-for-a-new-digital-era/" TargetMode="External"/><Relationship Id="rId56" Type="http://schemas.openxmlformats.org/officeDocument/2006/relationships/hyperlink" Target="https://doi.org/10.1787/a1689dc5-en" TargetMode="External"/><Relationship Id="rId64" Type="http://schemas.openxmlformats.org/officeDocument/2006/relationships/hyperlink" Target="https://www.bok.or.kr/eng/main/main.do" TargetMode="External"/><Relationship Id="rId69" Type="http://schemas.openxmlformats.org/officeDocument/2006/relationships/hyperlink" Target="https://www.mof.gov.sg/news-resources/newsroom/ministerial-statement-on-overview-of-government-s-strategy-to-emerge-stronger-from-the-covid-19-pandemic/" TargetMode="External"/><Relationship Id="rId77" Type="http://schemas.openxmlformats.org/officeDocument/2006/relationships/hyperlink" Target="https://unctad.org/publication/world-investment-report-2023" TargetMode="External"/><Relationship Id="rId100" Type="http://schemas.openxmlformats.org/officeDocument/2006/relationships/hyperlink" Target="https://www.stat.ee/en/find-statistics/statistics-theme/population" TargetMode="External"/><Relationship Id="rId105" Type="http://schemas.openxmlformats.org/officeDocument/2006/relationships/hyperlink" Target="https://www.ebrd.com/uzbekistan.html" TargetMode="External"/><Relationship Id="rId113" Type="http://schemas.openxmlformats.org/officeDocument/2006/relationships/hyperlink" Target="https://lex.uz/ru/docs/5031048" TargetMode="External"/><Relationship Id="rId8" Type="http://schemas.openxmlformats.org/officeDocument/2006/relationships/hyperlink" Target="https://doi.org/10.1787/data-00037-en" TargetMode="External"/><Relationship Id="rId51" Type="http://schemas.openxmlformats.org/officeDocument/2006/relationships/hyperlink" Target="https://warsawinstitute.org/digital-state-how-poland-became-a-european-leader-in-digitalisation/" TargetMode="External"/><Relationship Id="rId72" Type="http://schemas.openxmlformats.org/officeDocument/2006/relationships/hyperlink" Target="https://www.iea.org/reports/poland-2022/executive-summary" TargetMode="External"/><Relationship Id="rId80" Type="http://schemas.openxmlformats.org/officeDocument/2006/relationships/hyperlink" Target="https://www.uzbekistan.org.ua/en/news/7390-digital-transformation-of-uzbekistan-promotes-regional-integration-in-central-asia.html" TargetMode="External"/><Relationship Id="rId85" Type="http://schemas.openxmlformats.org/officeDocument/2006/relationships/hyperlink" Target="https://dig.watch/countries/uzbekistan" TargetMode="External"/><Relationship Id="rId93" Type="http://schemas.openxmlformats.org/officeDocument/2006/relationships/hyperlink" Target="https://fintechnews.ch/fintech/fintech-on-the-rise-in-uzbekistan-a-short-overview/69023/" TargetMode="External"/><Relationship Id="rId98" Type="http://schemas.openxmlformats.org/officeDocument/2006/relationships/hyperlink" Target="https://e-estonia.com/solutions/interoperability-services/x-road/" TargetMode="External"/><Relationship Id="rId3" Type="http://schemas.openxmlformats.org/officeDocument/2006/relationships/hyperlink" Target="https://lex.uz/ru/docs/5031048" TargetMode="External"/><Relationship Id="rId12" Type="http://schemas.openxmlformats.org/officeDocument/2006/relationships/hyperlink" Target="https://doi.org/10.1787/a1689dc5-en" TargetMode="External"/><Relationship Id="rId17" Type="http://schemas.openxmlformats.org/officeDocument/2006/relationships/hyperlink" Target="https://doi.org/10.1787/5jrxhgf61q5j-en" TargetMode="External"/><Relationship Id="rId25" Type="http://schemas.openxmlformats.org/officeDocument/2006/relationships/hyperlink" Target="https://doi.org/10.1787/f6d42aa5-en" TargetMode="External"/><Relationship Id="rId33" Type="http://schemas.openxmlformats.org/officeDocument/2006/relationships/hyperlink" Target="https://www.educationestonia.org/tiger-leap/" TargetMode="External"/><Relationship Id="rId38" Type="http://schemas.openxmlformats.org/officeDocument/2006/relationships/hyperlink" Target="https://www.baltictimes.com/new_milestone_for_e-residency_with_record_number_of_companies_founded_in_2024/" TargetMode="External"/><Relationship Id="rId46" Type="http://schemas.openxmlformats.org/officeDocument/2006/relationships/hyperlink" Target="https://govinsider.asia/intl-en/article/leaving-no-one-behind-will-determine-success-of-smart-nation-20" TargetMode="External"/><Relationship Id="rId59" Type="http://schemas.openxmlformats.org/officeDocument/2006/relationships/hyperlink" Target="https://thecsruniverse.com/articles/estonia-a-fine-model-of-e-governance-for-the-world" TargetMode="External"/><Relationship Id="rId67" Type="http://schemas.openxmlformats.org/officeDocument/2006/relationships/hyperlink" Target="https://www.eria.org/uploads/04_Chapter-3-The-Case-of-Singapore.pdf" TargetMode="External"/><Relationship Id="rId103" Type="http://schemas.openxmlformats.org/officeDocument/2006/relationships/hyperlink" Target="https://ec.europa.eu/regional_policy/en/atlas/programmes/2014-2020/poland/2014pl16rfop002" TargetMode="External"/><Relationship Id="rId108" Type="http://schemas.openxmlformats.org/officeDocument/2006/relationships/hyperlink" Target="https://doi.org/10.1787/6b748a4b-en" TargetMode="External"/><Relationship Id="rId20" Type="http://schemas.openxmlformats.org/officeDocument/2006/relationships/hyperlink" Target="https://doi.org/10.1787/6b748a4b-en" TargetMode="External"/><Relationship Id="rId41" Type="http://schemas.openxmlformats.org/officeDocument/2006/relationships/hyperlink" Target="https://doi.org/10.3390/su13158493" TargetMode="External"/><Relationship Id="rId54" Type="http://schemas.openxmlformats.org/officeDocument/2006/relationships/hyperlink" Target="https://www.biometricupdate.com/202508/poland-campaigns-to-boost-the-use-of-its-digital-id-platform-mobywatel" TargetMode="External"/><Relationship Id="rId62" Type="http://schemas.openxmlformats.org/officeDocument/2006/relationships/hyperlink" Target="https://eastasiaforum.org/2022/02/04/south-koreas-strong-economic-performance-faces-post-pandemic-challenges/" TargetMode="External"/><Relationship Id="rId70" Type="http://schemas.openxmlformats.org/officeDocument/2006/relationships/hyperlink" Target="https://www.worldbank.org/en/news/press-release/2021/03/31/polish-economy-returns-to-growth-amidst-pandemic-related-setbacks" TargetMode="External"/><Relationship Id="rId75" Type="http://schemas.openxmlformats.org/officeDocument/2006/relationships/hyperlink" Target="https://databank.worldbank.org/source/world-development-indicators" TargetMode="External"/><Relationship Id="rId83" Type="http://schemas.openxmlformats.org/officeDocument/2006/relationships/hyperlink" Target="https://dig.watch/countries/uzbekistan" TargetMode="External"/><Relationship Id="rId88" Type="http://schemas.openxmlformats.org/officeDocument/2006/relationships/hyperlink" Target="https://freedomhouse.org/country/uzbekistan/freedom-net/2024" TargetMode="External"/><Relationship Id="rId91" Type="http://schemas.openxmlformats.org/officeDocument/2006/relationships/hyperlink" Target="https://tadviser.com/index.php/Article:ICT_market_of_Uzbekistan" TargetMode="External"/><Relationship Id="rId96" Type="http://schemas.openxmlformats.org/officeDocument/2006/relationships/hyperlink" Target="https://datahelpdesk.worldbank.org/knowledgebase/articles/906519-world-bank-country-and-lending-groups" TargetMode="External"/><Relationship Id="rId111" Type="http://schemas.openxmlformats.org/officeDocument/2006/relationships/hyperlink" Target="https://fintechnews.ch/fintech/fintech-on-the-rise-in-uzbekistan-a-short-overview/69023/" TargetMode="External"/><Relationship Id="rId1" Type="http://schemas.openxmlformats.org/officeDocument/2006/relationships/hyperlink" Target="https://doi.org/10.1787/6b748a4b-en" TargetMode="External"/><Relationship Id="rId6" Type="http://schemas.openxmlformats.org/officeDocument/2006/relationships/hyperlink" Target="https://databank.worldbank.org/source/world-development-indicators" TargetMode="External"/><Relationship Id="rId15" Type="http://schemas.openxmlformats.org/officeDocument/2006/relationships/hyperlink" Target="https://doi.org/10.1596/978-1-4648-0671-1" TargetMode="External"/><Relationship Id="rId23" Type="http://schemas.openxmlformats.org/officeDocument/2006/relationships/hyperlink" Target="https://doi.org/10.1787/f6d42aa5-en" TargetMode="External"/><Relationship Id="rId28" Type="http://schemas.openxmlformats.org/officeDocument/2006/relationships/hyperlink" Target="https://ec.europa.eu/eurostat/statistics-explained/index.php/E-commerce_statistics_for_individuals" TargetMode="External"/><Relationship Id="rId36" Type="http://schemas.openxmlformats.org/officeDocument/2006/relationships/hyperlink" Target="https://cyber.ee/resources/case-studies/estonian-interoperability-framework-x-road/" TargetMode="External"/><Relationship Id="rId49" Type="http://schemas.openxmlformats.org/officeDocument/2006/relationships/hyperlink" Target="https://opengovasia.com/singapore-milestones-and-momentum-of-a-smart-nation/" TargetMode="External"/><Relationship Id="rId57" Type="http://schemas.openxmlformats.org/officeDocument/2006/relationships/hyperlink" Target="https://www.imda.gov.sg/-/media/imda/files/infocomm-media-landscape/research-and-statistics/sgde-report/singapore-digital-economy-report-2024.pdf" TargetMode="External"/><Relationship Id="rId106" Type="http://schemas.openxmlformats.org/officeDocument/2006/relationships/hyperlink" Target="https://www.singpass.gov.sg/" TargetMode="External"/><Relationship Id="rId114" Type="http://schemas.openxmlformats.org/officeDocument/2006/relationships/hyperlink" Target="https://lex.uz/ru/docs/5031048" TargetMode="External"/><Relationship Id="rId10" Type="http://schemas.openxmlformats.org/officeDocument/2006/relationships/hyperlink" Target="https://doi.org/10.1787/a1689dc5-en" TargetMode="External"/><Relationship Id="rId31" Type="http://schemas.openxmlformats.org/officeDocument/2006/relationships/hyperlink" Target="https://doi.org/10.1787/5jrxhgfqx3mv-en" TargetMode="External"/><Relationship Id="rId44" Type="http://schemas.openxmlformats.org/officeDocument/2006/relationships/hyperlink" Target="https://thediplomat.com/2020/06/south-koreas-digital-new-deal/" TargetMode="External"/><Relationship Id="rId52" Type="http://schemas.openxmlformats.org/officeDocument/2006/relationships/hyperlink" Target="https://digital-strategy.ec.europa.eu/en/policies/digital-connectivity-poland" TargetMode="External"/><Relationship Id="rId60" Type="http://schemas.openxmlformats.org/officeDocument/2006/relationships/hyperlink" Target="https://www.imf.org/en/Publications/WEO/weo-database/2024/April" TargetMode="External"/><Relationship Id="rId65" Type="http://schemas.openxmlformats.org/officeDocument/2006/relationships/hyperlink" Target="https://doi.org/10.3390/su13158493" TargetMode="External"/><Relationship Id="rId73" Type="http://schemas.openxmlformats.org/officeDocument/2006/relationships/hyperlink" Target="https://www.fes.de/en/progressive-fiscal-policy/inflation/what-to-do-about-inflation/what-to-do-about-inflation-poland" TargetMode="External"/><Relationship Id="rId78" Type="http://schemas.openxmlformats.org/officeDocument/2006/relationships/hyperlink" Target="https://doi.org/10.1111/j.1468-0297.2011.02420.x" TargetMode="External"/><Relationship Id="rId81" Type="http://schemas.openxmlformats.org/officeDocument/2006/relationships/hyperlink" Target=":%20https:/www.beyondinvestmentsgroup.com/uzbekistan2023-industryandict" TargetMode="External"/><Relationship Id="rId86" Type="http://schemas.openxmlformats.org/officeDocument/2006/relationships/hyperlink" Target="https://www.worlddata.info/asia/uzbekistan/telecommunication.php" TargetMode="External"/><Relationship Id="rId94" Type="http://schemas.openxmlformats.org/officeDocument/2006/relationships/hyperlink" Target="https://www.mdpi.com/2674-1032/4/4/69" TargetMode="External"/><Relationship Id="rId99" Type="http://schemas.openxmlformats.org/officeDocument/2006/relationships/hyperlink" Target="https://x-road.global/xroad-open-source" TargetMode="External"/><Relationship Id="rId101" Type="http://schemas.openxmlformats.org/officeDocument/2006/relationships/hyperlink" Target="https://stat.uz/en/" TargetMode="External"/><Relationship Id="rId4" Type="http://schemas.openxmlformats.org/officeDocument/2006/relationships/hyperlink" Target="https://doi.org/10.1080/13600810903089893" TargetMode="External"/><Relationship Id="rId9" Type="http://schemas.openxmlformats.org/officeDocument/2006/relationships/hyperlink" Target="https://doi.org/10.1787/a1689dc5-en" TargetMode="External"/><Relationship Id="rId13" Type="http://schemas.openxmlformats.org/officeDocument/2006/relationships/hyperlink" Target="https://doi.org/10.1787/f6d42aa5-en" TargetMode="External"/><Relationship Id="rId18" Type="http://schemas.openxmlformats.org/officeDocument/2006/relationships/hyperlink" Target="https://doi.org/10.1787/5jrxhgf61q5j-en" TargetMode="External"/><Relationship Id="rId39" Type="http://schemas.openxmlformats.org/officeDocument/2006/relationships/hyperlink" Target="https://publicadministration.un.org/egovkb/" TargetMode="External"/><Relationship Id="rId109" Type="http://schemas.openxmlformats.org/officeDocument/2006/relationships/hyperlink" Target="https://datahub.itu.int/" TargetMode="External"/><Relationship Id="rId34" Type="http://schemas.openxmlformats.org/officeDocument/2006/relationships/hyperlink" Target="https://estonianworld.com/technology/estonias-tiger-leap-the-schools-project-that-wired-a-nation-for-the-digital-age/" TargetMode="External"/><Relationship Id="rId50" Type="http://schemas.openxmlformats.org/officeDocument/2006/relationships/hyperlink" Target="https://publicadministration.un.org/egovkb/en-us/Data/Country-Information/id/156-Singapore" TargetMode="External"/><Relationship Id="rId55" Type="http://schemas.openxmlformats.org/officeDocument/2006/relationships/hyperlink" Target="https://www.trade.gov/country-commercial-guides/poland-digital-economy" TargetMode="External"/><Relationship Id="rId76" Type="http://schemas.openxmlformats.org/officeDocument/2006/relationships/hyperlink" Target="https://datahelpdesk.worldbank.org/knowledgebase/articles/906519" TargetMode="External"/><Relationship Id="rId97" Type="http://schemas.openxmlformats.org/officeDocument/2006/relationships/hyperlink" Target="https://unctad.org/publication/world-investment-report-2023" TargetMode="External"/><Relationship Id="rId104" Type="http://schemas.openxmlformats.org/officeDocument/2006/relationships/hyperlink" Target="https://www.adb.org/documents/uzbekistan-country-partnership-strategy-2019-2023" TargetMode="External"/><Relationship Id="rId7" Type="http://schemas.openxmlformats.org/officeDocument/2006/relationships/hyperlink" Target="https://doi.org/10.1787/a1689dc5-en" TargetMode="External"/><Relationship Id="rId71" Type="http://schemas.openxmlformats.org/officeDocument/2006/relationships/hyperlink" Target="https://www.state.gov/reports/2023-investment-climate-statements/poland" TargetMode="External"/><Relationship Id="rId92" Type="http://schemas.openxmlformats.org/officeDocument/2006/relationships/hyperlink" Target="https://interspp.com/index.php/sft/article/download/1696/1293/2524?utm_source=chatgpt.com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az-Cyrl-AZ"/>
              <a:t>Доля ИКТ-сектора в ВВП ОЭСР (%)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[Графики_диплом_полный.xlsx]Рис1_ИКТ_доля_ВВП!$B$3</c:f>
              <c:strCache>
                <c:ptCount val="1"/>
                <c:pt idx="0">
                  <c:v>ИКТ-сектор, % ВВП</c:v>
                </c:pt>
              </c:strCache>
            </c:strRef>
          </c:tx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1750" cap="rnd">
                <a:solidFill>
                  <a:schemeClr val="accent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0D2-4555-8FA9-8FC00A1F7BE3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31750" cap="rnd">
                <a:solidFill>
                  <a:schemeClr val="accent2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0D2-4555-8FA9-8FC00A1F7BE3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31750" cap="rnd">
                <a:solidFill>
                  <a:schemeClr val="accent3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50D2-4555-8FA9-8FC00A1F7BE3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31750" cap="rnd">
                <a:solidFill>
                  <a:schemeClr val="accent4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50D2-4555-8FA9-8FC00A1F7BE3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31750" cap="rnd">
                <a:solidFill>
                  <a:schemeClr val="accent5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50D2-4555-8FA9-8FC00A1F7BE3}"/>
              </c:ext>
            </c:extLst>
          </c:dPt>
          <c:dPt>
            <c:idx val="5"/>
            <c:marker>
              <c:symbol val="none"/>
            </c:marker>
            <c:bubble3D val="0"/>
            <c:spPr>
              <a:ln w="31750" cap="rnd">
                <a:solidFill>
                  <a:schemeClr val="accent6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50D2-4555-8FA9-8FC00A1F7BE3}"/>
              </c:ext>
            </c:extLst>
          </c:dPt>
          <c:dPt>
            <c:idx val="6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D-50D2-4555-8FA9-8FC00A1F7BE3}"/>
              </c:ext>
            </c:extLst>
          </c:dPt>
          <c:dPt>
            <c:idx val="7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F-50D2-4555-8FA9-8FC00A1F7BE3}"/>
              </c:ext>
            </c:extLst>
          </c:dPt>
          <c:dPt>
            <c:idx val="8"/>
            <c:marker>
              <c:symbol val="none"/>
            </c:marker>
            <c:bubble3D val="0"/>
            <c:spPr>
              <a:ln w="31750" cap="rnd">
                <a:solidFill>
                  <a:schemeClr val="accent3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1-50D2-4555-8FA9-8FC00A1F7BE3}"/>
              </c:ext>
            </c:extLst>
          </c:dPt>
          <c:dPt>
            <c:idx val="9"/>
            <c:marker>
              <c:symbol val="none"/>
            </c:marker>
            <c:bubble3D val="0"/>
            <c:spPr>
              <a:ln w="31750" cap="rnd">
                <a:solidFill>
                  <a:schemeClr val="accent4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3-50D2-4555-8FA9-8FC00A1F7BE3}"/>
              </c:ext>
            </c:extLst>
          </c:dPt>
          <c:dPt>
            <c:idx val="10"/>
            <c:marker>
              <c:symbol val="none"/>
            </c:marker>
            <c:bubble3D val="0"/>
            <c:spPr>
              <a:ln w="31750" cap="rnd">
                <a:solidFill>
                  <a:schemeClr val="accent5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5-50D2-4555-8FA9-8FC00A1F7BE3}"/>
              </c:ext>
            </c:extLst>
          </c:dPt>
          <c:dPt>
            <c:idx val="11"/>
            <c:marker>
              <c:symbol val="none"/>
            </c:marker>
            <c:bubble3D val="0"/>
            <c:spPr>
              <a:ln w="31750" cap="rnd">
                <a:solidFill>
                  <a:schemeClr val="accent6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7-50D2-4555-8FA9-8FC00A1F7BE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9-50D2-4555-8FA9-8FC00A1F7BE3}"/>
              </c:ext>
            </c:extLst>
          </c:dPt>
          <c:dPt>
            <c:idx val="13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B-50D2-4555-8FA9-8FC00A1F7BE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[Графики_диплом_полный.xlsx]Рис1_ИКТ_доля_ВВП!$A$4:$A$17</c:f>
              <c:numCache>
                <c:formatCode>General</c:formatCode>
                <c:ptCount val="14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</c:numCache>
            </c:numRef>
          </c:cat>
          <c:val>
            <c:numRef>
              <c:f>[Графики_диплом_полный.xlsx]Рис1_ИКТ_доля_ВВП!$B$4:$B$17</c:f>
              <c:numCache>
                <c:formatCode>General</c:formatCode>
                <c:ptCount val="14"/>
                <c:pt idx="0">
                  <c:v>3.9</c:v>
                </c:pt>
                <c:pt idx="1">
                  <c:v>4</c:v>
                </c:pt>
                <c:pt idx="2">
                  <c:v>4.0999999999999996</c:v>
                </c:pt>
                <c:pt idx="3">
                  <c:v>4.2</c:v>
                </c:pt>
                <c:pt idx="4">
                  <c:v>4.3</c:v>
                </c:pt>
                <c:pt idx="5">
                  <c:v>4.5999999999999996</c:v>
                </c:pt>
                <c:pt idx="6">
                  <c:v>4.7</c:v>
                </c:pt>
                <c:pt idx="7">
                  <c:v>4.9000000000000004</c:v>
                </c:pt>
                <c:pt idx="8">
                  <c:v>5.0999999999999996</c:v>
                </c:pt>
                <c:pt idx="9">
                  <c:v>5.4</c:v>
                </c:pt>
                <c:pt idx="10">
                  <c:v>5.6</c:v>
                </c:pt>
                <c:pt idx="11">
                  <c:v>5.8</c:v>
                </c:pt>
                <c:pt idx="12">
                  <c:v>6</c:v>
                </c:pt>
                <c:pt idx="13">
                  <c:v>6.2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1C-50D2-4555-8FA9-8FC00A1F7BE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Год</a:t>
                </a:r>
              </a:p>
            </c:rich>
          </c:tx>
          <c:layout>
            <c:manualLayout>
              <c:xMode val="edge"/>
              <c:yMode val="edge"/>
              <c:x val="0.49426056425660131"/>
              <c:y val="0.76715650369285238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858497447118892"/>
          <c:y val="0.8437488555209669"/>
          <c:w val="0.71889132020423052"/>
          <c:h val="0.156251144479033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Cyrl-AZ" b="1"/>
              <a:t>Темп роста ВВП, %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[Графики_диплом_полный.xlsx]Рис4_ВВП_динамика!$B$3</c:f>
              <c:strCache>
                <c:ptCount val="1"/>
                <c:pt idx="0">
                  <c:v>Эстония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[Графики_диплом_полный.xlsx]Рис4_ВВП_динамика!$B$4:$B$7</c:f>
              <c:numCache>
                <c:formatCode>General</c:formatCode>
                <c:ptCount val="4"/>
                <c:pt idx="0">
                  <c:v>4</c:v>
                </c:pt>
                <c:pt idx="1">
                  <c:v>-3</c:v>
                </c:pt>
                <c:pt idx="2">
                  <c:v>8.6</c:v>
                </c:pt>
                <c:pt idx="3">
                  <c:v>-1.3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5AB4-49FA-A0F0-E50E2E38CD32}"/>
            </c:ext>
          </c:extLst>
        </c:ser>
        <c:ser>
          <c:idx val="1"/>
          <c:order val="1"/>
          <c:tx>
            <c:strRef>
              <c:f>[Графики_диплом_полный.xlsx]Рис4_ВВП_динамика!$C$3</c:f>
              <c:strCache>
                <c:ptCount val="1"/>
                <c:pt idx="0">
                  <c:v>Респ. Корея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[Графики_диплом_полный.xlsx]Рис4_ВВП_динамика!$C$4:$C$7</c:f>
              <c:numCache>
                <c:formatCode>General</c:formatCode>
                <c:ptCount val="4"/>
                <c:pt idx="0">
                  <c:v>2.2000000000000002</c:v>
                </c:pt>
                <c:pt idx="1">
                  <c:v>-0.7</c:v>
                </c:pt>
                <c:pt idx="2">
                  <c:v>4.5999999999999996</c:v>
                </c:pt>
                <c:pt idx="3">
                  <c:v>2.7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5AB4-49FA-A0F0-E50E2E38CD32}"/>
            </c:ext>
          </c:extLst>
        </c:ser>
        <c:ser>
          <c:idx val="2"/>
          <c:order val="2"/>
          <c:tx>
            <c:strRef>
              <c:f>[Графики_диплом_полный.xlsx]Рис4_ВВП_динамика!$D$3</c:f>
              <c:strCache>
                <c:ptCount val="1"/>
                <c:pt idx="0">
                  <c:v>Сингапур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[Графики_диплом_полный.xlsx]Рис4_ВВП_динамика!$D$4:$D$7</c:f>
              <c:numCache>
                <c:formatCode>General</c:formatCode>
                <c:ptCount val="4"/>
                <c:pt idx="0">
                  <c:v>1.3</c:v>
                </c:pt>
                <c:pt idx="1">
                  <c:v>-3.9</c:v>
                </c:pt>
                <c:pt idx="2">
                  <c:v>7.6</c:v>
                </c:pt>
                <c:pt idx="3">
                  <c:v>3.6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5AB4-49FA-A0F0-E50E2E38CD32}"/>
            </c:ext>
          </c:extLst>
        </c:ser>
        <c:ser>
          <c:idx val="3"/>
          <c:order val="3"/>
          <c:tx>
            <c:strRef>
              <c:f>[Графики_диплом_полный.xlsx]Рис4_ВВП_динамика!$E$3</c:f>
              <c:strCache>
                <c:ptCount val="1"/>
                <c:pt idx="0">
                  <c:v>Польша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[Графики_диплом_полный.xlsx]Рис4_ВВП_динамика!$E$4:$E$7</c:f>
              <c:numCache>
                <c:formatCode>General</c:formatCode>
                <c:ptCount val="4"/>
                <c:pt idx="0">
                  <c:v>4.5</c:v>
                </c:pt>
                <c:pt idx="1">
                  <c:v>-2</c:v>
                </c:pt>
                <c:pt idx="2">
                  <c:v>5.9</c:v>
                </c:pt>
                <c:pt idx="3">
                  <c:v>4.9000000000000004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5AB4-49FA-A0F0-E50E2E38CD32}"/>
            </c:ext>
          </c:extLst>
        </c:ser>
        <c:ser>
          <c:idx val="4"/>
          <c:order val="4"/>
          <c:tx>
            <c:strRef>
              <c:f>[Графики_диплом_полный.xlsx]Рис4_ВВП_динамика!$F$3</c:f>
              <c:strCache>
                <c:ptCount val="1"/>
                <c:pt idx="0">
                  <c:v>Среднее ЕС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[Графики_диплом_полный.xlsx]Рис4_ВВП_динамика!$F$4:$F$7</c:f>
              <c:numCache>
                <c:formatCode>General</c:formatCode>
                <c:ptCount val="4"/>
                <c:pt idx="0">
                  <c:v>1.8</c:v>
                </c:pt>
                <c:pt idx="1">
                  <c:v>-6.1</c:v>
                </c:pt>
                <c:pt idx="2">
                  <c:v>5.4</c:v>
                </c:pt>
                <c:pt idx="3">
                  <c:v>3.4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4-5AB4-49FA-A0F0-E50E2E38CD3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Год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t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Cyrl-AZ" b="1"/>
              <a:t>Пиковая инфляция, %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[Графики_диплом_полный.xlsx]Рис6_Инфляция_2022!$B$3</c:f>
              <c:strCache>
                <c:ptCount val="1"/>
                <c:pt idx="0">
                  <c:v>Пик инфляции, %</c:v>
                </c:pt>
              </c:strCache>
            </c:strRef>
          </c:tx>
          <c:invertIfNegative val="1"/>
          <c:dPt>
            <c:idx val="0"/>
            <c:invertIfNegative val="1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7403-493D-9AEE-8A7DED492906}"/>
              </c:ext>
            </c:extLst>
          </c:dPt>
          <c:dPt>
            <c:idx val="1"/>
            <c:invertIfNegative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7403-493D-9AEE-8A7DED492906}"/>
              </c:ext>
            </c:extLst>
          </c:dPt>
          <c:dPt>
            <c:idx val="2"/>
            <c:invertIfNegative val="1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7403-493D-9AEE-8A7DED492906}"/>
              </c:ext>
            </c:extLst>
          </c:dPt>
          <c:dPt>
            <c:idx val="3"/>
            <c:invertIfNegative val="1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7403-493D-9AEE-8A7DED492906}"/>
              </c:ext>
            </c:extLst>
          </c:dPt>
          <c:cat>
            <c:strRef>
              <c:f>[Графики_диплом_полный.xlsx]Рис6_Инфляция_2022!$A$4:$A$7</c:f>
              <c:strCache>
                <c:ptCount val="4"/>
                <c:pt idx="0">
                  <c:v>Эстония</c:v>
                </c:pt>
                <c:pt idx="1">
                  <c:v>Польша</c:v>
                </c:pt>
                <c:pt idx="2">
                  <c:v>Респ. Корея</c:v>
                </c:pt>
                <c:pt idx="3">
                  <c:v>Сингапур</c:v>
                </c:pt>
              </c:strCache>
            </c:strRef>
          </c:cat>
          <c:val>
            <c:numRef>
              <c:f>[Графики_диплом_полный.xlsx]Рис6_Инфляция_2022!$B$4:$B$7</c:f>
              <c:numCache>
                <c:formatCode>General</c:formatCode>
                <c:ptCount val="4"/>
                <c:pt idx="0">
                  <c:v>19.399999999999999</c:v>
                </c:pt>
                <c:pt idx="1">
                  <c:v>18.399999999999999</c:v>
                </c:pt>
                <c:pt idx="2">
                  <c:v>6.3</c:v>
                </c:pt>
                <c:pt idx="3">
                  <c:v>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403-493D-9AEE-8A7DED492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"/>
        <c:axId val="100"/>
      </c:bar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99700-FD11-4B9A-95E8-5E3CC26A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85</Pages>
  <Words>18182</Words>
  <Characters>103639</Characters>
  <Application>Microsoft Office Word</Application>
  <DocSecurity>0</DocSecurity>
  <Lines>863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Muhammadjon</dc:creator>
  <cp:keywords/>
  <dc:description/>
  <cp:lastModifiedBy>Muhammadjon</cp:lastModifiedBy>
  <cp:revision>32</cp:revision>
  <dcterms:created xsi:type="dcterms:W3CDTF">2026-06-07T09:28:00Z</dcterms:created>
  <dcterms:modified xsi:type="dcterms:W3CDTF">2026-06-08T05:56:00Z</dcterms:modified>
</cp:coreProperties>
</file>