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A16" w:rsidRPr="000E5726" w:rsidRDefault="00C02A16" w:rsidP="00C02A16">
      <w:pPr>
        <w:pageBreakBefore/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ВВЕДЕНИЕ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Актуальность темы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Три волны глобальных кризисов - 2008-2009, 2020-2021 и 2022 годов - обнажили одну закономерность, которую сложно игнорировать: одинаковый по силе внешний удар даёт разные траектории восстановления даже у стран со схожим уровнем развития. Одни экономики возвращались к росту достаточно быстро, другие ещё долго несли последствия ш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ока. Классические инструменты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искальная и монетарная политика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объясняют многое, но явно не всё. Так, по оценкам Организации экономического сотрудничества и развития, страны ОЭСР, столкнувшиеся с банковским кризисом в 2008-2009 годах, восстанавливались в среднем около 12 кварталов, тогда как страны без банковского кризиса - около 4 кварталов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Разрыв в три раза при сопоставимой макроэкономической политике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 достаточно весомый аргумент в пользу того, что устойчивость экономики определяется не только реакцией на шок, но и тем, что было выстроено до него.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 условиях четвёртой промышленной рев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 xml:space="preserve">олюции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93678C">
        <w:rPr>
          <w:rFonts w:ascii="Times New Roman" w:hAnsi="Times New Roman" w:cs="Times New Roman"/>
          <w:sz w:val="28"/>
          <w:szCs w:val="28"/>
          <w:lang w:val="ru-RU"/>
        </w:rPr>
        <w:t xml:space="preserve"> всё чаще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сматривается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один из таких структурных факторов. Опыт пандемии 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933D6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19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показал, что развитая цифровая инфраструктура, цифровое государство и онлайн-сервисы позволяют поддерживать непрерывность государственных функций, ускорять фискальную трансмиссию и смягчать падение деловой активности. Но называть эту связь полностью изученной пока рано. В научной литературе до сих пор нет достаточно системного объяснения того, через какие конкретно механизмы цифровые технологии влияют на отдельные элементы макроэкономической устойчивости.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Особую значимость данная проблематика приобретает для Республики Узбекистан, реализующей программу цифровой трансформации в рамках Стратегии «Цифровой Узбекистан - 2030»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национальной экономики здесь важно не просто перенять отдельные решения стран-лидеров, а разобраться - какие именно направления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реально работают на повышение устойчивости к внешним шокам. В отечественной литературе этот вопрос раскрыт слабо, особенно в части связи между количественными показателями цифрового развития и траекториями восстановления в кризисный период 2020-2022 годов. Отсюда и научная, и практическая значимость темы.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Степень изученности проблемы.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Концептуальные основы экономической устойчивости заложены в работах Л.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Кордины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Фарругия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Веллы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там проводится принципиальное разграничение между структ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урной уязвимостью экономики и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способностью противостоять шокам. Эмпирические аспекты влияния макроэкономической политики на устойчивость представлены в исследованиях А. Кальдера-Санчес, О.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других авторов в рамках аналитической программы ОЭСР. Вопросы цифровой трансформации национальных экономик раскрываются в докладах ОЭСР, Всемирного банка и Европейской комиссии, а влияние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поведение фирм в кризисных условиях - в работах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Ойкономоу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Пьерри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Й.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Тиммера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Пробле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ма в том, что оба направления - устойчивость и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большинстве работ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существ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ют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бы параллельно, не пересекаясь.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Комплексного анализа каналов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которые цифровые технологии воздействуют на макроэкономическую устойчивость в условиях глобальных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кризисов, пока недостаточно. Этот пробел и стал отправной точкой данной работы.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 исследования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процесс цифровой трансформации национальных экономик и формирование их устойчивости к глобальным экзогенным шокам.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Предмет исследования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 механизмы и каналы воздействия цифровых технологий на макроэкономическую устойчивость национальных экономик в условиях глобальных кризисов 2020-2022 годов.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Цель исследования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 выявить и эмпирически обосновать каналы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 к глобальным кризисам, а также разработать рекомендации по адаптации международного опыта цифровой трансформации к условиям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достижения поставленной цели необходимо решить следующие задачи: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Раскрыть теоретико-методологические основы </w:t>
      </w:r>
      <w:proofErr w:type="spellStart"/>
      <w:r w:rsidRPr="00433F08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экономики, выделить её основные направления и систематизировать каналы воздействия на макроэкономическую устойчивость.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>Проанализировать теоретические подходы к категории устойчивости национальных экономик к экзогенным шокам и определить её ключевые компоненты.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>Провести сравнительный анализ моделей цифровой трансформации Эстонии, Республ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ики Корея, Сингапура и Польши - </w:t>
      </w: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proofErr w:type="gramStart"/>
      <w:r w:rsidRPr="00433F08">
        <w:rPr>
          <w:rFonts w:ascii="Times New Roman" w:hAnsi="Times New Roman" w:cs="Times New Roman"/>
          <w:sz w:val="28"/>
          <w:szCs w:val="28"/>
          <w:lang w:val="ru-RU"/>
        </w:rPr>
        <w:t>оценить</w:t>
      </w:r>
      <w:proofErr w:type="gramEnd"/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как каждая из этих экономик реагировала на глобальные кризисы 2020-2022 годов с учётом уровня цифровой зрелости.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Построить эконометрическую модель на основе панельных данных, которая позволит оценить связь между показателями </w:t>
      </w:r>
      <w:proofErr w:type="spellStart"/>
      <w:r w:rsidRPr="00433F08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и индикаторами устойчивости национальных экономик, и интерпретировать полученные результаты.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lastRenderedPageBreak/>
        <w:t>Оценить текущее состояние цифровой трансформации экономики Узбекистана в рамках С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тратегии «Цифровой Узбекистан - </w:t>
      </w:r>
      <w:r w:rsidRPr="00433F08">
        <w:rPr>
          <w:rFonts w:ascii="Times New Roman" w:hAnsi="Times New Roman" w:cs="Times New Roman"/>
          <w:sz w:val="28"/>
          <w:szCs w:val="28"/>
          <w:lang w:val="ru-RU"/>
        </w:rPr>
        <w:t>2030» и определить, какие элементы международного опыта здесь реально применимы.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>Разработат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ь практические рекомендаций</w:t>
      </w: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по укреплению цифровой инфраструктуры как фактора антикризисной устойчивости национальной экономики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результаты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работе систематизированы каналы, через которые цифровые технологии могут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влиять на устойчивость националь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 экономик в период глобальных кризисов. В качестве ключевых выделены пять направлений: непрерывность государственн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ых функций, фискальная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трансмис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адаптация частного сектора, сдвиг структуры спроса в пользу цифровых услуг, а также устойчивость информационно-коммуникационного сектора. Отдельно проведён сравнительный анализ моделей цифровой трансформации Эстонии, Республики К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орея, Сингапура и Польши - с уче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том институциональных особенностей каждой страны и того, как они проходили кризисы 2020-2022 годов. На основе панельных данных в среде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построена эконометрическая модель, которая позвол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яет оценить связь между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показати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лями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зрелости и отдельными индикаторами макроэкономической устойчивости.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Полученные результаты могут использоваться при уточнении стратегических документов цифровой трансформации Республики Узбекистан, включая С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тратегию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2030», а также при подготовке мер по повышению устойчивости национальной экономики в кризисных условиях. Обобщённый международный опыт и сформулированные рекомендации адресованы прежде всего государственным органам в сфере цифрового развития, а также научным и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образова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тельным органи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зациям работающим </w:t>
      </w:r>
      <w:proofErr w:type="gramStart"/>
      <w:r w:rsidR="00390488">
        <w:rPr>
          <w:rFonts w:ascii="Times New Roman" w:hAnsi="Times New Roman" w:cs="Times New Roman"/>
          <w:sz w:val="28"/>
          <w:szCs w:val="28"/>
          <w:lang w:val="ru-RU"/>
        </w:rPr>
        <w:t>на пересечений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вопросов международной экономики, цифровой трансформации и устойчивого развития.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Методология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Методологической основой рабо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ты выступает системный подход - 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сматриваются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здесь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как взаимосвязанные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характерист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экономики, а не как отдельные явления. В работе используются методы сравнительного анализа, корреляционно-регрессионного моделирования на панельных данных и графической визуализации. Эконометрический анализ выполнен в среде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применением пакета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plm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Эмпирическую базу составляют данные ОЭСР, Международного валютного фонда, Всемирного банка, Европейской комиссии и ООН. В сравнительном анализе используются международные индексы цифровой зрелости, включая </w:t>
      </w:r>
      <w:r w:rsidRPr="000E5726">
        <w:rPr>
          <w:rFonts w:ascii="Times New Roman" w:hAnsi="Times New Roman" w:cs="Times New Roman"/>
          <w:sz w:val="28"/>
          <w:szCs w:val="28"/>
        </w:rPr>
        <w:t>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Government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E5726">
        <w:rPr>
          <w:rFonts w:ascii="Times New Roman" w:hAnsi="Times New Roman" w:cs="Times New Roman"/>
          <w:sz w:val="28"/>
          <w:szCs w:val="28"/>
        </w:rPr>
        <w:t>Network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Readiness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E5726">
        <w:rPr>
          <w:rFonts w:ascii="Times New Roman" w:hAnsi="Times New Roman" w:cs="Times New Roman"/>
          <w:sz w:val="28"/>
          <w:szCs w:val="28"/>
        </w:rPr>
        <w:t>Digital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Economy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and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Society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В эконометрической модели основным индикатором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доля интернет-пользователей в численности населения по базе </w:t>
      </w:r>
      <w:r w:rsidRPr="000E5726">
        <w:rPr>
          <w:rFonts w:ascii="Times New Roman" w:hAnsi="Times New Roman" w:cs="Times New Roman"/>
          <w:sz w:val="28"/>
          <w:szCs w:val="28"/>
        </w:rPr>
        <w:t>World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Indicators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что обеспечивает сопоставимость данных по выборке из 49 стран за 2010-2024 годы. Также в работе используются нормативно-правовые акты и стратегические документы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Выпускная квалификационная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х глав, разделённых на девять параграфов, заключения, списка использованных источников и приложений.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первой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«Теоретико-методологические основы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устойчивости стран к глобальным кризисам» раскрываются сущность и основные направления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современной экономики,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рассматриваются теоретические подходы к категории устойчивости национальных экономик к экзогенным шокам, а также систематизируются каналы воздействия цифровых технологий на макроэкономическую стабильность.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Во второй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«Международный опыт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эконометрический анализ её влияния на устойчивость стран к глобальным кризисам» проводится сравнительный анализ моделей цифровой трансформации Эстонии, Республики Корея, Сингапура и Польши, оценивается реакция этих экономик на глобальные кризисы 2020-2022 годов, а также выполняется эконометрический анализ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 на основе панельных данных.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третьей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«Использование международного опыта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условиях Республики Узбекистан» рассматривается текущее состояние цифровой трансформации экономики Узбекистана в рамках С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тратегии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2030», оцениваются возможности адаптации международног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 xml:space="preserve">о опыта и формулируются </w:t>
      </w:r>
      <w:proofErr w:type="spellStart"/>
      <w:r w:rsidR="00807BBC">
        <w:rPr>
          <w:rFonts w:ascii="Times New Roman" w:hAnsi="Times New Roman" w:cs="Times New Roman"/>
          <w:sz w:val="28"/>
          <w:szCs w:val="28"/>
          <w:lang w:val="ru-RU"/>
        </w:rPr>
        <w:t>практич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ские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рекомендации по укреплению цифровой устойчивости национальной экономики.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заключении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обобщаются основные результаты исследования, формулируются выводы и практические рекомендации.</w:t>
      </w:r>
    </w:p>
    <w:p w:rsidR="00C02A16" w:rsidRPr="000E5726" w:rsidRDefault="00C02A16" w:rsidP="00C02A16">
      <w:pPr>
        <w:pageBreakBefore/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ГЛАВА I. ТЕОРЕТИКО-МЕТОДОЛОГИЧЕСКИЕ ОСНОВЫ ЦИФРОВИЗАЦИИ ЭКОНОМИКИ И УСТОЙЧИВОСТИ СТРАН К ГЛОБАЛЬНЫМ КРИЗИСАМ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1.1. Сущность, содержание и основные направления </w:t>
      </w:r>
      <w:proofErr w:type="spellStart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современной экономики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Понятие «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экономики» в научной литературе трактуется неоднозначно -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этот процесс охватывает не только внедрение технологий, но и более глубокие изменения: в экономических связях, управлении и организации хозяйственной деятельности. В аналитических документах Организации экономического сотрудничества и развития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рассматривается одновременно как процесс распространения цифровых технологий и как структурный сдвиг, влияющий на производство, потребление и регулирование экономической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активност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"/>
      </w:r>
      <w:r w:rsidRPr="00933D6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этой работе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понимается как встраивание цифровых технологий и данных в производственные, обменные и распределительные процессы национальной экономики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результате меняется её отраслевая структура, модели государственного управления и формы взаимодействия экономических агентов.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Важно разграничивать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как широкий процесс и информационно-коммуникационный сектор как её технологическую основу. Согласно классификации ОЭСР, основанной на международном стандарте ISIC Rev.4, ИКТ-сектор включает производство компьютеров, электронных и оптических изделий, телекоммуникации, а также деятельность в области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информационных технологий и информацио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нных услуг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"/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цифровая экономика не огран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ичивается только ИКТ-сектором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она охв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 xml:space="preserve">атывает и распространение </w:t>
      </w:r>
      <w:proofErr w:type="spellStart"/>
      <w:r w:rsidR="00081992">
        <w:rPr>
          <w:rFonts w:ascii="Times New Roman" w:hAnsi="Times New Roman" w:cs="Times New Roman"/>
          <w:sz w:val="28"/>
          <w:szCs w:val="28"/>
          <w:lang w:val="ru-RU"/>
        </w:rPr>
        <w:t>цифро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технологий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тради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ционые</w:t>
      </w:r>
      <w:proofErr w:type="spellEnd"/>
      <w:r w:rsidR="00081992">
        <w:rPr>
          <w:rFonts w:ascii="Times New Roman" w:hAnsi="Times New Roman" w:cs="Times New Roman"/>
          <w:sz w:val="28"/>
          <w:szCs w:val="28"/>
          <w:lang w:val="ru-RU"/>
        </w:rPr>
        <w:t xml:space="preserve"> отрасли: промышленность торговлю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финансы и государственное управление. Именно через такое распространение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начинает влиять на более широкие пока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затели национальной экономики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ВВП на душу населения и производительность труда.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Эмпирические данные показы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вают: ИКТ-сектор стабильно расте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 быстрее экономики в целом. По оценкам ОЭСР, основанным на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nowcasting</w:t>
      </w:r>
      <w:proofErr w:type="spellEnd"/>
      <w:r w:rsidR="00081992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-модели, в течение 2013-2023 годов ИКТ-сектор стран ОЭСР рос примерно в три раза быстрее совокупной экономики. В 2023 году средний темп роста ИКТ-сектора достиг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7,6%, причем в десяти странах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включая Великобрит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анию, Бельгию, Германию и США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этот показатель превысил 9%. Доля валовой добавленной стоимости, генерируемой ИКТ-сектором в странах ОЭСР, увеличилась с 3,9% в 2010 году до 5,4% в 2019 году, а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к 2023 году достигла около 6,2%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"/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Динамика доли ИКТ-сектора в валовой добавленной стоимости стран ОЭСР представлена на рисунке 1.1.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BD637C" wp14:editId="259E63B7">
            <wp:extent cx="5223510" cy="2621280"/>
            <wp:effectExtent l="0" t="0" r="15240" b="762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Рисунок 1.1. Динамика доли ИКТ-сектора в валовой добавленной стоимости стран ОЭСР, 2010-2023 гг., %</w:t>
      </w:r>
    </w:p>
    <w:p w:rsidR="00C02A16" w:rsidRPr="00A4607E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Источник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: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составлено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автором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данным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OECD Digital Economy Outlook 2024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и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OECD STAN Industrial Analysis Database.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Измерить цифровую экономику в едином показателе достаточно сложно - она включает и самостоятельный ИКТ-сектор, и цифровые технологии в других отраслях. До формирования единого монетарного показателя цифровой экономики международные сравнения чаще опираются на промежуточные индикаторы: долю ИКТ-сектора в ВВП, уровень проникновения цифровых технологий среди населения и предприятий, а также композит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ные индексы цифровой зрелости - 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Economy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Society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E-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Development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Readiness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x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"/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в сравнительном и эконометрическом анализе лучше использовать несколько взаимодополняющих индикаторов, а не один универсальный. Это позволяет точнее отразить разные стороны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и не упрощать исследуемый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проце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сверх меры.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Содержание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можно раскрыть через несколько основных направлений, каждое из которых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 своему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влияет на развитие национальной экономики. На основе аналитических докуме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нтов ОЭСР и Европейской комиссий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этой работе выделяются пять таких направлений, представленных на рисунке 1.2.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A0C">
        <w:rPr>
          <w:rStyle w:val="30"/>
          <w:rFonts w:ascii="Times New Roman" w:hAnsi="Times New Roman" w:cs="Times New Roman"/>
          <w:noProof/>
          <w:color w:val="FF0000"/>
        </w:rPr>
        <w:lastRenderedPageBreak/>
        <w:drawing>
          <wp:inline distT="0" distB="0" distL="0" distR="0" wp14:anchorId="48642AE3" wp14:editId="45CE2446">
            <wp:extent cx="6151880" cy="4282633"/>
            <wp:effectExtent l="152400" t="171450" r="172720" b="1562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28263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Рисунок 1.2 - Основные направления </w:t>
      </w:r>
      <w:proofErr w:type="spellStart"/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>цифровизации</w:t>
      </w:r>
      <w:proofErr w:type="spellEnd"/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экономики</w:t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Источник: составлено автором на основе OECD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Digital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Economy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Outlook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2024 и аналитических материалов Европейской комиссии.</w:t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:rsidR="00C02A16" w:rsidRPr="000E5726" w:rsidRDefault="00FB6BEB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Первое направление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развитие цифровой инфраструкт</w:t>
      </w:r>
      <w:r>
        <w:rPr>
          <w:rFonts w:ascii="Times New Roman" w:hAnsi="Times New Roman" w:cs="Times New Roman"/>
          <w:sz w:val="28"/>
          <w:szCs w:val="28"/>
          <w:lang w:val="ru-RU"/>
        </w:rPr>
        <w:t>уры. Речь иде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т о совокупности сетей фиксированной и мобильной связи, центров обработки данных, спутниковых систем, а также инфраструктуры цифровой идентиф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икации и обмена данными.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Расшири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ние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сетей 5G, развитие беспроводных технологий нового поколения и интеграция наземной и спутниковой связи формируют физическую основу цифровой экономики, без которой невозможна реализация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других направлений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инфраструктура создаёт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мультпликативный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эффект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она стимулирует электронную коммерцию, удалённую занятость и цифровые государственные сервисы.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Второе направление - распространение цифровых технологий среди предприятий. Речь идёт об использовании в бизнес-секторе облачных вычислений, интернета вещей, аналитики больши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х данных и искусственного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интел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екта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По данным ОЭСР за 2023 год, в среднем по странам ОЭСР облачными вычислениями пользов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ались 49% предприятий,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технолог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ями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интернета вещей - 2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7%, аналитикой больших данных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14% по данным за 2022 год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, а искусственным интеллектом - 8%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2"/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Цифры показывают очевидное: более доступные и уже освоенные технологии внедряются быстрее, тогда как сложные решения требуют серьёзной организационной, кадровой и технологической подготовки. Исследования ОЭСР также показывают, что облачные вы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числения распространяются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приме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три раза быстрее аналитики больших данных: переход доли предприятий-пользователей с 5% до 50% занимает около 12 лет для облачных технологий и около 36 л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ет для аналитики больших данных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3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D43AEC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Третье направление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цифровая трансформация государственного управления. Она включает развитие систем электронной идентификации, межведомственного обмена данными и цифровых услуг для граждан и бизнеса. Цифровое государство важ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но не только как часть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технологческого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развития 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кризисных условиях оно помогает сохранять выполнение ключевых государственных функций, что напрямую влияет на устойчивость экономики. По оценкам ОЭСР, готовность к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стала одним из ключевых факторов адаптации государства и бизнеса в период пандемии COVID-19. Это подтверждается примерами Вьетнама, Казахстана и Швейцарии, где цифровые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платформы использовались для онлайн-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госуслуг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, экстренной поддержки населения и быстрого предоста</w:t>
      </w:r>
      <w:r>
        <w:rPr>
          <w:rFonts w:ascii="Times New Roman" w:hAnsi="Times New Roman" w:cs="Times New Roman"/>
          <w:sz w:val="28"/>
          <w:szCs w:val="28"/>
          <w:lang w:val="ru-RU"/>
        </w:rPr>
        <w:t>вления государственных кредитов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4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Четвёртое направление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финансовой системы. Сюда входят электронные платежи, цифровой банкинг, финансовые технологии и цифровая идентификация. Для макроэкономической устойчивости цифровые финансы важны по двум причи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нам: они расширяют доступ к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лик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идности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сн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ижают транзакционные издержки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особенно когда физические каналы финансового обс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луживания ограничены. </w:t>
      </w:r>
      <w:proofErr w:type="gramStart"/>
      <w:r w:rsidR="00D43AEC">
        <w:rPr>
          <w:rFonts w:ascii="Times New Roman" w:hAnsi="Times New Roman" w:cs="Times New Roman"/>
          <w:sz w:val="28"/>
          <w:szCs w:val="28"/>
          <w:lang w:val="ru-RU"/>
        </w:rPr>
        <w:t>Кроме того</w:t>
      </w:r>
      <w:proofErr w:type="gramEnd"/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цифровые платёжные системы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силивают фискальную трансмиссию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государственная поддержка доходит до конечных получателей быстрее и с меньши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ми административными затратами.</w:t>
      </w:r>
    </w:p>
    <w:p w:rsidR="00C02A16" w:rsidRPr="000E5726" w:rsidRDefault="00D43AEC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Пятое направление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цифровая трансформация работы с данными. По мере тог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 как данные становятся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самостое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тельным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экономическим ресурсом, государства выстраивают правила их сбора, хранения, обмена и использования, а также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разрабатывают национальные стратегии управления данными. ОЭСР подчёркивает, что доступ к данным определяет возможности применения искусственного интеллекта и продвинутой аналитики, поэтому становится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5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Перечисленные направления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тесно связаны между собой и дают общий эффект только при совместном развитии. Цифровая инфраструктура создаёт основу для внедрения технологий в бизнесе, цифровое государство снижает административные и транзакционные издержки, а цифровые финансы и работа с данными помогают экономике быстрее реагировать на внешние шоки. Именно такая взаимосвязь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рассматривать цифровую экономику не как набор отдельных технологий, а как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систему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которая влияет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на развитие и устойчивость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нациа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нальной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в целом.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Влияние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экономический рост проявляется на разных уровнях. На макроуровне оно связано с ростом производительности труда, сокращением транзакционных издержек и расширением международной торговли услугами - всё это в итоге может отражаться на динамике ВВП на душу населения. Всемирный банк фиксирует положительную связь между уровнем проникновения цифровых технологий и темпами экономического роста, особенно в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странах с переходной экономикой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6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микроуровне исследования предприятий показывают, что более высокий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фирм связан с их способностью сохранять выпуск и занятость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в условиях экономических шоков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7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позволяет связать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цию</w:t>
      </w:r>
      <w:proofErr w:type="spellEnd"/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с экономическим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стом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н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о и с устойчивостью экономики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подробнее рассматривается в следующем параграфе.</w:t>
      </w:r>
    </w:p>
    <w:p w:rsidR="00C02A16" w:rsidRDefault="00C02A16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Несмотря на перечисленные тенденции,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сама по себе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не гарантирует экономических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примуществ</w:t>
      </w:r>
      <w:proofErr w:type="spellEnd"/>
      <w:r w:rsidR="00D43AEC">
        <w:rPr>
          <w:rFonts w:ascii="Times New Roman" w:hAnsi="Times New Roman" w:cs="Times New Roman"/>
          <w:sz w:val="28"/>
          <w:szCs w:val="28"/>
          <w:lang w:val="ru-RU"/>
        </w:rPr>
        <w:t>.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результат зависит от качества институтов, эффективности государственного управления, уровня человеческого капитала и объёма сопутствующих инвестиций. Поэтому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стоит рассматривать не только как технологический процесс, но и как фактор который при определённых условиях может усиливать макроэкономическую устойчивость. Этот аспект подробнее раск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рывается в следующем параграфе.</w:t>
      </w:r>
    </w:p>
    <w:p w:rsidR="00D43AEC" w:rsidRPr="000E5726" w:rsidRDefault="00D43AEC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1.2. Теоретические подходы к категории устойчивости национальных экономик к экзогенным шокам и глобальным кризисам</w:t>
      </w:r>
    </w:p>
    <w:p w:rsidR="00D43AEC" w:rsidRPr="000E5726" w:rsidRDefault="00D43AEC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Категория «устойчивость» 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resilience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) применительно к национальной экономике стала активно использоватьс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я в последние два десятилетия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когда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стало очевидно, что одних показателей макроэкономической стабильности недо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статочно для оценки спосо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бности экономики выдерживать внешние шоки и восстанавливаться после них. В подходе ОЭСР экономическая устойчивость рассматривается как способность экономики снижать уязвимость, противо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стоять шокам и быстро возвращать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ся к траектории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 xml:space="preserve"> восстановления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8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работах Л.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Кордины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Фарругия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Веллы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рассматривается через различие между двумя категориями: уязвимостью и устойчивостью. Уязвимость отражает структурную подверженность экономики внешним шокам, тогда как устойчивость связана со способностью экономической политики смягчать последствия таких шоков или ускорять восстановлен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ие. В этом подходе уязвимость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более постоянная характеристика экономики, а устойчивость зависит от решений государства, качества институтов и поведения частных экономических агентов. На основе такого разграничения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предложил типологическую матрицу, в которой страны классифицируются по сочетанию уровня структурной уязвимости и способности экономики противостоять внешним шокам. Эта типология показывает, что даже страны с высокой уязвимостью могут достигать устойчивых результатов - при наличии эффективной экономической политики и развитых институтов. Эмпирическая проверка модели на выборке из 86 стран подтвердила положительную связь между ВВП на душу населения и уровнем устойчивости, а также отрицательную - между ВВП и уровнем уязвимости. Композитный индекс экономической устойчивости, предложенный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соавторами, включает четыре ключевые компоненты: макроэкономическую стабильность, микроэкономическую рыночную эффективность, качество государственного у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правления и социальное развитие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9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Такой подход позволяет рассматривать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устойчивость не только как теоретическую категорию, но и как измеримый показатель пригодный для сравнительного 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и эконометрического анализа.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Параллельно с подходом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исследованиях ОЭСР устойчивость рассматривается через три взаимосвязанные функции экономической политики: предотвращение накопления уязвимостей, ограничение глубины шока и ускорение восстановл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работе А. Кальдера-Санчес,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Расмуссена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показано, что на устойчивость влияют разные направления макроэкономической и структурной политики - фискальная, денежно-кредитная, финансовая и трудовая. Ключевая идея здесь в том, что одни и те же меры могут одновременно снижать уязвимость экономики, смягчать последствия кризиса и ускорять восстановление. Но между этими задачами нередко возникают компромиссы - и это требует более сбалансированного подхода к политике.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Согласно оценкам ОЭСР, меры экономической политики могут иметь неоднозначный эффект: например, фискальные резервы расширяют возможности стимулирования в период спада, тогда как жёсткое регулирование рынка труда может смягчать первоначальный удар по занятости, но замедлять последующее в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осстановление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экономики зависит поэтому не только от набора антикризисных инструментов, но и от того насколько политика учитывает возможные компромиссы между смягчением кризисного удара и скорост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ью последующего восстановления.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Эмпирическое направление теории устойчивости получило развитие в исследовании Кальдера-Санчес, де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Серра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Гори,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там были рассмотрены серьёзные рецессии и финансовые кризисы в 100 странах за период 1970-2014 годов. В этой работе серьёзная рецессия определяется как существенное снижение ВВП на душу населения, превышающее медианный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уровень по выборке. Глобальный финансовый кризис 2008-2009 годов был определён как один из наиболее распространённых и дорогостоящих кризисных эпизодов, поскольку в ряде развитых экономик п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отери выпуска превысили 10% ВВП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2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Важным 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результатом указанного исследования является вывод о том, что продолжительность рецессий зависит от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вовлечённости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банковского сектора: в странах ОЭСР, столкнувшихся с банковским кризисом, средний интервал «пик - дно» составил около 12 кварталов, тогда как в ст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ранах без банковского кризиса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около 4 кварталов, а в отдельных стран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>ах вне ОЭСР - 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около 3 кварталов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Ины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 xml:space="preserve">ми словами, финансовая </w:t>
      </w:r>
      <w:proofErr w:type="spellStart"/>
      <w:r w:rsidR="00BA5274">
        <w:rPr>
          <w:rFonts w:ascii="Times New Roman" w:hAnsi="Times New Roman" w:cs="Times New Roman"/>
          <w:sz w:val="28"/>
          <w:szCs w:val="28"/>
          <w:lang w:val="ru-RU"/>
        </w:rPr>
        <w:t>составля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щая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кризиса способна заметно у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длинять период восстановления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 это нужно учитывать при раз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работке антикризисной политики.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теории устойчивости важное место занимают индикаторы раннего предупреждения. Согласно методологии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к наиболее информативным относятся рост частного кредитования, отклонения цен на жильё от долгосрочного тренда, дисбалансы текущего счёта и глобаль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ные показатели кредитного цикла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этого исследования такой подход важен тем, что показывает: устойчивость экономики можно оценивать через систему количественных показателей - которые затем используются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сравнитель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ном</w:t>
      </w:r>
      <w:proofErr w:type="gramEnd"/>
      <w:r w:rsidR="007F6B0F">
        <w:rPr>
          <w:rFonts w:ascii="Times New Roman" w:hAnsi="Times New Roman" w:cs="Times New Roman"/>
          <w:sz w:val="28"/>
          <w:szCs w:val="28"/>
          <w:lang w:val="ru-RU"/>
        </w:rPr>
        <w:t xml:space="preserve"> и эконометрическом анализе.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Современное понимание экономической устойчивости постепенно расширяется за счёт включения цифровых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 техно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логических факторов. Если в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кла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сическом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подходе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объяснялась через макр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оэкономические,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институциа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нальные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социальные переменные, то после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пандемии COVID-19 всё большее значение стали получать показатели цифровой готовности. В докладе ОЭСР о сотрудничестве в области развития 2020 года цифровая готовность включается в число ключевых направлений устойчивости национальных экономик к глобальным шокам наряду с международными экономическими связями, системой здравоохранения, социальной защитой, финансовой систем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ой 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государственными финансами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показывает, что природа современны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х кризисов изменилась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пандемия 2020 года выявила значимость цифровой инфраструктуры как одного 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з инструментов смягчения шока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наряду с фиска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льными и финансовыми резервами.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 учётом рассмотренных подходов устойчивость национальной экономики можно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понимать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многомерную категорию, объединяющую макроэкономическую стабильность, рыночную эффективность, качество государственного управления, социальное развитие и цифровую готовность. Она может быть выражена через систему композитных индексов и проверена с пом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ощью эконометрических моделей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что позволяет использовать эту категорию не только в теоретическом, но и в сравнительно-аналитическом смысле. При этом важно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учитывать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устойчивость зависит не только от структурных характеристик экономики, но и от качества проводимой политики. Поэтому в следующем параграфе рассматриваются конкретные каналы влияния цифровых технологий на устойчивость национальных экономик.</w:t>
      </w:r>
    </w:p>
    <w:p w:rsidR="007F6B0F" w:rsidRPr="000E5726" w:rsidRDefault="007F6B0F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1.3. Системные механизмы и каналы влияния цифровых технологий на макроэкономическую стабильность государств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Связь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национальных экономик, рассмотренная в предыдущих параграфах, требует более конкретного раскрытия через отдельные каналы воздействия. Для этого исследован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ия такая систематизация важна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она помогает объяснить каким образом цифровые технологии могут влиять на макроэкономическую устойчивость, а также обосновывает дальнейший выбор переменных для эконометрического анализа. В работе выделяются пять основных каналов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национальной экономики: непрерывность государственных функций, фискальная трансмиссия, адаптация частного сектора, диверсификация конечного спроса и устойчивость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информаци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оно-коммуникацион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ого</w:t>
      </w:r>
      <w:proofErr w:type="spellEnd"/>
      <w:r w:rsidR="007F6B0F">
        <w:rPr>
          <w:rFonts w:ascii="Times New Roman" w:hAnsi="Times New Roman" w:cs="Times New Roman"/>
          <w:sz w:val="28"/>
          <w:szCs w:val="28"/>
          <w:lang w:val="ru-RU"/>
        </w:rPr>
        <w:t xml:space="preserve"> сектора.</w:t>
      </w:r>
    </w:p>
    <w:p w:rsidR="00C02A16" w:rsidRPr="000E5726" w:rsidRDefault="001E7D4B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Первый канал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обеспечение непрерывности государственных функций в условиях внешних шоков. Цифровое государство, включающее электронную идентификацию, межведомственный обмен данными и онлайн-сервисы для граждан и бизнеса, помогает сохранять работу государственных институтов даже при ограничении физического взаимодействия. По оценкам ОЭСР, готовность к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стала одним из ключевых факторов 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даптации бизнеса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государственого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сектора в период пандемий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COVID-19. Этот канал подтверждается примерами Вьетнама, Швейцарии и Марокко, где цифровые платформы использовались для онлайн-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госуслуг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, быстрого предоставления кредитов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и адресной поддержки населения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Второй канал связан с повышением эффективности фискальной трансмиссии. Цифровые платёжные системы, инфраструктура цифровой идентификации и объединённые базы данных помогают быстрее и точнее направлять государственную поддержку конечным получателям. В докладе ОЭСР 2020 года подчёркивается, что эффективная поддержка домохозяйств и фирм в условиях глобальных шоков требует продвинутого управления данными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 объединения информации из налоговых, социальны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х и иных государственных систем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макроэкономической точки зрения этот канал уменьшает временные лаги и административные изде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ржки при распределении </w:t>
      </w:r>
      <w:proofErr w:type="gramStart"/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средств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благодаря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чему государственные расходы быстрее дают стабилизирующий эффект.</w:t>
      </w:r>
    </w:p>
    <w:p w:rsidR="00C02A16" w:rsidRPr="000E5726" w:rsidRDefault="001E7D4B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Третий канал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адаптация частного сектора к шокам за счёт цифровых технологий. Эмпирические исследования на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микроданных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предприятий показывают, что фирмы с более высоким уровнем внедрения информационных технологий в период пандемии демонстрировали меньшее падение занятости и выручки по сравнению с 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енее </w:t>
      </w:r>
      <w:proofErr w:type="spellStart"/>
      <w:r w:rsidR="00E872C1">
        <w:rPr>
          <w:rFonts w:ascii="Times New Roman" w:hAnsi="Times New Roman" w:cs="Times New Roman"/>
          <w:sz w:val="28"/>
          <w:szCs w:val="28"/>
          <w:lang w:val="ru-RU"/>
        </w:rPr>
        <w:t>цифровизированными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фирмами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8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объясняется тем, что цифровые решения облегчают переход на уда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лённую работу, развитие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электр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ной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коммерции и более гибкую организацию производственных и логистических процессов. По оценкам ОЭСР, в 2023 году облачными вычислениями пользовались в среднем 49% предприятий стран ОЭСР, что создавало технологическую основу для быстрой адаптации б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изнеса к кризисным ограничениям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9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Четвёртый канал связан с изменением структуры конечного спроса в пользу цифровых услуг и электронной коммерции. Во время пандемии COVID-19 ограничения физической мобильности ускорили переход потребителей к онлай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н-каналам торговли, связи и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поло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чения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услуг. Так, в 2020 году розничные онлайн-продажи в Европейском союзе и США заметно выросли, а спрос на широкополосную связь у отдельн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ых операторов увеличился до 60%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оценкам исследователей, пандемия продвинула долгосрочный тренд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потребительских рынков примерно на 2,5 года вперёд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относи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тельно </w:t>
      </w:r>
      <w:proofErr w:type="spellStart"/>
      <w:r w:rsidR="00E872C1">
        <w:rPr>
          <w:rFonts w:ascii="Times New Roman" w:hAnsi="Times New Roman" w:cs="Times New Roman"/>
          <w:sz w:val="28"/>
          <w:szCs w:val="28"/>
          <w:lang w:val="ru-RU"/>
        </w:rPr>
        <w:t>допандемийной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точки зрения экономической устойчивости это означает, что цифровые каналы частично сохраняют потребление даже тогда, когда физические форматы торговли и услуг ограничены. Поэтому развитие электронной коммерции и онлайн-сервисов может смягчать последствия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шоков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связанных с ограничением мобильности.</w:t>
      </w:r>
    </w:p>
    <w:p w:rsidR="00C02A16" w:rsidRPr="000E5726" w:rsidRDefault="001E7D4B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Пятый канал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устойчивость информационно-коммуникационного сектора как отдельного элемента национальной экономики. Согласно данным ОЭСР, в 2020 году средний темп роста ИКТ-сектора в странах ОЭСР составил 6,6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%, а к 2021 году эффект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пандемии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ного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 в большинстве стран данного сектора у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же практически не прослеживался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2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показывает, что ИКТ-сектор в кризисных условиях оказыва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ется устойчивее многих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традицио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отраслей. Его значение проявляется в двух аспектах: во-первых, более высокая доля ИКТ-сектора в экономике создаёт дополнительную опору для совокупного выпуска; во-вторых, этот сектор обеспечивает </w:t>
      </w:r>
      <w:proofErr w:type="gram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другие отрасли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цифровыми решениями которые повышают их способнос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ть к адаптации.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Исследования ОЭСР показывают, что среди ранних индикаторов серьёзных рецессий особое значение имеют показатели кредитного цикла, отклонения цен на жильё от долгосрочного тренда и ди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сбалансы счёта текущих операций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этого исследования такой вывод важен: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фискальной системы может повышать не только скорость антикризисного реагирования, но и качество раннего выявления макроэкономических дисбалансов - за счёт объединения и анализа данных в режиме близком к реальному времени.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Вопрос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финансового сектора следует рассматривать двойственно: с одной стороны, она ускоряет фискальную и фи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нансовую трансмиссию, с другой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при слабом регулировании может усиливать ра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спространение финансовых рисков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развитие цифровых финансов должно сочета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ться с надёжным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макра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пруденциальным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регулированием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постоянным контролем устойчивости финансовой системы.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Системная связь между перечисленными каналами проявляется в том, что они усиливают друг друга. Развитая цифровая инфраструктура создаёт условия для непрерывности государственных функций и более эффективной фискальной трансмиссии;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государственного управления и финансовых механизмов повышает адаптивность частного сектора; а расширение цифровых услуг поддерживает развитие самого ИКТ-сектора.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Устойчивость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связанная с цифровыми технологиями формируется не как простая сумма отдельных эффектов, а как результат взаимодействия нескольких каналов. Именно поэтому страны с более высоким уровнем цифровой трансформации могут показывать более устойчивые траектории в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 условиях глобальных кризисов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рассматривается во второй главе.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 точки зрения эконометрического моделирования выделенные каналы позволяют обосновать выбор количественных индикаторов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устойчивости национальных экономик. Теоретически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может отражаться через показатели цифровой инфраструктуры, электронного правительства, развития ИКТ-сектора и распространения цифровых технологий среди предприятий. Однако в этой работе, с учётом доступности сопоставимых данных по широкой выборке стран, основным индикатором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выбрана доля интернет-пользователей в численности населения. В качестве зависимой переменной используется натуральный логарифм ВВП на душу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населения. В модель также включаются валовое накопление основного капитала, инфляция, безработица, эксп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орт высокотехнологичной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продукц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кризисные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-переменные 2020 и 2022 годов, а также взаимодействия показателя интернет-проникновения с кризисными периода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ми. Такой подход связывает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теор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тические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положения первой главы с эконометрическим анализом второй.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Цифровые технологии влияют на макроэкономическую устойчивость не через один универсальный механизм, а через систему взаимосвязанных каналов. Они охватывают государственное управление, фискальную трансмиссию, адаптацию частного сектора, структуру конечного спроса и устойчивость ИКТ-сектора. Совместное дейс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твие этих каналов дополняет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кла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си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ческое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 понимание устойчивости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то, что представ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лено в работах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gramStart"/>
      <w:r w:rsidR="004B3C97">
        <w:rPr>
          <w:rFonts w:ascii="Times New Roman" w:hAnsi="Times New Roman" w:cs="Times New Roman"/>
          <w:sz w:val="28"/>
          <w:szCs w:val="28"/>
          <w:lang w:val="ru-RU"/>
        </w:rPr>
        <w:t>ОЭСР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рассматривать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самостоятельный фактор повышения адаптивности национальных экономик. Эмпирическая проверка этой связи и сравнительный анализ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страновых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траекторий в условиях глобальных кризисов представлены во второй главе.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Выводы по первой главе. Первая глава дала несколько результатов которые определяют логику даль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нейшего анализа.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>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не просто технологический сдвиг: она меняет саму архитектуру экономической адаптации, влияя на то как государство функционирует в кризис, как бизнес перестраивается и как передаётся фискальная поддержка. Подходы ОЭСР, Всемирного банка, Европейской комиссии и исследователей экономической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устойчивости сходятся в одном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устойчивость не возникает в момент шока, она либо уже есть в экономике, либо её нет. Пять каналов, систематизированных в этой главе - непрерывность государственных функций, эффективность фискальной трансмиссии, ад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аптация частного сектора,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диверсс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ификация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конечного спро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са и устойчивость </w:t>
      </w:r>
      <w:proofErr w:type="gramStart"/>
      <w:r w:rsidR="004B3C97">
        <w:rPr>
          <w:rFonts w:ascii="Times New Roman" w:hAnsi="Times New Roman" w:cs="Times New Roman"/>
          <w:sz w:val="28"/>
          <w:szCs w:val="28"/>
          <w:lang w:val="ru-RU"/>
        </w:rPr>
        <w:t>ИКТ-сектора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просто классификация. Каждый из них представляет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конкретный механизм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который уровень цифровой зрелости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страны либо смягчает удар кризиса, либо нет. Именно поэтому следующий шаг - не дальнейшая теория, а сравнение реальных стран и эконометрика.</w:t>
      </w:r>
    </w:p>
    <w:p w:rsidR="00C02A16" w:rsidRPr="000E5726" w:rsidRDefault="00C02A16" w:rsidP="004B3C97">
      <w:pPr>
        <w:pageBreakBefore/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ГЛАВА II. МЕЖДУНАРОДНЫЙ ОПЫТ ЦИФРОВИЗАЦИИ ЭКОНОМИКИ И ЭКОНОМЕТРИЧЕСКИЙ АНАЛИЗ ЕЁ ВЛИЯНИЯ НА УСТОЙЧИВОСТЬ СТРАН К ГЛОБАЛЬНЫМ КРИЗИСАМ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2.1. Сравнительный анализ моделей цифровой трансформации стран-лидеров (на примере Эстонии, Республики Корея, Сингапура и Польши)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Теоретическая база, заложенная в первой главе, позволяет перейти к анализу международного опыта цифровой трансформации. В этом параграфе сравниваются четыре национальные модели с разными институциональными условиями и подходами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к цифровому развитию: Эстония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модель малого постсоветского государства, сделавшего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частью национально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го развития; Республика Корея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модель развитой экономики с государственно-направляемой циф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ровой модернизацией; Сингапур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модель города-государства с высоким уровнем цифрово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й конкурентоспособности; Польша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модель догоняющей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переходной экономики интегрированной в Европейский союз. Выбор этих стран обусловлен их высокими позициями в международных индексах цифровой зрелости, наличием стратегических программ цифровой трансформации и доступностью сопоставимых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коли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честве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показателей для дальнейшего анализа. Сравнительные позиции четырёх стран в ключевых международных индексах цифровой зрелости представлены в таблице 2.1.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Таблица 2.1. Позиции четырёх стран в международных индексах цифровой зрелости (2024) Источники: UN DESA (EGDI 2024);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Portulans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Insti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tute</w:t>
      </w:r>
      <w:proofErr w:type="spellEnd"/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(NRI 2024); IMD WDCR 2024.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Данные таблицы 2.1 показывают: все четыре страны занимают заметные позиции в международных рейтингах цифровой зрелости, но достигают этих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результатов разными путями. Эстония опирается на модель компактного цифрового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государства, Республика Корея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 государственно-направляемую ц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ифровую модернизацию, </w:t>
      </w:r>
      <w:proofErr w:type="gramStart"/>
      <w:r w:rsidR="004B3C97">
        <w:rPr>
          <w:rFonts w:ascii="Times New Roman" w:hAnsi="Times New Roman" w:cs="Times New Roman"/>
          <w:sz w:val="28"/>
          <w:szCs w:val="28"/>
          <w:lang w:val="ru-RU"/>
        </w:rPr>
        <w:t>Сингапур 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высокий уровень институциональной координации и цифровой ко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нкурентоспособности, а Польша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на постепенную догоняющую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рамках европейской интеграции.</w:t>
      </w:r>
    </w:p>
    <w:p w:rsidR="00C02A16" w:rsidRPr="000E5726" w:rsidRDefault="004B3C97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Эстония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модель «</w:t>
      </w:r>
      <w:r>
        <w:rPr>
          <w:rFonts w:ascii="Times New Roman" w:hAnsi="Times New Roman" w:cs="Times New Roman"/>
          <w:sz w:val="28"/>
          <w:szCs w:val="28"/>
          <w:lang w:val="ru-RU"/>
        </w:rPr>
        <w:t>цифрового государства» малой пост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советской экономики. Цифровая трансформация Эстонии началась с программы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Tiger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Leap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Tiigrihüpe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), запущенной в 1996 году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направленной на компьютеризаций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школ, подключение их к интернету</w:t>
      </w:r>
      <w:r>
        <w:rPr>
          <w:rFonts w:ascii="Times New Roman" w:hAnsi="Times New Roman" w:cs="Times New Roman"/>
          <w:sz w:val="28"/>
          <w:szCs w:val="28"/>
          <w:lang w:val="ru-RU"/>
        </w:rPr>
        <w:t>, подготовку учителей и создания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учебн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ого контента на эстонском языке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2000 году все школы Эстонии были оснащены компьютерами, а к 2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001 году подключены к интернету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Благода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ря этому страна сформировала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нюю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базу цифровой грамотности и подготовила общество к дальнейшему развитию электронного государства.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Следующим ключевым шагом стало создание технологической основы эстонского цифрового государства. Центральное место за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няла платформа X-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 (X-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tee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>)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распределённая система обмена данными между государственными и частными информационными системами. Проект развернули в 2001 году на принципе децентрализации: данные хранятся в исходных реестрах и передаются по запросу через защищённые каналы с использованием цифрово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й подписи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настоящему времени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более 450 организаций, включая свыше 150 учреждений государственного сектора, обеспечивает работу около 1300 информационных систем и обрабатывает при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мерно 2,2 млрд транзакций в год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8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Открытие исходного кода централь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 компонентов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 лицензией MIT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усилило между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народное значение этой </w:t>
      </w:r>
      <w:proofErr w:type="gramStart"/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модели 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частности, в 2018 году были соединены системы обмена данными Эстонии и Финляндии.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Продолжением этой модели стала прогр</w:t>
      </w:r>
      <w:r w:rsidR="00BA6504">
        <w:rPr>
          <w:rFonts w:ascii="Times New Roman" w:hAnsi="Times New Roman" w:cs="Times New Roman"/>
          <w:sz w:val="28"/>
          <w:szCs w:val="28"/>
          <w:lang w:val="ru-RU"/>
        </w:rPr>
        <w:t xml:space="preserve">амма электронного </w:t>
      </w:r>
      <w:proofErr w:type="spellStart"/>
      <w:r w:rsidR="00BA6504">
        <w:rPr>
          <w:rFonts w:ascii="Times New Roman" w:hAnsi="Times New Roman" w:cs="Times New Roman"/>
          <w:sz w:val="28"/>
          <w:szCs w:val="28"/>
          <w:lang w:val="ru-RU"/>
        </w:rPr>
        <w:t>резидентства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она позволила Эстонии использовать цифровую инфраструктуру не только внутри страны, но и за её пределами. Программа e-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Residency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запущенная в конце 2014 года, по состоянию на 2025 год охватывает более 128 тыс. человек из 185 стран; ими основано свыше 36 тыс. эстонских компаний, а совокупный прямой экономический эффект дл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я бюджета составил 342 млн евро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9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2024 году e-резиденты создали 4818 новых компаний, а налоговые поступления от п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рограммы достигли 66,8 млн евро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В Индексе развития электронных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правительства ООН EGDI 2024 года Эстония заняла 2-е место в 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ире со значением индекса 0,9727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итоге эстонская модель держится на четырёх опорах: циф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ровая грамотность,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межведомстве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цифровая идентификация и продвижение государственных решений на 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международном уровне.</w:t>
      </w:r>
    </w:p>
    <w:p w:rsidR="00C02A16" w:rsidRPr="000E5726" w:rsidRDefault="004007C3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Республика Корея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модель государственно-направляемой цифровой модернизации. Цифровая трансформация Республики Корея отличается сильной ролью государства, долгосрочным планированием и активным использованием фискальных стимулов для ускорения технологического развития. Одним из ключевых программных документов стал Корейский новый курс (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объявленный 14 июля 2020 года. Общий объём инвестиций программы на 2020-2025 годы составил 160 трлн вон, или около 133 млрд долларов США, из которых 114,1 трлн вон финансировалось центральным правительством, что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тветствовало 5,9% ВВП 2020 года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2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была направлена на создание 1,9 млн рабочих мест и включала три блока: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Green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укрепление системы социаль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ной защиты.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Центральным цифровым блоком стал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На его реализацию было выделено 58,2 трлн вон, из которых 44,8 трлн финансиро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вались из государственной казны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основе п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рограммы лежала концепция </w:t>
      </w:r>
      <w:proofErr w:type="gramStart"/>
      <w:r w:rsidR="004007C3">
        <w:rPr>
          <w:rFonts w:ascii="Times New Roman" w:hAnsi="Times New Roman" w:cs="Times New Roman"/>
          <w:sz w:val="28"/>
          <w:szCs w:val="28"/>
          <w:lang w:val="ru-RU"/>
        </w:rPr>
        <w:t>DNA  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proofErr w:type="gram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AI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которая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связывала развитие данных, сетевой инфраструктуры и искусственного интеллекта с модернизацией ключевых секторов экономики. В практическом плане программа включала создание отраслевых платформ больших данных, внедрение 5G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блокчейн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государственные услуги, оснащение 18 больниц технологиями 5G и интернета вещей, разработку программного обеспечения для диагностики 12 заболеваний, а также подключение более 310 000 классов к высокоскор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остному беспроводному интернету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июле 2021 года был объявлен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2.0 - общий бюджет программы расш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ирили примерно до 220 трлн вон.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По данным Министерства науки и ИКТ Кореи, совокупный бюджет на развитие ведущих цифровых технологий в первый год реализации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10,1 трлн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вон, или 8,7 млрд долларов США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программы также отразилась на международных позициях страны: в рейтинге цифровой конкурентоспособности IMD Республика Корея поднялась с 10-го места в 2019 году на 8-е в 2020 году, а в индексе готовности правительств к использованию искусствен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ного интеллекта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Oxford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Insights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26-го на 7-е место. Ещё в декабре 2019 года Корея приняла Национальную стратегию в области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искусственного интеллекта, предусматривающую цель войти в тройку наиболее конкурентоспособных цифровых экономик мира к 2030 году и инвестиции в размере 1 трлн вон на развитие ИИ-п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олупроводников в течение 10 лет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EGDI 2024 Республика Корея занимает 4-е место со значением индекса 0,9679, а в OECD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23 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1-е место среди стран ОЭСР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целом корейская модель отличается крупным масштабом государственных инвестиций и тесной связью цифровой трансформа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ции с антикризисной политикой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был запущен именно как ответ на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последствия пандемии COVID-19.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Сингапур: модель города-государства как глобального эталона цифровой конкурентоспособности. Инициатива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была объявлена в 2014 году и стала основой сингапурской стратегии цифровой трансформации, ориентир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ованной на внедрение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информацио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-коммуникационных технологий, цифровых платформ, сетей и больших данных в государ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ственное управление и экономику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8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реализации этой политики были созданы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специализированные институты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Group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которые объединили стратегическое планирование и техническую реализацию цифровых сервисов. В 2023 году координация цифровой повестки была передана Министерству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цифрового развития и информаций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показывает дальнейшее институциональное укрепление цифровой трансформации в стране.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Практические результаты сингапурской модели проявляются в устойчивом росте цифровой экономики и широком распространении цифровых сервисов. Её вклад в ВВП Сингапура увеличился с 13,3% в 2017 году до 17,7% в 2023 году при среднегодовом темпе роста 11,2%, что почти вдвое превышало темп роста 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lastRenderedPageBreak/>
        <w:t>экономики в целом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9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Около 99% домохозяйств подключены к интернету, а 99% государственных услуг доступны в цифровом формате. Ключевыми эл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ементами цифровой инфраструктур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являются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единая система цифровой идентификации, платёжная система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PayNow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платформа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Virtual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Singapore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трёхмерный цифровой двойник городской среды, используемый для моделировани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я сценариев городского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0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период пандемии COVID-19 Сингапур оперативно развернул систему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TraceTogeth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er</w:t>
      </w:r>
      <w:proofErr w:type="spellEnd"/>
      <w:r w:rsidR="00990EE6">
        <w:rPr>
          <w:rFonts w:ascii="Times New Roman" w:hAnsi="Times New Roman" w:cs="Times New Roman"/>
          <w:sz w:val="28"/>
          <w:szCs w:val="28"/>
          <w:lang w:val="ru-RU"/>
        </w:rPr>
        <w:t xml:space="preserve"> для отслеживания контактов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 показало способность цифровой инфраструктуры быстро адаптироваться к кризисным условиям.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Следующим этапом стала обновлённая стратегия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2.0. В октябре 2024 года премьер-министр Лоуренс Вонг представил концепцию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2.0, одним из ключевых элементов которой стало выделение 120 млн сингапурских долларов на программу AI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for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Science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развития междисциплинарных исследований в области искусственного интеллекта.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Новая стратегия переносит акцент с создания базовой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инфраструктуры на практиче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ское использование технологий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прежде всего генератив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ного искусственного интеллекта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дальнейшего развития экономики и общества. В IMD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World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Competitiveness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Ranking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Сингапур занимает 1-е место в мире, в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Readiness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2024 2-е место, а в EGDI 2024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3-е ме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сто со значением индекса 0,9691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2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Отличитель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ная черта сингапурской модели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сочетание стратегического государственного планирования, активного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участия частного сектора и системной интеграции цифровых решений в городскую среду.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4007C3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Польша 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модель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догоняющей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переходной экономики. Цифровая трансформация Польши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развивалась иначе чем 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Эстонии, Кореи или Сингапура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не как единая централизованная стратегия, а как постепенный процесс сближения с цифровыми стандартами Европейского союза. Важную роль здесь сыграли финансовые инструменты ЕС, развитие внутреннего ИКТ-сектора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модернизация государственных цифровых сервисов. Первым крупным программным документом стала программа «Цифровая Польша» на период 2014-2020 годов с бюджетом около 2,17 млрд евро, направленная на развитие широкополосной инфраструктуры и ци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фровых государственных сервисов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Её продолжением стала программа FERC на период 2021-2027 годов, реализуемая под координацией Министерства цифровых дел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Це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нтра проектов «Цифровая Польша»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Заметным результатом этой политики стало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цифровых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государствен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сервисов. Одним из ключевых элементов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польской цифровой трансформаций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стало мобильное приложение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запущенное в 2017 году. В 2020 году в приложение интегрировали электронные рецепты и мобильные водительские удостоверения. 14 июля 2023 года вступил в силу закон, уравнявший юридическую силу цифрового удостоверения личности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mDowód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приложении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el</w:t>
      </w:r>
      <w:proofErr w:type="spellEnd"/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2.0 с пластиковым документом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2025 году число пользователей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превысило 10 млн человек, то есть около трети населения страны; цифровое водительское удостоверение используют 5,5 млн граждан, цифровое свидетельство о регис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трации транспортного средства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5,7 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млн, 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ччерез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доступна более 40 государственных услуг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6"/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Параллельно Польша развивает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Prof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il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Zaufany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и платформу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ePUAP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ни обеспечивают доступ к государственным порталам, электронное подписание документов и вз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аимодействие с органами власти.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Вместе с тем польская модель показывает разрыв между развитием государственных цифровых сервисов и уро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внем цифровой зрелости население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бизнеса. По данным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Decade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Report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Европейской комиссии за 2024 год, 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базовыми цифровыми навыками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обло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дают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44% населения Польши при среднем показателе по ЕС 56%; искусственный интеллект полностью внедрили 3,7% компаний при среднем уровне ЕС 8%, а аналитику данных используют 19,3% компа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ний при среднем уровне ЕС 33,2%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ИКТ-сектор страны растёт достаточно быстро. Согласно OECD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Economy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Outlook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2024, среднегодовой темп роста ИКТ-сектора Польши за пер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иод 2013-2023 годов превысил 8%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8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Польша представляет собой модель «конвергенции с ограничениями»: цифровое государство и ИКТ-сектор развиваются, но проблемы цифровых навыков и внедрения технологий в частном секторе пока остаются. Именно поэтому польский опыт особенно интересен для 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стран с переходной экономикой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включая Узбекистан.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синтез четырёх моделей. Сравнение выбранных стран показывает, что во всех четырёх случаях цифровая трансформация опирается на институциональный центр координации: RIA в Эстонии, MSIT в Республике Корея,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/MDDI в Сингапуре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Ministerstwo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Cyfryzacji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Польше. Общей чертой является и использование цифровой идентификации как основы электронных государственных сервисов: e-ID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Mobile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-ID в Эстонии,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национального цифрового идентификатора в Корее,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Сингапуре,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Profil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Zaufany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Польше.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Различия между моделями связаны прежде всего с масштабом инвестиций, институциональной средой и балансом между ролью государства и частного сектора. Корейская модель выделяется самым крупным объёмом государственных вложений: в рамках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общее финансирование составило 160 трлн вон на 2020-2025 годы, что соответствовало 5,9% ВВП 2020 года. Эстонская модель, напротив,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цифровая идентификация могут стать основой цифрового государства даже при сравнительно ограниченных ресурсах. Сингапурская модель отличается высокой степенью интеграции цифровых решений в городскую среду и значительным вкладом цифровой экономики в ВВП: в 2023 го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ду этот показатель достиг 17,7%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9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Польская модель отражает особенности догоняющей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развитые государственные сервисы сочетаются здесь с более низкой цифровой зрелостью населения и частного сектора.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Четыре страны представляют разные модели ц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ифровой трансформации: </w:t>
      </w:r>
      <w:proofErr w:type="gramStart"/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Эстония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интероперабельное</w:t>
      </w:r>
      <w:proofErr w:type="spellEnd"/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цифровое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государство, Республика Корея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государственно-направляемую цифровую 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модернизацию, Сингапур </w:t>
      </w:r>
      <w:proofErr w:type="spellStart"/>
      <w:r w:rsidR="004F305F">
        <w:rPr>
          <w:rFonts w:ascii="Times New Roman" w:hAnsi="Times New Roman" w:cs="Times New Roman"/>
          <w:sz w:val="28"/>
          <w:szCs w:val="28"/>
          <w:lang w:val="ru-RU"/>
        </w:rPr>
        <w:t>высоко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нтегрированную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цифровую экономик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>у города-государства, а Польша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конвергенцию с определёнными ограничениями.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развивается не по ед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 xml:space="preserve">иной схеме, а через разные </w:t>
      </w:r>
      <w:proofErr w:type="spellStart"/>
      <w:r w:rsidR="00915457">
        <w:rPr>
          <w:rFonts w:ascii="Times New Roman" w:hAnsi="Times New Roman" w:cs="Times New Roman"/>
          <w:sz w:val="28"/>
          <w:szCs w:val="28"/>
          <w:lang w:val="ru-RU"/>
        </w:rPr>
        <w:t>инсте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туциональные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траектории. В следующем параграфе рассматривается как эти экономики реагировали на глобальные кризисы 2020-2022 годов с учётом уровня цифровой зрелости.</w:t>
      </w:r>
    </w:p>
    <w:p w:rsidR="004B1E76" w:rsidRDefault="004B1E7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2.2. Реакция национальных экономик на глобальные кризисы 2020-2022 годов в контексте уровня цифровой зрелости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согласования сравнительного анализа с эконометрической моделью параграфа 2.3 в работе выделяются два кризисных года. 2020-й рассматривается как период острой фазы пандемии COVID-19 и максимального падения ВВП, а 2022-й - как период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энергетического и инфляционного шока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связанного с геополитической эскалацией. При этом 2021 год трактуется как этап восстановления, а не как самостоятельный кризисный эпизод. В эконометрической модели эти кризисные годы отражены через бинарные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-переменные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Crisis_COVID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что позволяет отдельно оценить их влияние на зависимую переменную при контроле уровня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Такое разделение важно потому что пандемия COVID-19 выступила шоком неэкономического происхождения и ограничила физическую мобильность, тогда как кризис 2022 года проявился преимущественно через энергетический, ценовой и инфляционный каналы. Это позволяет оценить не только способность цифровой инфраструктуры смягчать последствия кризисов, но и её пределы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там где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 находится вне прямого воздействия цифровых технологий.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Реакция Эстонии. В 2020 году экономика Эстонии показала сравнительно мягкое падение: снижение ВВП составило 3,0% против среднего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оказати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ля</w:t>
      </w:r>
      <w:proofErr w:type="spellEnd"/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по ЕС на уровне -6,1%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Уже в 2021 году экономика восс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тановилась с темпом роста 8,6%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один из на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иболее высоких показателей в ЕС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Такой результат можно связать с высоким уровнем цифровой зрелости страны и возможностями инфраструктуры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которая помогла сохранить непрерывность государственных функций при ограничении физического взаимодействия. В период пандемии 99% государственных услуг оставались доступны онлайн, а 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правительство просто запустило новые сервисы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упрощённые процедуры регистрации браков, рождений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обращений за пособиями через e-ID и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Кризис 2022 года обнажил пределы эстонской модели. Отказ от российских энергоносителей и высокая чувствительность к региональным энергетическим рынкам обернулись падением ВВП на 1,3% и инф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ляцией, превысившей 19% по HICP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2"/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подтверждает вывод первой главы: цифровая зрелость смягчает шоки мобильности и информационной асимметрии, но не закрывает структурную уязвимость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 энергетическим и ценовым потрясениям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План восстановления и устойчивости Эстонии, утверждённый в 2021 году, предусматривал 953,3 млн евро, или около 3,4% ВВП 2019 года; 21,5% ресурсов направлено на цифровую трансформацию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, 41,5% на климатические цели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3"/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Адаптация Эстонии была направлена сразу на два блока рисков - цифровой и энергетико-климатический.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Республики Корея. Среди рассматриваемых стран Корея прошла 2020 год мягче всех: ВВП снизился лишь на 0,7%, а докризисный уровень активности восстановился уже к маю 2021 года. В 202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1 году рост ВВП составил 4,6%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наибо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высокий показатель за одиннадцать лет, обусловленный устойчивым внешним спросом на полупроводник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и и потребительскую электронику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4"/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Мягкость спада объясняется тремя факторами: эффективной системой цифрового отслеживания контактов, масштабным фискальным стимулированием в рамках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экспортных ИКТ-секторов на фоне роста глобальног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о спроса на цифровые технологии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2022 году Республика Корея сохранила положительный рост ВВП на уровне 2,7%, тогда как ряд европейских экономик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силь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нр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ощутил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последствия энергетического кризиса. Инфляция достигла пика в 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июле 2022 года на уровне 6,3%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максимум с ноября 1998 года, однако этот показатель оставался ниже уровне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й большинства европейских стран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6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2023 году прогноз роста был снижен до 1,4%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замедление экспортного цикла полупроводников дало о себе знать. В этом контексте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выступил не только инструментом краткосрочной стабилизации в период пандемии, но и механизмом укрепления долгосрочной конкурентоспособности экономики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подтверждается подъёмом Кореи в рейтинге цифр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овой </w:t>
      </w:r>
      <w:proofErr w:type="spellStart"/>
      <w:r w:rsidR="007200F4">
        <w:rPr>
          <w:rFonts w:ascii="Times New Roman" w:hAnsi="Times New Roman" w:cs="Times New Roman"/>
          <w:sz w:val="28"/>
          <w:szCs w:val="28"/>
          <w:lang w:val="ru-RU"/>
        </w:rPr>
        <w:t>конкурентоспасобности</w:t>
      </w:r>
      <w:proofErr w:type="spellEnd"/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7200F4">
        <w:rPr>
          <w:rFonts w:ascii="Times New Roman" w:hAnsi="Times New Roman" w:cs="Times New Roman"/>
          <w:sz w:val="28"/>
          <w:szCs w:val="28"/>
          <w:lang w:val="ru-RU"/>
        </w:rPr>
        <w:t>IMD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10-го места в 2019 году на 8-е в 2020-м.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Сингапура. В 2020 году экономика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 Сингапура сократилась на 3,9%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высокая зависимость от международной торговли, туризма и трансграничной мобильности дала о себе знать. Однако уже в 2021 году ВВП вырос н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а 7,6%, а в 2022 году на 3,6%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8"/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Важную роль сыграла быстрая мобилизация цифровой инфраструктуры. В марте 2020 года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 восемь недель разра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ботал и запустил (</w:t>
      </w:r>
      <w:proofErr w:type="spellStart"/>
      <w:r w:rsidR="007200F4">
        <w:rPr>
          <w:rFonts w:ascii="Times New Roman" w:hAnsi="Times New Roman" w:cs="Times New Roman"/>
          <w:sz w:val="28"/>
          <w:szCs w:val="28"/>
          <w:lang w:val="ru-RU"/>
        </w:rPr>
        <w:t>TraceTogether</w:t>
      </w:r>
      <w:proofErr w:type="spellEnd"/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первое в мире национальное приложение для отслеживания контактов; к началу 2022 года в нём было зарегистриров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ано более 6,2 млн пользователей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9"/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TraceTogether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позволило сократить время между выявлением случая заболевания и установлением близких контактов с четырёх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д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ней до менее чем пол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тора суток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Одновремен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цифровые системы обеспечили быструю реализацию бюджетной поддержки. В 2020 году правительство Сингапура объявило четыре пакета фискального стимулирования общим объёмом более 20% ВВП 2019 года, включая субсидии на заработную плату до 75% от первых 4600 сингапурских долларов и д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енежные переводы домохозяйствам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пл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атёжная инфраструктура позволили точнее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направлять поддержку, сокращая временные лаги фискальной трансмиссии. В 2022 году инфляция в Си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нгапуре достигла 6,1%, что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потр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бовало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нескольких раундов денежно-кредитного ужесточения со стороны Денежно-кредитного управления Сингапура.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Польши. В 2020 году эконом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ика Польши сократилась на 2,0%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один из наиболее мягких спадов в ЕС, значительно лучше среднего по союзу (-6,1%).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2021 году рост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ВВП составил 5,9%, а в 2022-м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4,9%, несмотря на войну в Украине, э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нергетический кризис и инфляцию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устойчивость объясняется несколькими факторами: крупным внутренним рынком, диверсифицированной структурой экономики, гибким обменным курсом злотого и антикризисным пакетом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Tarcza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Antykryzysowa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объёмом около 55 млрд долларов. Цифровой компонент тоже имел значение: расширение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интеграция электронных рецептов и цифровых водительских удостоверений в 2020 году помогли сохранить часть административных процедур в дистанционном формате.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Кризис 2022 года показал более высокую чувствительность Польши к энергетическому и инфляционному шоку. Зависимость от угольной энергетики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одна из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самых высоких среди стран МЭА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 доля ископаемого топлива на уровне 85% общего энергоснабжения в 2020 году создавали структурную уязвимость. Дополнительное давление добавили близость к зоне конфликта и значительный приток украинских беженцев. Инфляция достигла 18,4% в феврале 2023 года.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смягчения последствий правительство ввело Антиинфляционный щит: снижение НДС на электроэне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ргию с 23% до 5%, на отопление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23% до 8%, а также снижение НДС и акцизов на топливо; общая стоимос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ть мер составила около 2,1% ВВП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польского и эстонского кейсов п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одтверждает одну и ту же логику,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цифровая зрелость смягчает шоки мобильности и административных ограничений, но не закрывает структурную уязвимость к энергетическим и ценовым потрясениям.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синтез. Сопоставление траекторий четырёх экономик за 2020-2022 годы даёт несколько важных выводов. Во-первых, в период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 2020 года все четыре страны показали более мягкое падение ВВП чем средний показатель по ЕС: в Республике Корея снижение сос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тавило 0,7%, в Польше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- 2,0%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, в Эстонии - 3,0%, в Сингапуре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3,9%, тогда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как средний спад по ЕС достиг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6,1%. Это говорит 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высокий уровень цифровой зрелости может повышать устойчивость экономик к шокам связанным с ограничением физической мобильно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сти и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админ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стративных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процессов. Во-вторых, в 2021 году все четыре страны показали быстрое восстановление: наиболее высокие темпы роста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у Эстонии -8,6% и Сингапура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7,6%, тогда как Польша выросл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а на 5,9%, а Республика Корея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 4,6%.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динамика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показывает что цифровая инфраструктура могла поддержать восстановление деловой активности,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государственных сервисов и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потри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бительского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спроса. Динамика реального ВВП четырёх стран в сопоставлении со средним показателем по ЕС за 2019-2022 го</w:t>
      </w:r>
      <w:r w:rsidR="00E23D01">
        <w:rPr>
          <w:rFonts w:ascii="Times New Roman" w:hAnsi="Times New Roman" w:cs="Times New Roman"/>
          <w:sz w:val="28"/>
          <w:szCs w:val="28"/>
          <w:lang w:val="ru-RU"/>
        </w:rPr>
        <w:t>ды представлена на рисунке 2.1.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2.1 Динамика реального валового внутреннего продукта в Эстонии, Республике Корея, Сингапуре и Польше в сопоставлении со средним показателем по Европейскому союзу, 2019-2022 гг., % Источник: составлено автором по данным IMF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World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Economic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Outlook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April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2024),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Eurostat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В-третьих, энергетический и инфляционный шок 2022 года обнажил пределы цифровой зрелости. Она могла поддерживать государственные сервисы, б</w:t>
      </w:r>
      <w:r w:rsidR="00627AAF">
        <w:rPr>
          <w:rFonts w:ascii="Times New Roman" w:hAnsi="Times New Roman" w:cs="Times New Roman"/>
          <w:sz w:val="28"/>
          <w:szCs w:val="28"/>
          <w:lang w:val="ru-RU"/>
        </w:rPr>
        <w:t xml:space="preserve">изнес-процессы и </w:t>
      </w:r>
      <w:proofErr w:type="gramStart"/>
      <w:r w:rsidR="00627AAF">
        <w:rPr>
          <w:rFonts w:ascii="Times New Roman" w:hAnsi="Times New Roman" w:cs="Times New Roman"/>
          <w:sz w:val="28"/>
          <w:szCs w:val="28"/>
          <w:lang w:val="ru-RU"/>
        </w:rPr>
        <w:t>коммуникации</w:t>
      </w:r>
      <w:proofErr w:type="gramEnd"/>
      <w:r w:rsidR="00627AAF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 не устраняла ценовые уязвимости связанные со структурой энергетики и внешними рынками. Поэтому Эстония и Польша, более зависимые от ископаемого топлива и региональны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 xml:space="preserve">х энергетических рисков, </w:t>
      </w:r>
      <w:proofErr w:type="spellStart"/>
      <w:r w:rsidR="001657DE">
        <w:rPr>
          <w:rFonts w:ascii="Times New Roman" w:hAnsi="Times New Roman" w:cs="Times New Roman"/>
          <w:sz w:val="28"/>
          <w:szCs w:val="28"/>
          <w:lang w:val="ru-RU"/>
        </w:rPr>
        <w:t>столкне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лись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более высокой инфляцией чем Республика Корея</w:t>
      </w:r>
      <w:r w:rsidR="0022556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Сингапур. Сопоставление пиковых значений потребительской инфляции четырёх стран представлено на рисунке 2.2.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Пиковые значения потребительской инфляции в Эстонии, Польше, Республике Корея и Сингапуре в 2022 году, % Источник: составлено автором по данным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Eurostat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(HICP),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Bank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Monetary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Authority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Singapore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В-четвёрты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 xml:space="preserve">х, во всех четырёх странах </w:t>
      </w:r>
      <w:proofErr w:type="spellStart"/>
      <w:r w:rsidR="001657DE">
        <w:rPr>
          <w:rFonts w:ascii="Times New Roman" w:hAnsi="Times New Roman" w:cs="Times New Roman"/>
          <w:sz w:val="28"/>
          <w:szCs w:val="28"/>
          <w:lang w:val="ru-RU"/>
        </w:rPr>
        <w:t>значе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тельную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роль сыграли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фискальные меры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реализованные с опорой на цифровую инфраструктуру. Их масштаб различался - от 2,1% ВВП в Польше до более чем 20% ВВП в Сингапуре. Это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цифровая инфраструктура важна не только для развития электронного государства, но и для более быстрой передачи антикризисной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держки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населению и бизнесу.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Полученные наблюдения создают основу для количественного анализа. Для проверки выявленных закономерностей нужно перейти от описательного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сравнения стран к статистической оценке связи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показателями устойчивости национальных экономик. Поэтому следующий параграф посвящён эконометрическому моделированию на панельных данных за 2010-2023 годы.</w:t>
      </w:r>
    </w:p>
    <w:p w:rsidR="00E23D01" w:rsidRPr="000E5726" w:rsidRDefault="00E23D01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2.3. Эконометрическая оценка влияния </w:t>
      </w:r>
      <w:proofErr w:type="spellStart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на устойчивость национальных экономик на основе панельных данных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Сравнительный анализ четырёх стран в параграфе 2.1 и оценка их реакции на кризисы 2020 и 2022 годов в параграфе 2.2 показали общую закономерность: экономики с более высоким уровнем цифровой зрелости проходили кризисные периоды мягче и быстрее возвращались к росту. В этом параграфе наблюдение проверяется количественно с использованием эконометрической модели на панельных данных. Количественная проверка выдвинутых гипотез проведена на несбалансированной панели 49 стран за период 2010-2024 годов с использованием данных Всемирного банка (</w:t>
      </w:r>
      <w:r w:rsidRPr="000E5726">
        <w:rPr>
          <w:rFonts w:ascii="Times New Roman" w:hAnsi="Times New Roman" w:cs="Times New Roman"/>
          <w:sz w:val="28"/>
          <w:szCs w:val="28"/>
        </w:rPr>
        <w:t>World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Indicators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Исследование строится на двух гипотезах. Основная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₁)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предполагает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экономики, выраженный через долю интернет-пользователей, положительно связан с ВВП на душу населения и может смягчать негативное влияние глоб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>альных кризисов. Вспомогательный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₂) состоит в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сила и статистическая значимость этого эффе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кта различаются между тремя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групами</w:t>
      </w:r>
      <w:proofErr w:type="spellEnd"/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стран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развитыми, переходными и развивающимися экономиками.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Выборка вк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лючает 49 стран,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классифицирова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три группы в соответствии с критериями Всемирного банка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методологией ЮНКТАД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: 22 развитых экономики ОЭСР с высоким доходом (ВВП на душу свыше 25 тысяч долларов в ценах 2015 года), 16 переходных экономик (постсоветские и постсоциалистические страны со средним доходом, включая Эстонию, Польшу, Казахстан и Турцию)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11 развивающихся экономик с низким и нижне-средним доходом (включая Узбекистан, Китай, Индию, Бразилию). После исключения наблюдений с пропущенными значениями итоговая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панель содержит 707 наблюдении,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330 - по группе развитых стран, 233 - по переходным экономикам и 144 - по развивающимся.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Зависимая переменная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натуральный логарифм ВВП на душу населения в постоянных ценах 2015 года (</w:t>
      </w:r>
      <w:r w:rsidRPr="000E5726">
        <w:rPr>
          <w:rFonts w:ascii="Times New Roman" w:hAnsi="Times New Roman" w:cs="Times New Roman"/>
          <w:sz w:val="28"/>
          <w:szCs w:val="28"/>
        </w:rPr>
        <w:t>NY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GDP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PCAP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KD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Основной регрессор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логарифм доли интернет-пользователей (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USER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). Контрольные переменные включают ло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гарифм валового накопления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осно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капитала (</w:t>
      </w:r>
      <w:r w:rsidRPr="000E5726">
        <w:rPr>
          <w:rFonts w:ascii="Times New Roman" w:hAnsi="Times New Roman" w:cs="Times New Roman"/>
          <w:sz w:val="28"/>
          <w:szCs w:val="28"/>
        </w:rPr>
        <w:t>NE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FTOT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инфляцию (</w:t>
      </w:r>
      <w:r w:rsidRPr="000E5726">
        <w:rPr>
          <w:rFonts w:ascii="Times New Roman" w:hAnsi="Times New Roman" w:cs="Times New Roman"/>
          <w:sz w:val="28"/>
          <w:szCs w:val="28"/>
        </w:rPr>
        <w:t>FP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CPI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TOTL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безработицу (</w:t>
      </w:r>
      <w:r w:rsidRPr="000E5726">
        <w:rPr>
          <w:rFonts w:ascii="Times New Roman" w:hAnsi="Times New Roman" w:cs="Times New Roman"/>
          <w:sz w:val="28"/>
          <w:szCs w:val="28"/>
        </w:rPr>
        <w:t>SL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UEM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TOTL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долю экспорта высокотехнологичных товаров (</w:t>
      </w:r>
      <w:r w:rsidRPr="000E5726">
        <w:rPr>
          <w:rFonts w:ascii="Times New Roman" w:hAnsi="Times New Roman" w:cs="Times New Roman"/>
          <w:sz w:val="28"/>
          <w:szCs w:val="28"/>
        </w:rPr>
        <w:t>TX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VAL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TECH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MF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Кризисные периоды идентифицированы через две раздельные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-переменные: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(2020 год) и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(2022 год). Включение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воляет тестировать гипотезу о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ференциальном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антикризисном эффекте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Спецификация модели оценивается отдельно для каждой из трёх групп стран.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Описательная статистика по группам стран представлена в таблице 2.2 и показывает заметные различия по основным переменным модели. Средний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логарифм ВВП на душу населения составляет 10,694 в группе развитых стран, 9,153 в пере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ходных и 8,480 в развивающихся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соответствует примерно 44 000, 9 400 и 4 800 долларов соответственно. Средний уровень интернет-проникновения равен 86,8%, 72,4% и 55,6%, а средняя инфляция в развивающихся экономиках (4,76%) заметно выше чем в развитых странах (2,06%). Распределение переменных на рисунке 2.3 в виде диаграмм раз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маха также подтверждает различие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группами и обосновывает необходимость раздельного эконометрического анализа.</w:t>
      </w:r>
    </w:p>
    <w:p w:rsidR="00C02A16" w:rsidRPr="000E5726" w:rsidRDefault="0027301E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2.2</w:t>
      </w:r>
      <w:r>
        <w:rPr>
          <w:rFonts w:ascii="Times New Roman" w:hAnsi="Times New Roman" w:cs="Times New Roman"/>
          <w:sz w:val="28"/>
          <w:szCs w:val="28"/>
          <w:lang w:val="ru-RU"/>
        </w:rPr>
        <w:t>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Описательная статистика основных переменных модели по группам стран Источник: составлено автором на основе данных Всемирного банка и результатов обработки в </w:t>
      </w:r>
      <w:r w:rsidR="00C02A16" w:rsidRPr="000E5726">
        <w:rPr>
          <w:rFonts w:ascii="Times New Roman" w:hAnsi="Times New Roman" w:cs="Times New Roman"/>
          <w:sz w:val="28"/>
          <w:szCs w:val="28"/>
        </w:rPr>
        <w:t>R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2A16" w:rsidRPr="000E5726">
        <w:rPr>
          <w:rFonts w:ascii="Times New Roman" w:hAnsi="Times New Roman" w:cs="Times New Roman"/>
          <w:sz w:val="28"/>
          <w:szCs w:val="28"/>
        </w:rPr>
        <w:t>Studio</w:t>
      </w:r>
      <w:r w:rsidR="00E23D0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27301E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 2.3 - </w:t>
      </w:r>
      <w:r w:rsidR="00C02A16" w:rsidRPr="000E5726">
        <w:rPr>
          <w:rFonts w:ascii="Times New Roman" w:hAnsi="Times New Roman" w:cs="Times New Roman"/>
          <w:sz w:val="28"/>
          <w:szCs w:val="28"/>
        </w:rPr>
        <w:t>Boxplot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-распределение переменных эконометрической модели по группам стран Источник: составлено автором на основе результатов эконометрического моделирования в </w:t>
      </w:r>
      <w:r w:rsidR="00C02A16" w:rsidRPr="000E5726">
        <w:rPr>
          <w:rFonts w:ascii="Times New Roman" w:hAnsi="Times New Roman" w:cs="Times New Roman"/>
          <w:sz w:val="28"/>
          <w:szCs w:val="28"/>
        </w:rPr>
        <w:t>R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2A16" w:rsidRPr="000E5726">
        <w:rPr>
          <w:rFonts w:ascii="Times New Roman" w:hAnsi="Times New Roman" w:cs="Times New Roman"/>
          <w:sz w:val="28"/>
          <w:szCs w:val="28"/>
        </w:rPr>
        <w:t>Studio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Необходимость раздельной оценки по группам стран подтверждается тестом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оу</w:t>
      </w:r>
      <w:proofErr w:type="spellEnd"/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на структурную однородность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результаты представлены в таблице 2.3. Значение 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-статистики составило 5,3377 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 = 18;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 = 631;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что позволяет отвергнуть нулев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ую гипотезу об одинаковости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коэ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фициентов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тремя группами стран на уровне значимости менее 0,001. Иными словами, оценка единой модели по всей выборке дала бы смещён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ную интерпретацию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резултатов</w:t>
      </w:r>
      <w:proofErr w:type="spellEnd"/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параметры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экономический рост реально различаются между развитыми, переходными и развивающимися экономиками.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Таблица 2.3 - Результаты теста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структурную однородность между группами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Выбор между моделями с фиксированными (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случайными (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эффектами был сделан на основе теста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дополнительной теоретической аргументации. Формальный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группы развитых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стран (</w:t>
      </w:r>
      <w:r w:rsidRPr="000E5726">
        <w:rPr>
          <w:rFonts w:ascii="Times New Roman" w:hAnsi="Times New Roman" w:cs="Times New Roman"/>
          <w:sz w:val="28"/>
          <w:szCs w:val="28"/>
        </w:rPr>
        <w:t>χ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4,576;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0,87) и переходных экономик (</w:t>
      </w:r>
      <w:r w:rsidRPr="000E5726">
        <w:rPr>
          <w:rFonts w:ascii="Times New Roman" w:hAnsi="Times New Roman" w:cs="Times New Roman"/>
          <w:sz w:val="28"/>
          <w:szCs w:val="28"/>
        </w:rPr>
        <w:t>χ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1,363;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0,998) указывает на допустимость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-модели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0"/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группе развивающихся экономик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-модель не была идентифициро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>вана из-за сингулярной матрицы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связано с небольшим размером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144 наблюдения на 11 стран при 9 переменных. Тем не менее во всех трёх группах используется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-модель. Во-первых, это обеспечивает сопоставимость результатов между группами. Во-вт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орых,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страновая</w:t>
      </w:r>
      <w:proofErr w:type="spellEnd"/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гетерогенность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качество институтов, географическое положение, ис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торическая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трайктория</w:t>
      </w:r>
      <w:proofErr w:type="spellEnd"/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развития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высокой вероятностью коррелирует с уровнем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что делает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состоятельным, а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несостоятельным. В-третьих, диагностика остатков показала чувствительность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теста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к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гетероскедасте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что может завышать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value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В-четвёртых, в панельных исследованиях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межстрановых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различий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модель с фиксированными эффектами является более надёжным выбором.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Диагностика остатков проводилась отдельно для каждой группы стран.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Бройша-Пагана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выявил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гетероскедастичность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группах развитых экономик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87,210;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5,9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переходных экономик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38,888;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1,21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тогда как в группе развивающихся стран гомоскедастичность не отвергается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11,790;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0,225).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Вулдриджа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показал наличие серийной автокорреляции во всех трёх группах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2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¹⁶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Выявленная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гетероскедастичность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автокорреляция обосновывают применение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кластеризованных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странам стандартных ошибок </w:t>
      </w:r>
      <w:r w:rsidRPr="000E5726">
        <w:rPr>
          <w:rFonts w:ascii="Times New Roman" w:hAnsi="Times New Roman" w:cs="Times New Roman"/>
          <w:sz w:val="28"/>
          <w:szCs w:val="28"/>
        </w:rPr>
        <w:t>HC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1 во всех спецификациях модели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1"/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Итоговые результаты оценки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-моделей представлены в таблице 2.4.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Таблица 2.4 - Результаты оценки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-моделей по группам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Результаты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 для группы развитых стран (22 страны, 330 наблюдений)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влияет как на общий уровень экономического роста, так и на реакцию экономики в кризисные периоды.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 = 0,050)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указывает на положительную эластичность: рост интернет-проникновения на 1% связан с увеличением ВВП на душу населения примерно на 0,21% при прочих равных условиях.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равен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-1,7942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0,002), что отражает значительное отрицательное воздействие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шока. При этом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статистически значим: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0,3940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 = 0,003)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говорит о смягчающей роли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период пандемии.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Аналогично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, interaction term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также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значим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: β = 0,3943 (p = 0,020).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развитых странах более высокий уровень интернет-проникновения был связан с меньшим негативным эффектом кризисов 2020 и 2022 годов.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группы переходных экономик (16 стран, 233 наблюдения)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наиболее выраженным: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Рост интернет-проникновения на 1% связан с увеличением ВВП на душу населения примерно на 0,31% при прочих равных условиях. Однако 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незначимы: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0,1105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0,661),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-0,1252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0,456).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Иными словами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переходных экономиках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скорее устойчивым фактором роста чем подтверждённым антикризисным буфером. Отрицательный знак коэффициента при геополитическом кризисе может быт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ь связан со спецификой </w:t>
      </w:r>
      <w:proofErr w:type="gramStart"/>
      <w:r w:rsidR="008453F5">
        <w:rPr>
          <w:rFonts w:ascii="Times New Roman" w:hAnsi="Times New Roman" w:cs="Times New Roman"/>
          <w:sz w:val="28"/>
          <w:szCs w:val="28"/>
          <w:lang w:val="ru-RU"/>
        </w:rPr>
        <w:t>выборки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она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включает страны непосредственно затронутые шоком 2022 года, когда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могла компенсировать структурные потери от разрыва торговых и энергетических цепочек.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группы развивающихся экономик включающей Узбекистан (11 стран, 144 наблюдения),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также положителен 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статистически значим: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Рост интернет-проникновения на 1% связан с увеличением ВВП на душу населения примерно на 0,20% при прочих равных условиях. При этом 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453F5">
        <w:rPr>
          <w:rFonts w:ascii="Times New Roman" w:hAnsi="Times New Roman" w:cs="Times New Roman"/>
          <w:sz w:val="28"/>
          <w:szCs w:val="28"/>
          <w:lang w:val="ru-RU"/>
        </w:rPr>
        <w:t>незначимыж</w:t>
      </w:r>
      <w:proofErr w:type="spellEnd"/>
      <w:r w:rsidR="008453F5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0,0184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0,697),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0,0457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0,641). Такой результат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при текущем уровне цифровой зрелости развивающихся экономик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уже поддерживает рост, но антикризисного эффекта пока не даёт. Для Узбекистана это означает конкретное: расширение цифрового доступа само по себе работает на рост, но для смягчения внешних шоков нужен более высокий 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уровень цифровой инфраструктуры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институциональной интеграции и реального использования технологий в бизнесе. Дополнительно стоит учитывать огра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ничение статистической мощности,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144 наблюдения на 11 стран при 9 переменных снижают вероятность выявления слабых эффектов.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Визуальное сопоставление интернет-проникновения и ВВП на душу населения в кризисные годы представлено на рисунке 2.4. Рисунок дополняет результаты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-моделей: развитые экономики находятся в зоне высоких значений обоих показателей, тогда как переходные и развивающиеся страны демонстрируют более неоднородную траекторию.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2.4 - Взаимосвязь между уровнем интернет-проникновения и ВВП на душу населения в кризисные годы по группам стран Источник: составлено автором на основе результатов эконометрического моделирования в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Полученные коэффициенты позволяют построить условные прогнозные сценарии и сравнить потенциальный эф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фект дальнейшего роста </w:t>
      </w:r>
      <w:proofErr w:type="spellStart"/>
      <w:r w:rsidR="008453F5">
        <w:rPr>
          <w:rFonts w:ascii="Times New Roman" w:hAnsi="Times New Roman" w:cs="Times New Roman"/>
          <w:sz w:val="28"/>
          <w:szCs w:val="28"/>
          <w:lang w:val="ru-RU"/>
        </w:rPr>
        <w:t>интернет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проникновения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группами стран. Эти расчёты не являются полноценны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м макроэкономическим </w:t>
      </w:r>
      <w:proofErr w:type="gramStart"/>
      <w:r w:rsidR="008453F5">
        <w:rPr>
          <w:rFonts w:ascii="Times New Roman" w:hAnsi="Times New Roman" w:cs="Times New Roman"/>
          <w:sz w:val="28"/>
          <w:szCs w:val="28"/>
          <w:lang w:val="ru-RU"/>
        </w:rPr>
        <w:t>прогнозом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они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основаны на предположении </w:t>
      </w:r>
      <w:r w:rsidRPr="000E5726">
        <w:rPr>
          <w:rFonts w:ascii="Times New Roman" w:hAnsi="Times New Roman" w:cs="Times New Roman"/>
          <w:sz w:val="28"/>
          <w:szCs w:val="28"/>
        </w:rPr>
        <w:t>ceteris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paribus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показывают лишь относительный вклад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динамику ВВП на душу населения. Сводные прогнозные значения по трём группам стран на 2025-2030 годы представлены в таблице 2.5. Детальная интерпретация сценария для Узбекистана рассматривается в §3.3.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 2.5 - Прогноз ВВП на душу населения по группам стран на 2025-2030 годы (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-модели)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Проведённый эконометрический анализ на несбалансированной панели 49 стран за 2010-2024 годы (707 наблюдений) даёт несколько выводов. Основная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₁) подтверждается: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статистичес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ки значим во всех трёх группах 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0,212 для развитых,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0,309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 для развивающихся экономик. Вспомогательная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₂) также подтверждается -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отвергает однородность коэффициентов между группами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а антикризисные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значимы только для развитых стран: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Для переходных и развивающихся экономик такие эффекты статистически не подтверждаются. В развивающихся странах включая Узбекистан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 выступает прежде всего фактором роста, но не выполняет функцию макроэкономического стабилизатора. Полученны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е результаты создают </w:t>
      </w:r>
      <w:proofErr w:type="spellStart"/>
      <w:r w:rsidR="008453F5">
        <w:rPr>
          <w:rFonts w:ascii="Times New Roman" w:hAnsi="Times New Roman" w:cs="Times New Roman"/>
          <w:sz w:val="28"/>
          <w:szCs w:val="28"/>
          <w:lang w:val="ru-RU"/>
        </w:rPr>
        <w:t>количестве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ную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основу для практических рекомендаций, рассматриваемых в параграфах 3.2 и 3.3.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Выводы по второй главе. Анализ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>ация</w:t>
      </w:r>
      <w:proofErr w:type="spellEnd"/>
      <w:r w:rsidR="009450A1">
        <w:rPr>
          <w:rFonts w:ascii="Times New Roman" w:hAnsi="Times New Roman" w:cs="Times New Roman"/>
          <w:sz w:val="28"/>
          <w:szCs w:val="28"/>
          <w:lang w:val="ru-RU"/>
        </w:rPr>
        <w:t xml:space="preserve"> повышает устойчивость национальных экономик, однако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эффект зависит от типа кризиса и уровня цифровой зрелости. В 2020 году Эстония, Республика Корея, Сингапур и Польша показали более мягкое падение ВВП по 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>сравнению со средним по ЕС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связано с развитием цифрового государства, онлайн-сервисов и механизмов адресной поддержки. Кризис 2022 го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 xml:space="preserve">да показал пределы </w:t>
      </w:r>
      <w:proofErr w:type="spellStart"/>
      <w:r w:rsidR="009450A1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энергетические и геополитические шоки не компенсируются цифровыми технологиями даже при высокой цифровой зрелости. Эконометрика на панели 49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 xml:space="preserve"> стран подтвердила </w:t>
      </w:r>
      <w:proofErr w:type="spellStart"/>
      <w:r w:rsidR="009450A1">
        <w:rPr>
          <w:rFonts w:ascii="Times New Roman" w:hAnsi="Times New Roman" w:cs="Times New Roman"/>
          <w:sz w:val="28"/>
          <w:szCs w:val="28"/>
          <w:lang w:val="ru-RU"/>
        </w:rPr>
        <w:t>положительнуй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связь между интернет-проникновением и ВВП на душу населения: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для развитых экономик,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для развивающихся.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подтвердил структурные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различия между группами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Антикризисный буферный эффект выявлен только у развитых стран: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0,3940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0,3943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фактором роста во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всех группах, но функцию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макроо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кономического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стабилизатора начинает выполнять только при высоком уровне цифровой зрелости. Для Узбекистана вывод конкретный: расширение интернет-проникновения усиливает рост, но для антикризисного эффекта нужна более глубокая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частного сектора.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F647F9">
      <w:pPr>
        <w:pageBreakBefore/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ГЛАВА </w:t>
      </w:r>
      <w:r w:rsidRPr="000E5726">
        <w:rPr>
          <w:rFonts w:ascii="Times New Roman" w:hAnsi="Times New Roman" w:cs="Times New Roman"/>
          <w:b/>
          <w:sz w:val="28"/>
          <w:szCs w:val="28"/>
        </w:rPr>
        <w:t>III</w:t>
      </w: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. ИСПОЛЬЗОВАНИЕ МЕЖДУНАРОДНОГО ОПЫТА ЦИФРОВИЗАЦИИ В УСЛОВИЯХ РЕСПУБЛИКИ УЗБЕКИСТАН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3.1. Современное состояние цифровой трансформации экономики Узбекистана в рамках Стратегии «Цифровой Узбекистан - 2030»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анализ международного опыта из второй главы и модель пяти каналов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из первой главы позволяют перейти к оценке текущего состояния цифровой трансформации Республики Узбе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кистан. Задача этого </w:t>
      </w:r>
      <w:proofErr w:type="gramStart"/>
      <w:r w:rsidR="00F647F9">
        <w:rPr>
          <w:rFonts w:ascii="Times New Roman" w:hAnsi="Times New Roman" w:cs="Times New Roman"/>
          <w:sz w:val="28"/>
          <w:szCs w:val="28"/>
          <w:lang w:val="ru-RU"/>
        </w:rPr>
        <w:t>параграфа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просто описать государственные программы, а охарактеризовать стартовую позицию национальной экономики по тем индикаторам которые использовались при анализе Эстонии, Республики Корея, Сингапура и Польши. Это обеспечивает методологическую сопоставимость и позволяет оценить возможности адаптации международного опыта к условиям Узбекистана.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F647F9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Стратегия «Цифровой Узбекистан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2030», утверждённая Указом Президента Республики Узбекистан № УП-6079 от 5 октября 2020 года, определяет основные ориентиры цифровой транс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формации национальной экономики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2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её 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мках в 2023-2024 годах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реализово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вались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программы «Цифровое правительство» и «Цифровой регион», включавшие 300 приоритетных проектов, из них 112 - в сфере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государственного управления, 51 - в сект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орах реальной экономики и 137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в области реги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ональной цифровой трансформации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Стратегия также устанавливае</w:t>
      </w:r>
      <w:r>
        <w:rPr>
          <w:rFonts w:ascii="Times New Roman" w:hAnsi="Times New Roman" w:cs="Times New Roman"/>
          <w:sz w:val="28"/>
          <w:szCs w:val="28"/>
          <w:lang w:val="ru-RU"/>
        </w:rPr>
        <w:t>т ряд количественных ориентиров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увеличение доли цифровой экономики в ВВП не менее чем в 2,5 раза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к 2026 году, расширение экспорта про</w:t>
      </w:r>
      <w:r>
        <w:rPr>
          <w:rFonts w:ascii="Times New Roman" w:hAnsi="Times New Roman" w:cs="Times New Roman"/>
          <w:sz w:val="28"/>
          <w:szCs w:val="28"/>
          <w:lang w:val="ru-RU"/>
        </w:rPr>
        <w:t>граммного обеспечения в 10 раз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до 500 млн долларов США, а также вхождение Узбекистана в число 30 ведущих стран мира по </w:t>
      </w:r>
      <w:r w:rsidR="00C02A16" w:rsidRPr="000E5726">
        <w:rPr>
          <w:rFonts w:ascii="Times New Roman" w:hAnsi="Times New Roman" w:cs="Times New Roman"/>
          <w:sz w:val="28"/>
          <w:szCs w:val="28"/>
        </w:rPr>
        <w:t>EGDI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к 2030 году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Эти ориентиры позволяют оценить насколько фактическая динамика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заявленным целям.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Оценка международного позиционирования Узбекистана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страна заметно продвинулась по ряду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композитных индексов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рассмотре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во второй главе. По данным </w:t>
      </w:r>
      <w:r w:rsidRPr="000E5726">
        <w:rPr>
          <w:rFonts w:ascii="Times New Roman" w:hAnsi="Times New Roman" w:cs="Times New Roman"/>
          <w:sz w:val="28"/>
          <w:szCs w:val="28"/>
        </w:rPr>
        <w:t>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Government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Survey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ООН за 2024 год, Узбекистан занял 63-е место среди 193 стран со значением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0,7999, поднявшись с 69-й позиции в 2022 году, когда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значение инде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кса составляло 0,7265, и впервые вошёл в группу стран с «о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чень высоким» уровнем развития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електронного</w:t>
      </w:r>
      <w:proofErr w:type="spellEnd"/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правительства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5"/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Тем самым целевой показатель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≥ 0,75, установленный Стратегией на 2025 год, был достигнут раньше срока. Одновременно Узбекистан поднялся на 37 позиций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Maturity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Всемирного банка и впервые вошёл в высшую категорию «</w:t>
      </w:r>
      <w:r w:rsidRPr="000E5726">
        <w:rPr>
          <w:rFonts w:ascii="Times New Roman" w:hAnsi="Times New Roman" w:cs="Times New Roman"/>
          <w:sz w:val="28"/>
          <w:szCs w:val="28"/>
        </w:rPr>
        <w:t>A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6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Индексе готовности к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искусствен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ому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интеллекту </w:t>
      </w:r>
      <w:r w:rsidRPr="000E5726">
        <w:rPr>
          <w:rFonts w:ascii="Times New Roman" w:hAnsi="Times New Roman" w:cs="Times New Roman"/>
          <w:sz w:val="28"/>
          <w:szCs w:val="28"/>
        </w:rPr>
        <w:t>Oxford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Insights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страна улучшила позиции: с 87-го места в 2023 году до 70-го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в 2024 году и 62-го в 2025 году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Вместе с тем разрыв с цифровыми лидерами сохраняется: по сравнению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Эстонией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занявшей 2-е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2024, отставание Узбекистана составляет 0,1728 пункта индекса и 61 позицию рейтинга.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Сост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ояние цифровой инфраструктуры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базовое условие для реализации пяти кана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лов влияния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усту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йчивость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экономики. В Узбекистане наблюдается расширение сетевой связности, однако по отдельным качественным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lastRenderedPageBreak/>
        <w:t>параметрам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прежде всего скорости передачи данных и развитию фиксированного широкополосно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го доступа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отставание. К началу 2023 года протяжённость волоконно-оптических линий связи в Узбекистане превысила 227 тыс. км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⁸⁸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2024 году покрытие сетями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достигло 97% населения, тогда как покрытие сетями 5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составило лишь 18%.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данным Международного союза эле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ктросвязи, уровень проникновение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интернета в Узбекистане в 2023 году достиг 89% населе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ния против 83,9% годом ранее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структу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ра доступа остаётся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преимуществу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нно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мобильной: подписка на активную мобильную широкополосную связь составила 107%, тогда как фиксированная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широкополосная подписка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30,3%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Согласно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Speedtest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Global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 началу 2025 года медианная скорость загрузки в фиксированной сети достигла 79 Мбит/с, увеличившись на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43% за год, а в мобильной сети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38 Мбит/с, увеличившись на 53%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2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целом Узбекистан уже сформировал базовую цифровую инфраструктуру, но следующий этап требует повы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шения качества связи, расширение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5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-покрытия и развития фиксированного широкополосного доступа.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Оценка ИКТ-сектора важна для анализа пятого канала - устойчивости самого сектора как отдельного компонента национальной экономики. В случае Узбекистана этот сектор растёт быстро, хотя его доля в структуре экономики пока остаётся сравнительно небольшой. По данным Агентства государственной статистики Республики Узбекистан, в 2024 году ВВП страны в текущих ценах составил 1 454,6 трлн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сумов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или 114,96 млрд долларов США, увеличивши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сь на 6,5% в реальном выражений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доля услуг информации и связи в валовой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доба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вленной стоимости достигла 2,4%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Внутри сектора основная часть добавленной стоимост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и приходится на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телекоммуникацие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услуги, компьютерное п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рограммирование и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консультацион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услуги, тогда как хостинг, обработка данных и разработка программного обеспечения занимают меньшую долю. Темп р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оста сектора информаций1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связи в 2024 году составил 24,7% в реальном выражении, что значительно превысило общий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темп роста ВВП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позволяет рассматриват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ь ИКТ-сектор как один из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наибол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динамичных элементов экономики. Вместе с тем сравнение со странами ОЭСР, где доля ВДС ИКТ-сектора в 2023 году в среднем составила 6,2%, показывает: Узбекистан пока находи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тся на раннем этапе формирование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экономики - высокие темпы роста сектора ещё не перешли в сопоставимую долю в ВДС.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Развитие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Узбекистана отражает формирование институциональной 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>базы для экспортно-</w:t>
      </w:r>
      <w:proofErr w:type="spellStart"/>
      <w:r w:rsidR="00C74BEF">
        <w:rPr>
          <w:rFonts w:ascii="Times New Roman" w:hAnsi="Times New Roman" w:cs="Times New Roman"/>
          <w:sz w:val="28"/>
          <w:szCs w:val="28"/>
          <w:lang w:val="ru-RU"/>
        </w:rPr>
        <w:t>ориентирован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ИКТ-сектора. Созданный в 2019 году, к концу 2024 года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объединял более 2 500 компаний-резиде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нтов и около 11 тыс. работников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Экспорт ИКТ-услуг увеличился с 50 млн долларов США в 2015 году до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344 млн долларов США в 2023 год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6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Оценки за 2024 год различаются в зависимости от источника и методологии учёта: в одних источниках указывается 620 млн долларов США, в 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 xml:space="preserve">других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1,15 млрд долларов США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важнее учитывать не отдельную оценку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 xml:space="preserve">, а общую динамику: экспорт ИКТ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услуг показывает устойчивый рост что подтверждает усиление роли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институционального центра цифровой экономики Узбекистана.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Ц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>ифровизация</w:t>
      </w:r>
      <w:proofErr w:type="spellEnd"/>
      <w:r w:rsidR="00C74BEF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финансовой системы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одно из наиболее быстро развивающихся направлений цифровой трансформации Узбекистана. Она создаёт основу для канала фискальной трансмиссии. По данным отчёта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Mastercard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Pr="000E5726">
        <w:rPr>
          <w:rFonts w:ascii="Times New Roman" w:hAnsi="Times New Roman" w:cs="Times New Roman"/>
          <w:sz w:val="28"/>
          <w:szCs w:val="28"/>
        </w:rPr>
        <w:t>Fintech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Market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Uzbekistan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» за 2023 год, число пользователей удалённых банковских услуг увеличилось с примерно 8 млн человек в 2018 год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у до 30 млн человек в 2022 году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8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2020-2022 годах объём транзакций через системы </w:t>
      </w:r>
      <w:r w:rsidRPr="000E5726">
        <w:rPr>
          <w:rFonts w:ascii="Times New Roman" w:hAnsi="Times New Roman" w:cs="Times New Roman"/>
          <w:sz w:val="28"/>
          <w:szCs w:val="28"/>
        </w:rPr>
        <w:t>QR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-онлайн рос в среднем на 119% в год, а совокупная стоимость операци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й увеличилась примерно в 15 раз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9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началу 2024 года в обращении находилось более 5,6 млн держателей платёжных карт, число клиентов интернет-банкинга превысило 900 тыс., а на 100 тыс. населения приходилось 28,3 банкомата и 552,5 </w:t>
      </w:r>
      <w:r w:rsidRPr="000E5726">
        <w:rPr>
          <w:rFonts w:ascii="Times New Roman" w:hAnsi="Times New Roman" w:cs="Times New Roman"/>
          <w:sz w:val="28"/>
          <w:szCs w:val="28"/>
        </w:rPr>
        <w:t>POS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-терминала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Совокупный объём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транзакциии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межбанковскую систему в 2024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году превысил 7 279 трлн </w:t>
      </w:r>
      <w:proofErr w:type="spellStart"/>
      <w:r w:rsidR="00302040">
        <w:rPr>
          <w:rFonts w:ascii="Times New Roman" w:hAnsi="Times New Roman" w:cs="Times New Roman"/>
          <w:sz w:val="28"/>
          <w:szCs w:val="28"/>
          <w:lang w:val="ru-RU"/>
        </w:rPr>
        <w:t>сумов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Эти данные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цифровые финансы в Узбекистане уже формируют инфраструктурную базу для более быстрой передачи государственных выплат, поддержк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и бизнеса и антикризисных мер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во второй главе рассматривалось на примере Сингапура и Республики Корея.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Систематизация рассмотренных показателей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цифровая трансформация Узбекистана развивается неравномерно. С одной стороны, страна заметно продвинулась в развитии цифрового государства, базовой инфр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аструктуры и цифровых финансов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подтверждается международными индексами и ростом использования онлайн-сервисов.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другой стороны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раняется отставание по доле ИКТ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сектора в валовой добавленной стоимости и по распространению продвинутых цифровых технологий среди предприятий.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В этом смысле Узбекистан близок к польской модели «конвергенции с ограничениями» из §2.1: при активном развитии государст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венных цифровых сервисов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сохране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разрыв в цифровой зрелости частного сектора. Возможности сокращения этой асимметрии на основе адаптации международного опыта рассматриваются в следующем параграфе.</w:t>
      </w:r>
    </w:p>
    <w:p w:rsidR="00E23D01" w:rsidRDefault="00E23D01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3.2. Адаптация международного опыта цифровой трансформации к условиям Республики Узбекистан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Результаты эконометрического анализа из параграфа 2.3 и сравнительный анализ четырёх стран-лидеров позволяют перейти к оценке того, какой международный опыт может быть адаптирован к условиям Узбекистана. В этом параграфе адаптация понимается не как прямое копирование отдельных инструментов, а как выборочное использование институциональных решений с учётом стартовых условий национальной экономики рассмотренных в параграфе 3.1.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Отправной точкой является результат из §2.3: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5,34;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подтвердил статистически значимые различия между развитыми, переходными и развивающимися экономиками. Узбекистан, согласно классификации Всемирного банка </w:t>
      </w:r>
      <w:r w:rsidRPr="000E5726">
        <w:rPr>
          <w:rFonts w:ascii="Times New Roman" w:hAnsi="Times New Roman" w:cs="Times New Roman"/>
          <w:sz w:val="28"/>
          <w:szCs w:val="28"/>
        </w:rPr>
        <w:t>lower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middle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income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методологии ЮНКТАД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относится к группе развивающихся экономик, включающей 11 стран и 144 наблюдения. В этой группе коэффициент при основном регрессоре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) - это показывает положительную связь между интернет-проникновением и ВВП на душу населения: рост доли интернет-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пользователей на 1% ассоциируется с увеличением ВВП на душу населения примерно на 0,20%.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Однако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группе развивающихся экономик оказались статистически незначимыми: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0,0184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0,697),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0,0457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0,641). Это означает что при текущем уровне цифровой зрелости Узбекистана цифровые технологии поддерживают рост в обычных условиях, но пока не дают устойчивого буферного эффекта при внешних шоках. Стратегическая задача Узбекистана поэтому состоит не только в расширении цифрового доступа, но и в превращении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полноценный инструмент антикризисной устойчивости.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развитых экономиках (22 страны, 330 наблюдений) антикризисный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статистически значимым.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Коэффициент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Crisis_COVID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составил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β = 0,394 (p = 0,003), 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- β = 0,394 (p = 0,020).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развитых странах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не только функцию фактора роста, но и роль макроэкономического стабилизатора в период внешних шоков. Для Узбекистана этот результат задаёт стратегический ориентир: нужно достичь такого уровня цифровой зрелости при котором цифровые технологии смогу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т смягчать не только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транзакцио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ограничения, но и кризисные колебания экономической активности. Графическое сопоставление кризисных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группам стран представлено на рисунке 3.1.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3.1 - Дифференциальная эластичность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кризисные периоды по группам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моделей цифровой трансформации из §2.1 позволяет выделить элементы международного опыта полезные для Узбекистана. Эстонская модель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особый интерес, поскольку обеспечивает защищённый обмен данными между государственными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органами и частным сектором, усиливая канал фискальной трансмиссии и с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нижая административные издержки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Дополнительным преимуществом является открытая архитектура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что снижает барьеры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технологического заимствования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Вместе с тем прямое копирование эстонской модели невозможно из-за разницы в масштабе. Население Эстонии составляет около 1,3 млн человек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тогда как населени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Узбекистана превышает 36 мл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для Узбекистана важен не буквальный перенос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а адаптация её ключевых принципов -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защищённого обмена данными, открытой архитектуры и масштабируемости цифровой инфраструктуры. Более широкие различия между группами стран по уровню экономического р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азвития и интернет-проникновение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представлены на рисунке 3.2.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3.2 - Динамика </w:t>
      </w:r>
      <w:r w:rsidRPr="000E5726">
        <w:rPr>
          <w:rFonts w:ascii="Times New Roman" w:hAnsi="Times New Roman" w:cs="Times New Roman"/>
          <w:sz w:val="28"/>
          <w:szCs w:val="28"/>
        </w:rPr>
        <w:t>ln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GDPpc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0E5726">
        <w:rPr>
          <w:rFonts w:ascii="Times New Roman" w:hAnsi="Times New Roman" w:cs="Times New Roman"/>
          <w:sz w:val="28"/>
          <w:szCs w:val="28"/>
        </w:rPr>
        <w:t>ln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(интернет-проникновения) по группам стран за 2010-2024 годы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Корейская модель масштабного государственного инвестирования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релевантна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Узбекистана прежде всего с точки зр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ения институционального дизайна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8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Опыт Республики Корея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включение цифровых проектов в антикризисные бюджетные программы позволяет одноврем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енно поддерживать восстановления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создавать основу для долгосрочной устойчивости. Вместе с тем прямое воспроизведение корейской модели ограничено масштабом финансирования: объём средств на развитие ведущих цифровых технологий составил 10,1 трлн вон, или около 8,5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млрд долларов США. Поэтому для Узбекистана целесообразно заимствовать не м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асштаб расходов, а сам принцип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привязку программ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бюджетным циклам.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Польская модель имеет значение для Узбекистана в контексте преодоления асимметрии цифровой зрелости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выявленной в §3.1. Её ключевой урок в том что развитие цифрового государства должно сопровождаться целевыми мерами по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ции</w:t>
      </w:r>
      <w:proofErr w:type="spellEnd"/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малого и среднего бизнеса 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иначе возникает разрыв между государственными сервисами и частным сектором. В условиях Узбекис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тана такую функцию могут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выполне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программы Азиатского банка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Европейского банка реконструкции и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Всемирного банка, уже участвующие в финансировании проектов цифровой инфраструктуры.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Сингапурская модель наименее пригодна для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прямого переноса в Узбекистан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Сингапур является городом-государством площадью 728 км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тогда как Узбекистан занимает 448 тыс. км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имеет выраженную региональную дисперсию. Вместе с тем отдельны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е элементы сингапурского опыта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прежде всего система цифровой идентификации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SingPass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механизмы адресной фискально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й помощи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черезз</w:t>
      </w:r>
      <w:proofErr w:type="spellEnd"/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цифровые каналы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могут быть адаптированы для крупных городов Узбекистана, включая Ташкент, Самарканд и Бухару.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Синтез сравнительного и эконометрического анализа позволяет сформ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улировать общую рамку адаптации,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Узбекистана приоритетом должна стать не формальная максимизация композитных индексов цифровой зрелости, а развитие инфраструктур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ы канала фискальной трансмиссии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системы цифровой идентификации, интегрированных межведомственных баз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lastRenderedPageBreak/>
        <w:t>данных и цифровых платежей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Именно этот канал, как показано в §2.2, обеспечил высокую скорость развёртывания антикризисных программ в Сингапуре и Республике Ко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рея в период пандемии 2020 года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23D01" w:rsidRDefault="00E23D01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3.3. Практические рекомендации по укреплению цифровой устойчивости экономики Республики Узбекистан и оценка ожидаемого эффекта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Практические рекомендации этого параграфа опираются на три результата полученные в ходе исследования. Во-первых, в группе развивающихся экономик выявлена статистически значимая положительная связь между интернет-проникновением и ВВП на душу населения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Во-вторых, в этой же группе не подтверждён самостоятельный антикризисный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В-третьих, такой эффект выявлен в группе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0,003). Поэтому рекомендации имеют двухуровневую логику: первый уровень - усиление прямого эффекта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как фактора роста, </w:t>
      </w:r>
      <w:proofErr w:type="gramStart"/>
      <w:r w:rsidR="00F74968">
        <w:rPr>
          <w:rFonts w:ascii="Times New Roman" w:hAnsi="Times New Roman" w:cs="Times New Roman"/>
          <w:sz w:val="28"/>
          <w:szCs w:val="28"/>
          <w:lang w:val="ru-RU"/>
        </w:rPr>
        <w:t>второй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создание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институциональных условий для перехода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функции макроэкономического стабилизатора.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Первая рекомендация - дальнейшее расширение интернет-проникновения как о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сновного показателя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цифровизаций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использованного в модели. По данным Международного союза эле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ктросвязи, уровень проникновение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интернета в Узбекистане в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2023 году достиг 89% населения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Прогнозный сценарий на основе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-модели для группы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разв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вающихся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 показывает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количественный эффект дальнейшего роста: при достижении уровня интернет-проникновения 90% прогнозный ВВП на душу населения составит примерно 3 653 доллара США в постоянных ценах 20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15 года, а при достижении 95%</w:t>
      </w:r>
      <w:r w:rsidR="00386D9A">
        <w:rPr>
          <w:rFonts w:ascii="Times New Roman" w:hAnsi="Times New Roman" w:cs="Times New Roman"/>
          <w:sz w:val="28"/>
          <w:szCs w:val="28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около 3 693 долларов США. Соответствующий сценарий представлен на рисунке 3.3.</w:t>
      </w:r>
    </w:p>
    <w:p w:rsidR="00C02A16" w:rsidRPr="000E5726" w:rsidRDefault="00386D9A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3.3</w:t>
      </w:r>
      <w:r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Прогнозный сценарий ВВП на душу населения для Узбекистана при росте интернет-проникновения Источник: составлено автором на основе результатов эконометрического моделирования в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Сопоставление с базовым модельным уровнем 3 569 долларов при 80-процентном интернет-проникновении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дальнейшее расширение цифрового доступа может дать прирост порядка 84-124 долларов на душу населения. При численности населения свыше 36 млн человек это соответствует совокупному макроэкономическому эффекту примерно 3,0-4,5 м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лрд долларов США. При этом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допо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нительный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эффект перехода от 90% к 95% интернет-проникновения составляет около 40 долларов США на душу населения, или примерно 1,4 млрд долларов США в масштабе экономики. Эти оценки условны и основ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аны </w:t>
      </w:r>
      <w:proofErr w:type="gramStart"/>
      <w:r w:rsidR="00386D9A">
        <w:rPr>
          <w:rFonts w:ascii="Times New Roman" w:hAnsi="Times New Roman" w:cs="Times New Roman"/>
          <w:sz w:val="28"/>
          <w:szCs w:val="28"/>
          <w:lang w:val="ru-RU"/>
        </w:rPr>
        <w:t>на предположений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ceteris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paribus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; более точная оценка доверительных интервалов для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-прогнозов требует </w:t>
      </w:r>
      <w:r w:rsidRPr="000E5726">
        <w:rPr>
          <w:rFonts w:ascii="Times New Roman" w:hAnsi="Times New Roman" w:cs="Times New Roman"/>
          <w:sz w:val="28"/>
          <w:szCs w:val="28"/>
        </w:rPr>
        <w:t>bootstrap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-процедуры, что выходит за рамки этой работы. Детальные прогнозные значения по го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дам представлены в таблице 3.1.</w:t>
      </w:r>
    </w:p>
    <w:p w:rsidR="00C02A16" w:rsidRPr="000E5726" w:rsidRDefault="00386D9A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 3.1 -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Прогноз ВВП на душу населения для Узбекистана на 2025-2030 годы (</w:t>
      </w:r>
      <w:r w:rsidR="00C02A16" w:rsidRPr="000E5726">
        <w:rPr>
          <w:rFonts w:ascii="Times New Roman" w:hAnsi="Times New Roman" w:cs="Times New Roman"/>
          <w:sz w:val="28"/>
          <w:szCs w:val="28"/>
        </w:rPr>
        <w:t>FE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-модель, </w:t>
      </w:r>
      <w:r w:rsidR="00C02A16" w:rsidRPr="000E5726">
        <w:rPr>
          <w:rFonts w:ascii="Times New Roman" w:hAnsi="Times New Roman" w:cs="Times New Roman"/>
          <w:sz w:val="28"/>
          <w:szCs w:val="28"/>
        </w:rPr>
        <w:t>ceteris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2A16" w:rsidRPr="000E5726">
        <w:rPr>
          <w:rFonts w:ascii="Times New Roman" w:hAnsi="Times New Roman" w:cs="Times New Roman"/>
          <w:sz w:val="28"/>
          <w:szCs w:val="28"/>
        </w:rPr>
        <w:t>paribus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Источник: составлено автором на основе результатов эконометрического моделирования в </w:t>
      </w:r>
      <w:r w:rsidR="00C02A16" w:rsidRPr="000E5726">
        <w:rPr>
          <w:rFonts w:ascii="Times New Roman" w:hAnsi="Times New Roman" w:cs="Times New Roman"/>
          <w:sz w:val="28"/>
          <w:szCs w:val="28"/>
        </w:rPr>
        <w:t>R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2A16" w:rsidRPr="000E5726">
        <w:rPr>
          <w:rFonts w:ascii="Times New Roman" w:hAnsi="Times New Roman" w:cs="Times New Roman"/>
          <w:sz w:val="28"/>
          <w:szCs w:val="28"/>
        </w:rPr>
        <w:t>Studio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386D9A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Сравнение тре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х сценариев роста интернет-проникновения и связанной с ними динамик</w:t>
      </w:r>
      <w:r>
        <w:rPr>
          <w:rFonts w:ascii="Times New Roman" w:hAnsi="Times New Roman" w:cs="Times New Roman"/>
          <w:sz w:val="28"/>
          <w:szCs w:val="28"/>
          <w:lang w:val="ru-RU"/>
        </w:rPr>
        <w:t>и ВВП на душу население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представлено на рисунке 3.4.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Рисунок 3.4 - Прогноз ВВП на душу населения для Узбекистана по трём сценариям на 2025-2030 годы Источник: составлено автором на основе результатов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 эконометрического моделирование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Вторая реком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ендация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преодоление асимметрии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цифровой зрелости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выявленной в §3.1, то есть разрыва между развитием государственных цифровых сервисов и более ограниченной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частного сектора. Эконометрический анализ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 группе развивающихся экономик экспорт высокотехнологичных товаров пока не является статистически значимым фактором роста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hightech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-0,0013;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0,835), тогда как в группе развитых стран его вклад положителен и значим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hightech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0,0067;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0,027). Это указывает на то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предприятий в Узбекистане пока не достигла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уровня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котором она транслируется в структурную диверсификацию э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кспорта. В практическом плане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комендуется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расширение программ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Uzbekistan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направлении поддержки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лей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текстильной промышленности, агропромышл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енного комплекса,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горнодобычи</w:t>
      </w:r>
      <w:proofErr w:type="spellEnd"/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а не только экспорт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но-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ориентирован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ого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ИТ-сектора.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Третья рекомендация касается развития инфраструктуры канала фискальной трансмиссии. Как показал анализ параграфа 2.2, антикризисная скорость Сингапура и Республики Корея в 2020 году определялась не столько общим масштабом цифровой экономики, сколько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наличием трёх базовых элементов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системы цифровой идентификаци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и, интегрированных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межведомстве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баз данных и инфраструктуры мгновенных цифровых платежей. В Узбекистане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первый элемент уже формируется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; второй находится на ранней стадии; третий демонстрирует быстрый рост: объём </w:t>
      </w:r>
      <w:r w:rsidRPr="000E5726">
        <w:rPr>
          <w:rFonts w:ascii="Times New Roman" w:hAnsi="Times New Roman" w:cs="Times New Roman"/>
          <w:sz w:val="28"/>
          <w:szCs w:val="28"/>
        </w:rPr>
        <w:t>QR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-транзакций увеличивался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на 119% в год в 2020-2022 годах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7"/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. Рекомендуется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ускореннуе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завершение интеграции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межведомственными базами данных по модели эстонской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создаст технологическую основу для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адресного и быстрого развёртывания антикризисных прог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рамм при будущих внешних шоках.</w:t>
      </w:r>
    </w:p>
    <w:p w:rsidR="00C02A16" w:rsidRPr="000E5726" w:rsidRDefault="00386D9A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Четвёртая рекомендация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учёт типа кризиса при проектировании цифровой устойчивости. Эконометрический анализ показал различие между двумя видами шоков: при пандемии </w:t>
      </w:r>
      <w:r w:rsidR="00C02A16" w:rsidRPr="000E5726">
        <w:rPr>
          <w:rFonts w:ascii="Times New Roman" w:hAnsi="Times New Roman" w:cs="Times New Roman"/>
          <w:sz w:val="28"/>
          <w:szCs w:val="28"/>
        </w:rPr>
        <w:t>COVID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-19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дала статистически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значимый буферный эффект в группе развитых стран (</w:t>
      </w:r>
      <w:r w:rsidR="00C02A16" w:rsidRPr="000E5726">
        <w:rPr>
          <w:rFonts w:ascii="Times New Roman" w:hAnsi="Times New Roman" w:cs="Times New Roman"/>
          <w:sz w:val="28"/>
          <w:szCs w:val="28"/>
        </w:rPr>
        <w:t>p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тогда как при геополитическом кризисе 2022 года её эффект оказался менее универсальным. Для группы переходных экономик коэффициент </w:t>
      </w:r>
      <w:r w:rsidR="00C02A16" w:rsidRPr="000E5726">
        <w:rPr>
          <w:rFonts w:ascii="Times New Roman" w:hAnsi="Times New Roman" w:cs="Times New Roman"/>
          <w:sz w:val="28"/>
          <w:szCs w:val="28"/>
        </w:rPr>
        <w:t>interaction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2A16" w:rsidRPr="000E5726">
        <w:rPr>
          <w:rFonts w:ascii="Times New Roman" w:hAnsi="Times New Roman" w:cs="Times New Roman"/>
          <w:sz w:val="28"/>
          <w:szCs w:val="28"/>
        </w:rPr>
        <w:t>term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геополитическом кризисе отрицателен, но статистически незначим (</w:t>
      </w:r>
      <w:r w:rsidR="00C02A16" w:rsidRPr="000E5726">
        <w:rPr>
          <w:rFonts w:ascii="Times New Roman" w:hAnsi="Times New Roman" w:cs="Times New Roman"/>
          <w:sz w:val="28"/>
          <w:szCs w:val="28"/>
        </w:rPr>
        <w:t>β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-0,1252; </w:t>
      </w:r>
      <w:r w:rsidR="00C02A16" w:rsidRPr="000E5726">
        <w:rPr>
          <w:rFonts w:ascii="Times New Roman" w:hAnsi="Times New Roman" w:cs="Times New Roman"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= 0,456)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отражает ограниченную способность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компенсировать потери от разрыва торговых и энергетических цепочек. Для Узбекистана это означает что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стоит рассматривать </w:t>
      </w:r>
      <w:proofErr w:type="gram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прежде всего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инструмент противодействия шокам мобильнос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 и информационной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ассиметрии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пандемиям, логистическим сбоям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административным ограничениям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но не как замену политике энергетической безопасности и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sz w:val="28"/>
          <w:szCs w:val="28"/>
          <w:lang w:val="ru-RU"/>
        </w:rPr>
        <w:t>иверсификаций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внешней торговли.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Пятая рекомендация связана с ограничением статистической мощности модели для группы развивающихся экономик. В этой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использовались 144 наблюдения что снижает вероятность выявления слабых эффектов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кризисные периоды. Поэтому незначимость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 может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об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ясняться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отсутствием антикризисног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о эффекта, но и ограниченным объе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мом данных. В связи с этим рекомендуется организация систематического мониторинга показателей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экономической устойчивости Узбекистана в рамках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 Стратегии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периодической повторной оценкой эконометрической модели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мере накопления данных. Включение Узбекистана в международные панельные базы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повысит сопоставимость результатов и позволит 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намного точно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отслеживать его сближение с группой переходных экономик, где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рост выражен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 более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сильнее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0,309;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E872C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Обобщение 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тех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пяти рекомендаций позволяет определить последовательность приоритетов. На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первом этапе (2025-2027 </w:t>
      </w:r>
      <w:proofErr w:type="gramStart"/>
      <w:r w:rsidR="00386D9A">
        <w:rPr>
          <w:rFonts w:ascii="Times New Roman" w:hAnsi="Times New Roman" w:cs="Times New Roman"/>
          <w:sz w:val="28"/>
          <w:szCs w:val="28"/>
          <w:lang w:val="ru-RU"/>
        </w:rPr>
        <w:t>годы)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завершить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формирование инфрас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труктуры фискальной трансмиссии,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интегрировать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межведомственными базами данных, расширить инфраструктуру цифровых платежей и довести интернет-проникновение до 90%. На втором этапе (2027-2030 годы) основное внимание должно быть направлено на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ого сектора и сокращение разрывов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государст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венными онлайн-сервисами и </w:t>
      </w:r>
      <w:proofErr w:type="spellStart"/>
      <w:r w:rsidR="00114396">
        <w:rPr>
          <w:rFonts w:ascii="Times New Roman" w:hAnsi="Times New Roman" w:cs="Times New Roman"/>
          <w:sz w:val="28"/>
          <w:szCs w:val="28"/>
          <w:lang w:val="ru-RU"/>
        </w:rPr>
        <w:t>цифру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вой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зрелостью предприятий через целевые программы для малого и среднего бизнеса. На третьем этапе, после 2030 года, приоритет - достижение такого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сможет выполнять функцию макроэкономического стабилизатора аналогичную выявленной в группе развиты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х стран. Указанная </w:t>
      </w:r>
      <w:proofErr w:type="spellStart"/>
      <w:r w:rsidR="00114396">
        <w:rPr>
          <w:rFonts w:ascii="Times New Roman" w:hAnsi="Times New Roman" w:cs="Times New Roman"/>
          <w:sz w:val="28"/>
          <w:szCs w:val="28"/>
          <w:lang w:val="ru-RU"/>
        </w:rPr>
        <w:t>последовател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согласуется с целевыми показателями Стратегии «Цифровой Узбекистан - 2030»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2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опирается на количественные результаты настоящего исследования.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Выводы по третьей главе. Анализ цифровой трансформации Узбекистана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страна достигла заметного прогресса в развитии электронного правительства и базовой цифровой инфраструктуры. В 2024 году Узбекистан занял 63-е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0,7999, уровень интернет-проникновения достиг 89%, а покрытие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- 97%. Вместе с тем сохраняется структурная асимметрия: при активном развитии государственных цифровых сервисов доля услуг информации и связи в ВДС составляет лишь 2,4% - ниже среднего уровня стран ОЭСР. Сопоставление с результатами эконометрического анализа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показывает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Узбекистане уже выступает фактором роста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однако пока не достигла уровня при котором она выполняет функцию антикризисного стабилизатора. Для адаптации наиболее применимы: эстонская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модель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корейская привязка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программам, польская поддержка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МСБ и сингапурские решения в сфере цифровой идентификации. Рекомендаци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и предполагают поэтапный подход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2025-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2027 годах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развитие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межведомственной интеграции, цифровых платежей и доведение интернет-проникнов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ения до 90%; в 2027-2030 годах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отраслей и час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тного сектора; после 2030 года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достижение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функцию не только фактора роста, но и макроэкономического стабилизатора.</w:t>
      </w:r>
    </w:p>
    <w:p w:rsidR="00C02A16" w:rsidRPr="000E5726" w:rsidRDefault="00C02A16" w:rsidP="00302040">
      <w:pPr>
        <w:pageBreakBefore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ЗАКЛЮЧЕНИЕ</w:t>
      </w:r>
    </w:p>
    <w:p w:rsidR="00C02A16" w:rsidRPr="000E5726" w:rsidRDefault="00C02A16" w:rsidP="003020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Эта выпускная квалификационная работа была посвящена теоретическому осмыслению и эмпирической проверке связи между цифровой трансформацией национальных экономик и их устойчивостью к глобальным кризисным шокам. В работе рассматривался вопрос 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77F0">
        <w:rPr>
          <w:rFonts w:ascii="Times New Roman" w:hAnsi="Times New Roman" w:cs="Times New Roman"/>
          <w:sz w:val="28"/>
          <w:szCs w:val="28"/>
          <w:lang w:val="ru-RU"/>
        </w:rPr>
        <w:t xml:space="preserve">что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является ли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значимым фактором экономической усто</w:t>
      </w:r>
      <w:r w:rsidR="006B77F0">
        <w:rPr>
          <w:rFonts w:ascii="Times New Roman" w:hAnsi="Times New Roman" w:cs="Times New Roman"/>
          <w:sz w:val="28"/>
          <w:szCs w:val="28"/>
          <w:lang w:val="ru-RU"/>
        </w:rPr>
        <w:t>йчивости и при каких условиях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влияние проявляется наиболее заметно. Ответ был получен на основе сочетания теоретического анализа, сравнительного изучения международного опыта и эконометрического моделирования.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Теоретическая рамка первой главы опирается на подходы к экономической уязвимости и устойч</w:t>
      </w:r>
      <w:r w:rsidR="006B77F0">
        <w:rPr>
          <w:rFonts w:ascii="Times New Roman" w:hAnsi="Times New Roman" w:cs="Times New Roman"/>
          <w:sz w:val="28"/>
          <w:szCs w:val="28"/>
          <w:lang w:val="ru-RU"/>
        </w:rPr>
        <w:t xml:space="preserve">ивости из работ Л. </w:t>
      </w:r>
      <w:proofErr w:type="spellStart"/>
      <w:r w:rsidR="006B77F0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="006B77F0">
        <w:rPr>
          <w:rFonts w:ascii="Times New Roman" w:hAnsi="Times New Roman" w:cs="Times New Roman"/>
          <w:sz w:val="28"/>
          <w:szCs w:val="28"/>
          <w:lang w:val="ru-RU"/>
        </w:rPr>
        <w:t xml:space="preserve"> и со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авторов, аналитические материалы ОЭСР, а также трактовки цифровой экономики Всемирного банка и других международных организаций. В работе систематизирована пятиканальная модель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экономик: непрерывность государствен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ных функций, фискальная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трансми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адаптация частного сектора, диверсификация конечного спроса и устойчивость информационно-коммуникационного сектора. Главный теоретический вывод первой главы в том что устойчивость экономики формируется не только в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момент кризиса, а заранее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через качество институтов, уровень инфраструктурного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развития,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цифровую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готовность и способность быстро адаптироваться к внешним шокам.</w:t>
      </w:r>
    </w:p>
    <w:p w:rsidR="00C02A16" w:rsidRPr="000E5726" w:rsidRDefault="00C02A16" w:rsidP="003020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анализ Эстонии, Республики Корея, Сингапура и Польши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высокий уровень цифровой зрелости был связан с более мягкой реакцией экономик на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пандемийный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 2020 года. Цифровое государство, онлайн-сервисы, электронная идентификация, цифровые платежи и механизмы адресной поддержки позволили этим странам быстрее сохранять государственные функции, поддерживать бизнес и население, а также частично компенсировать ограничения физической мобильности. Вместе с тем кризис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2022 года выявил пределы этого эффекта: энергетические, ценовые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геополитические шоки не могут быть полностью нейтрализованы цифровыми технологиями даже при высоком уровне цифровой инфраструктуры. Эстония и Польша, несмот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ря на развитые цифровые сервисы,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столкнулись с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высоким инфляционным давлением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связанным с энергетическими и внешнеторговыми факторами. Это подтвердило необходимость раздельного учёта кризисов 2020 и 2022 годов в эконометрической модели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="00161822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="00161822">
        <w:rPr>
          <w:rFonts w:ascii="Times New Roman" w:hAnsi="Times New Roman" w:cs="Times New Roman"/>
          <w:sz w:val="28"/>
          <w:szCs w:val="28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3020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Основной эмпирический результат работы получен в §2.3 на несбалансированной панели 49 стран за 2010-2024 годы (707 наблюдений).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5,3377;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подтвердил структурную неоднородность выборки и обосновал раздельный анализ трёх групп стран. Основная гипотеза 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₁ подтверждена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ически значим во всех группах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для развитых экономик,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для развивающихся. Вспомогательная гипотеза 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 также получила подтверждение: антикризисный буферный эффект, выраженный через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статистически выявлен только в группе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0,003;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В переходных и развивающихся экономиках аналогичные эффекты статистически не подтверждаются. Связь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имеет пороговый характер: цифровые технологии становятся полноценным антикризисным стабилизатором только при достижении высок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Применительно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Республике Узбекистан третья глава показала наличие асимметрии цифровой трансформации. С одной стороны, страна достигла заметного прогресса в развитии электронного правительства и базовой цифровой инфраструктуры в 2024 году Узбекистан занял 63-е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0,7999, уровень интернет-проникновения достиг 89%, а покрытие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97% населения.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другой стороны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от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ставание по глубине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цифровизаци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частного сектора: доля услуг информации и связи в ВДС составляет 2,4%, что ниже среднего уровня стран ОЭСР. Эконометрические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что при текущем уровне развитий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Узбекистане уже поддерживает экономический рост: рост интернет-проникновения на 1% связан с увеличением ВВП на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душу население примерно на 0,2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% при прочих равных условиях. Однако антикризисная буферная функция для группы развивающихся экономик включая Узбекистан, пока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что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не идентифицируется. Прогнозный сценарий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дополнительный переход от 90% к 95% интернет-проникновения может быть связан с эффектом около 40 долларов США на душу населения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(ВВП на душу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насления</w:t>
      </w:r>
      <w:proofErr w:type="spellEnd"/>
      <w:r w:rsidR="00161822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или примерно 1,4 млрд долларов США в масштабе экономики.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Сформулированные практические рекомендации образуют поэтапную программу цифрового развития с горизонтом до 2030 года и после. На первом этап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е в 2025-2027 годах приоритет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развитие инфр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аструктуры фискальной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трансмисси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межведомственной интеграции, цифровых платежей и расширения интернет-проникновения. На втором этапе в 2027-2030 годах ключевая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задача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преодоление асимметрии цифровой зрелости через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отраслей, малого и среднего бизнеса, а также расширение использования цифровых технологий в частном секторе. После 2030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года стратегический ориентир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достижение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сможет выполнять не только функцию фактора роста, но и функцию макроэкономического стабилизатора. Адаптация международного опыта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при этом должна быть выборочной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эстонская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орий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нтир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льности</w:t>
      </w:r>
      <w:proofErr w:type="spellEnd"/>
      <w:r w:rsidR="00161822">
        <w:rPr>
          <w:rFonts w:ascii="Times New Roman" w:hAnsi="Times New Roman" w:cs="Times New Roman"/>
          <w:sz w:val="28"/>
          <w:szCs w:val="28"/>
          <w:lang w:val="ru-RU"/>
        </w:rPr>
        <w:t>, опыт Республики Корея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пример привязки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программам, польская модель - основа для поддержки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МСБ, а отдельные элементы сингапурской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системы цифровой идентификации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ориентир для развития единого доступа к государственным и финансовым </w:t>
      </w:r>
      <w:proofErr w:type="spellStart"/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сервисам.ого</w:t>
      </w:r>
      <w:proofErr w:type="spellEnd"/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уровня цифровой зрелости.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Научная новизна исследования состоит в трёх аспектах. Во-первых, в работе систематизирована пятиканальная модель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экономическую устойчивость, связывающая конкретные направления цифрового развития с механизмами реакции экономики на внешние шоки. Во-вторых, на основе панельного анализа 49 стран эмпирически показан пороговый характер антикризисного буферного эффекта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положительная связь с ростом наблюдается во всех группах, но стабилизирующий эффект статистически выявляется только в развитых экономиках. В-третьих, для Республики Узбекистан предложены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прогнозные сценарии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позволяющие связать целевые ориентиры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Стратегии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2030» с количественными эконометрическими оценками. Вместе с тем исследование имеет ряд ограничений: использование одного основного индикатора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упрощённая идентификация кризисных периодов и ограниченный размер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развивающихся экономик. Эти ограничения определяют напра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вления дальнейших исследований </w:t>
      </w:r>
      <w:bookmarkStart w:id="0" w:name="_GoBack"/>
      <w:bookmarkEnd w:id="0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набора цифровых индикаторов, применение методов </w:t>
      </w:r>
      <w:r w:rsidRPr="000E5726">
        <w:rPr>
          <w:rFonts w:ascii="Times New Roman" w:hAnsi="Times New Roman" w:cs="Times New Roman"/>
          <w:sz w:val="28"/>
          <w:szCs w:val="28"/>
        </w:rPr>
        <w:t>IV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0E5726">
        <w:rPr>
          <w:rFonts w:ascii="Times New Roman" w:hAnsi="Times New Roman" w:cs="Times New Roman"/>
          <w:sz w:val="28"/>
          <w:szCs w:val="28"/>
        </w:rPr>
        <w:t>GMM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проведение отраслевого анализа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Узбекистана.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678C" w:rsidRDefault="0093678C" w:rsidP="00C02A16">
      <w:pPr>
        <w:spacing w:line="360" w:lineRule="auto"/>
        <w:ind w:firstLine="709"/>
      </w:pPr>
    </w:p>
    <w:sectPr w:rsidR="0093678C" w:rsidSect="0093678C">
      <w:footerReference w:type="default" r:id="rId9"/>
      <w:pgSz w:w="12240" w:h="15840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79C6" w:rsidRDefault="003879C6" w:rsidP="00C02A16">
      <w:pPr>
        <w:spacing w:after="0" w:line="240" w:lineRule="auto"/>
      </w:pPr>
      <w:r>
        <w:separator/>
      </w:r>
    </w:p>
  </w:endnote>
  <w:endnote w:type="continuationSeparator" w:id="0">
    <w:p w:rsidR="003879C6" w:rsidRDefault="003879C6" w:rsidP="00C02A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8"/>
        <w:szCs w:val="28"/>
      </w:rPr>
      <w:id w:val="-1792662935"/>
      <w:docPartObj>
        <w:docPartGallery w:val="Page Numbers (Bottom of Page)"/>
        <w:docPartUnique/>
      </w:docPartObj>
    </w:sdtPr>
    <w:sdtContent>
      <w:p w:rsidR="0027301E" w:rsidRPr="007547C5" w:rsidRDefault="0027301E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547C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547C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547C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61822" w:rsidRPr="00161822">
          <w:rPr>
            <w:rFonts w:ascii="Times New Roman" w:hAnsi="Times New Roman" w:cs="Times New Roman"/>
            <w:noProof/>
            <w:sz w:val="28"/>
            <w:szCs w:val="28"/>
            <w:lang w:val="ru-RU"/>
          </w:rPr>
          <w:t>64</w:t>
        </w:r>
        <w:r w:rsidRPr="007547C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27301E" w:rsidRDefault="0027301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79C6" w:rsidRDefault="003879C6" w:rsidP="00C02A16">
      <w:pPr>
        <w:spacing w:after="0" w:line="240" w:lineRule="auto"/>
      </w:pPr>
      <w:r>
        <w:separator/>
      </w:r>
    </w:p>
  </w:footnote>
  <w:footnote w:type="continuationSeparator" w:id="0">
    <w:p w:rsidR="003879C6" w:rsidRDefault="003879C6" w:rsidP="00C02A16">
      <w:pPr>
        <w:spacing w:after="0" w:line="240" w:lineRule="auto"/>
      </w:pPr>
      <w:r>
        <w:continuationSeparator/>
      </w:r>
    </w:p>
  </w:footnote>
  <w:footnote w:id="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Caldera Sánchez A. et al. Strengthening Economic Resilience: Insights from the Post-1970 Record of Severe Recessions and Financial Crises // OECD Economic Policy Papers. 2017. No. 20. P. 8. DOI: </w:t>
      </w:r>
      <w:hyperlink r:id="rId1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  <w:r w:rsidRPr="00081992">
        <w:rPr>
          <w:rFonts w:ascii="Times New Roman" w:hAnsi="Times New Roman" w:cs="Times New Roman"/>
        </w:rPr>
        <w:t>.</w:t>
      </w:r>
      <w:r w:rsidRPr="00081992">
        <w:rPr>
          <w:rFonts w:ascii="Times New Roman" w:hAnsi="Times New Roman" w:cs="Times New Roman"/>
          <w:lang w:val="en-CA"/>
        </w:rPr>
        <w:t xml:space="preserve"> </w:t>
      </w:r>
    </w:p>
  </w:footnote>
  <w:footnote w:id="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Pierri</w:t>
      </w:r>
      <w:proofErr w:type="spellEnd"/>
      <w:r w:rsidRPr="00081992">
        <w:rPr>
          <w:rFonts w:ascii="Times New Roman" w:hAnsi="Times New Roman" w:cs="Times New Roman"/>
        </w:rPr>
        <w:t xml:space="preserve"> N., </w:t>
      </w:r>
      <w:proofErr w:type="spellStart"/>
      <w:r w:rsidRPr="00081992">
        <w:rPr>
          <w:rFonts w:ascii="Times New Roman" w:hAnsi="Times New Roman" w:cs="Times New Roman"/>
        </w:rPr>
        <w:t>Timmer</w:t>
      </w:r>
      <w:proofErr w:type="spellEnd"/>
      <w:r w:rsidRPr="00081992">
        <w:rPr>
          <w:rFonts w:ascii="Times New Roman" w:hAnsi="Times New Roman" w:cs="Times New Roman"/>
        </w:rPr>
        <w:t xml:space="preserve"> Y. IT Shields: Technology Adoption and Economic Resilience during the COVID-19 Pandemic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</w:t>
      </w:r>
      <w:r w:rsidRPr="00081992">
        <w:rPr>
          <w:rFonts w:ascii="Times New Roman" w:hAnsi="Times New Roman" w:cs="Times New Roman"/>
          <w:lang w:val="ru-RU"/>
        </w:rPr>
        <w:t xml:space="preserve">2023. </w:t>
      </w:r>
      <w:r w:rsidRPr="00081992">
        <w:rPr>
          <w:rFonts w:ascii="Times New Roman" w:hAnsi="Times New Roman" w:cs="Times New Roman"/>
        </w:rPr>
        <w:t>Vol</w:t>
      </w:r>
      <w:r w:rsidRPr="00081992">
        <w:rPr>
          <w:rFonts w:ascii="Times New Roman" w:hAnsi="Times New Roman" w:cs="Times New Roman"/>
          <w:lang w:val="ru-RU"/>
        </w:rPr>
        <w:t xml:space="preserve">. 81. </w:t>
      </w:r>
      <w:r w:rsidRPr="00081992">
        <w:rPr>
          <w:rFonts w:ascii="Times New Roman" w:hAnsi="Times New Roman" w:cs="Times New Roman"/>
        </w:rPr>
        <w:t>Article</w:t>
      </w:r>
      <w:r w:rsidRPr="00081992">
        <w:rPr>
          <w:rFonts w:ascii="Times New Roman" w:hAnsi="Times New Roman" w:cs="Times New Roman"/>
          <w:lang w:val="ru-RU"/>
        </w:rPr>
        <w:t xml:space="preserve"> 102330. </w:t>
      </w:r>
      <w:r w:rsidRPr="00081992">
        <w:rPr>
          <w:rFonts w:ascii="Times New Roman" w:hAnsi="Times New Roman" w:cs="Times New Roman"/>
        </w:rPr>
        <w:t>DOI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2" w:tgtFrame="_new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doi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r w:rsidRPr="00081992">
          <w:rPr>
            <w:rStyle w:val="a5"/>
            <w:rFonts w:ascii="Times New Roman" w:hAnsi="Times New Roman" w:cs="Times New Roman"/>
          </w:rPr>
          <w:t>org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/10.1016/</w:t>
        </w:r>
        <w:r w:rsidRPr="00081992">
          <w:rPr>
            <w:rStyle w:val="a5"/>
            <w:rFonts w:ascii="Times New Roman" w:hAnsi="Times New Roman" w:cs="Times New Roman"/>
          </w:rPr>
          <w:t>j</w:t>
        </w:r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labeco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.2023.102330</w:t>
        </w:r>
      </w:hyperlink>
      <w:r w:rsidRPr="00081992">
        <w:rPr>
          <w:rFonts w:ascii="Times New Roman" w:hAnsi="Times New Roman" w:cs="Times New Roman"/>
          <w:lang w:val="ru-RU"/>
        </w:rPr>
        <w:t>.</w:t>
      </w:r>
    </w:p>
  </w:footnote>
  <w:footnote w:id="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от 5 октября 2020 г. № УП-6079 «Об утверждении Стратегии “Цифровой Узбекистан - 2030” и мерах по её эффективной реализации». Национальная база данных законодательства Республики Узбекистан, 2020.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3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  <w:footnote w:id="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Briguglio</w:t>
      </w:r>
      <w:proofErr w:type="spellEnd"/>
      <w:r w:rsidRPr="00081992">
        <w:rPr>
          <w:rFonts w:ascii="Times New Roman" w:hAnsi="Times New Roman" w:cs="Times New Roman"/>
        </w:rPr>
        <w:t xml:space="preserve"> L., </w:t>
      </w:r>
      <w:proofErr w:type="spellStart"/>
      <w:r w:rsidRPr="00081992">
        <w:rPr>
          <w:rFonts w:ascii="Times New Roman" w:hAnsi="Times New Roman" w:cs="Times New Roman"/>
        </w:rPr>
        <w:t>Cordina</w:t>
      </w:r>
      <w:proofErr w:type="spellEnd"/>
      <w:r w:rsidRPr="00081992">
        <w:rPr>
          <w:rFonts w:ascii="Times New Roman" w:hAnsi="Times New Roman" w:cs="Times New Roman"/>
        </w:rPr>
        <w:t xml:space="preserve"> G., </w:t>
      </w:r>
      <w:proofErr w:type="spellStart"/>
      <w:r w:rsidRPr="00081992">
        <w:rPr>
          <w:rFonts w:ascii="Times New Roman" w:hAnsi="Times New Roman" w:cs="Times New Roman"/>
        </w:rPr>
        <w:t>Farrugia</w:t>
      </w:r>
      <w:proofErr w:type="spellEnd"/>
      <w:r w:rsidRPr="00081992">
        <w:rPr>
          <w:rFonts w:ascii="Times New Roman" w:hAnsi="Times New Roman" w:cs="Times New Roman"/>
        </w:rPr>
        <w:t xml:space="preserve"> N., Vella S. Economic Vulnerability and Resilience: Concepts and Measurements // Oxford Development Studies. 2009. Vol. 37, No. 3. P. 229-247. DOI: </w:t>
      </w:r>
      <w:hyperlink r:id="rId4" w:tgtFrame="_new" w:history="1">
        <w:r w:rsidRPr="00081992">
          <w:rPr>
            <w:rStyle w:val="a5"/>
            <w:rFonts w:ascii="Times New Roman" w:hAnsi="Times New Roman" w:cs="Times New Roman"/>
          </w:rPr>
          <w:t>https://doi.org/10.1080/13600810903089893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United Nations Department of Economic and Social Affairs (UN DESA). UN E-Government Survey 2024: Accelerating Digital Transformation for Sustainable Development. New York: United Nations, 2024. URL: </w:t>
      </w:r>
      <w:hyperlink r:id="rId5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https://publicadministration.un.org/egovkb/en-us/reports/un-e-government-survey-2024</w:t>
        </w:r>
      </w:hyperlink>
    </w:p>
  </w:footnote>
  <w:footnote w:id="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Development Indicators </w:t>
      </w:r>
      <w:proofErr w:type="spellStart"/>
      <w:r w:rsidRPr="00081992">
        <w:rPr>
          <w:rFonts w:ascii="Times New Roman" w:hAnsi="Times New Roman" w:cs="Times New Roman"/>
        </w:rPr>
        <w:t>databaseWorld</w:t>
      </w:r>
      <w:proofErr w:type="spellEnd"/>
      <w:r w:rsidRPr="00081992">
        <w:rPr>
          <w:rFonts w:ascii="Times New Roman" w:hAnsi="Times New Roman" w:cs="Times New Roman"/>
        </w:rPr>
        <w:t xml:space="preserve"> Bank. World Development Indicators database. Washington, D.C.: World Bank, URL: </w:t>
      </w:r>
      <w:hyperlink r:id="rId6" w:history="1">
        <w:r w:rsidRPr="00081992">
          <w:rPr>
            <w:rStyle w:val="a5"/>
            <w:rFonts w:ascii="Times New Roman" w:hAnsi="Times New Roman" w:cs="Times New Roman"/>
          </w:rPr>
          <w:t>https://databank.worldbank.org/source/world-development-indicators</w:t>
        </w:r>
      </w:hyperlink>
    </w:p>
  </w:footnote>
  <w:footnote w:id="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17-18. DOI: </w:t>
      </w:r>
      <w:hyperlink r:id="rId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Structural Analysis (STAN) Database. Paris: OECD, 2024. URL: </w:t>
      </w:r>
      <w:hyperlink r:id="rId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https://doi.org/10.1787/data-00037-en</w:t>
        </w:r>
      </w:hyperlink>
      <w:r w:rsidRPr="00081992">
        <w:rPr>
          <w:rFonts w:ascii="Times New Roman" w:hAnsi="Times New Roman" w:cs="Times New Roman"/>
        </w:rPr>
        <w:t xml:space="preserve">. </w:t>
      </w:r>
      <w:r w:rsidRPr="00081992">
        <w:rPr>
          <w:rFonts w:ascii="Times New Roman" w:hAnsi="Times New Roman" w:cs="Times New Roman"/>
          <w:lang w:val="ru-RU"/>
        </w:rPr>
        <w:t xml:space="preserve">Классификация ИКТ-сектора приводится по </w:t>
      </w:r>
      <w:r w:rsidRPr="00081992">
        <w:rPr>
          <w:rFonts w:ascii="Times New Roman" w:hAnsi="Times New Roman" w:cs="Times New Roman"/>
        </w:rPr>
        <w:t>ISIC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Rev</w:t>
      </w:r>
      <w:r w:rsidRPr="00081992">
        <w:rPr>
          <w:rFonts w:ascii="Times New Roman" w:hAnsi="Times New Roman" w:cs="Times New Roman"/>
          <w:lang w:val="ru-RU"/>
        </w:rPr>
        <w:t xml:space="preserve">.4, </w:t>
      </w:r>
      <w:r w:rsidRPr="00081992">
        <w:rPr>
          <w:rFonts w:ascii="Times New Roman" w:hAnsi="Times New Roman" w:cs="Times New Roman"/>
        </w:rPr>
        <w:t>divisions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 xml:space="preserve">26,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 xml:space="preserve">61,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>62-63.</w:t>
      </w:r>
    </w:p>
  </w:footnote>
  <w:footnote w:id="9">
    <w:p w:rsidR="0027301E" w:rsidRPr="00081992" w:rsidRDefault="0027301E" w:rsidP="00C02A16">
      <w:pPr>
        <w:pStyle w:val="a6"/>
        <w:rPr>
          <w:rFonts w:ascii="Times New Roman" w:hAnsi="Times New Roman" w:cs="Times New Roman"/>
          <w:color w:val="0000FF"/>
          <w:u w:val="single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Digital Economy Outlook 2024. Vol. 1: Embracing the Technology Frontier. Paris: OECD Publishing, 2024. P. 22-24. DOI: </w:t>
      </w:r>
      <w:hyperlink r:id="rId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2024; European Commission. DESI; UN DESA. E-Government Survey 2024; </w:t>
      </w:r>
      <w:proofErr w:type="spellStart"/>
      <w:r w:rsidRPr="00081992">
        <w:rPr>
          <w:rFonts w:ascii="Times New Roman" w:hAnsi="Times New Roman" w:cs="Times New Roman"/>
        </w:rPr>
        <w:t>Portulans</w:t>
      </w:r>
      <w:proofErr w:type="spellEnd"/>
      <w:r w:rsidRPr="00081992">
        <w:rPr>
          <w:rFonts w:ascii="Times New Roman" w:hAnsi="Times New Roman" w:cs="Times New Roman"/>
        </w:rPr>
        <w:t xml:space="preserve"> Institute. Network Readiness Index 2024.</w:t>
      </w:r>
    </w:p>
  </w:footnote>
  <w:footnote w:id="11">
    <w:p w:rsidR="0027301E" w:rsidRPr="00081992" w:rsidRDefault="0027301E" w:rsidP="00C02A16">
      <w:pPr>
        <w:pStyle w:val="a6"/>
        <w:rPr>
          <w:rFonts w:ascii="Times New Roman" w:hAnsi="Times New Roman" w:cs="Times New Roman"/>
          <w:color w:val="0000FF"/>
          <w:u w:val="single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22-24. DOI: </w:t>
      </w:r>
      <w:hyperlink r:id="rId10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Cloud Computing - Statistics on the Use by Enterprises. Luxembourg: Eurostat, 2023. URL: </w:t>
      </w:r>
      <w:hyperlink r:id="rId11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https://ec.europa.eu/eurostat/statistics-explained/index.php?title=Cloud_computing_-_statistics_on_the_use_by_enterprises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22-24. DOI: </w:t>
      </w:r>
      <w:hyperlink r:id="rId12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  <w:lang w:val="en-CA"/>
        </w:rPr>
        <w:t>.</w:t>
      </w:r>
    </w:p>
  </w:footnote>
  <w:footnote w:id="1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36, 60. DOI: </w:t>
      </w:r>
      <w:hyperlink r:id="rId13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Digital Economy Outlook 2024. Vol. 1: Embracing the Technology Frontier. Paris: OECD Publishing, 2024. P. 89, 100. DOI: </w:t>
      </w:r>
      <w:hyperlink r:id="rId14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Bank. World Development Report 2016: Digital Dividends. Washington, D.C.: World Bank, 2016. DOI: </w:t>
      </w:r>
      <w:hyperlink r:id="rId15" w:tgtFrame="_new" w:history="1">
        <w:r w:rsidRPr="00081992">
          <w:rPr>
            <w:rStyle w:val="a5"/>
            <w:rFonts w:ascii="Times New Roman" w:hAnsi="Times New Roman" w:cs="Times New Roman"/>
          </w:rPr>
          <w:t>https://doi.org/10.1596/978-1-4648-0671-1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Pierri</w:t>
      </w:r>
      <w:proofErr w:type="spellEnd"/>
      <w:r w:rsidRPr="00081992">
        <w:rPr>
          <w:rFonts w:ascii="Times New Roman" w:hAnsi="Times New Roman" w:cs="Times New Roman"/>
        </w:rPr>
        <w:t xml:space="preserve"> N., </w:t>
      </w:r>
      <w:proofErr w:type="spellStart"/>
      <w:r w:rsidRPr="00081992">
        <w:rPr>
          <w:rFonts w:ascii="Times New Roman" w:hAnsi="Times New Roman" w:cs="Times New Roman"/>
        </w:rPr>
        <w:t>Timmer</w:t>
      </w:r>
      <w:proofErr w:type="spellEnd"/>
      <w:r w:rsidRPr="00081992">
        <w:rPr>
          <w:rFonts w:ascii="Times New Roman" w:hAnsi="Times New Roman" w:cs="Times New Roman"/>
        </w:rPr>
        <w:t xml:space="preserve"> Y. IT Shields: Technology Adoption and Economic Resilience during the COVID-19 Pandemic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2023. Vol. 81. Article 102330. DOI: </w:t>
      </w:r>
      <w:hyperlink r:id="rId16" w:tgtFrame="_new" w:history="1">
        <w:r w:rsidRPr="00081992">
          <w:rPr>
            <w:rStyle w:val="a5"/>
            <w:rFonts w:ascii="Times New Roman" w:hAnsi="Times New Roman" w:cs="Times New Roman"/>
          </w:rPr>
          <w:t>https://doi.org/10.1016/j.labeco.2023.102330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8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Rasmussen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What Role for Policies? // OECD Economics Department Working Papers. 2015. No. 1251. P. 5. DOI: </w:t>
      </w:r>
      <w:hyperlink r:id="rId1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9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Briguglio</w:t>
      </w:r>
      <w:proofErr w:type="spellEnd"/>
      <w:r w:rsidRPr="00081992">
        <w:rPr>
          <w:rFonts w:ascii="Times New Roman" w:hAnsi="Times New Roman" w:cs="Times New Roman"/>
        </w:rPr>
        <w:t xml:space="preserve"> L., </w:t>
      </w:r>
      <w:proofErr w:type="spellStart"/>
      <w:r w:rsidRPr="00081992">
        <w:rPr>
          <w:rFonts w:ascii="Times New Roman" w:hAnsi="Times New Roman" w:cs="Times New Roman"/>
        </w:rPr>
        <w:t>Cordina</w:t>
      </w:r>
      <w:proofErr w:type="spellEnd"/>
      <w:r w:rsidRPr="00081992">
        <w:rPr>
          <w:rFonts w:ascii="Times New Roman" w:hAnsi="Times New Roman" w:cs="Times New Roman"/>
        </w:rPr>
        <w:t xml:space="preserve"> G., </w:t>
      </w:r>
      <w:proofErr w:type="spellStart"/>
      <w:r w:rsidRPr="00081992">
        <w:rPr>
          <w:rFonts w:ascii="Times New Roman" w:hAnsi="Times New Roman" w:cs="Times New Roman"/>
        </w:rPr>
        <w:t>Farrugia</w:t>
      </w:r>
      <w:proofErr w:type="spellEnd"/>
      <w:r w:rsidRPr="00081992">
        <w:rPr>
          <w:rFonts w:ascii="Times New Roman" w:hAnsi="Times New Roman" w:cs="Times New Roman"/>
        </w:rPr>
        <w:t xml:space="preserve"> N., Vella S. Economic Vulnerability and Resilience: Concepts and Measurements // UNU-WIDER Research Paper. 2008. No. 2008/55. P. 2-4, 11-14.</w:t>
      </w:r>
    </w:p>
  </w:footnote>
  <w:footnote w:id="20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Economic Resilience: What Role for Policies? // OECD Economics Department Working Papers. 2015. No. 1251. P. 5-7. DOI: </w:t>
      </w:r>
      <w:hyperlink r:id="rId1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</w:p>
  </w:footnote>
  <w:footnote w:id="21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Rasmussen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What Role for Policies? // OECD Economics Department Working Papers. 2015. No. 1251. P. 6. DOI: </w:t>
      </w:r>
      <w:hyperlink r:id="rId1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</w:p>
  </w:footnote>
  <w:footnote w:id="2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Strengthening Economic Resilience // OECD Economic Policy Papers. No. 20. Paris: OECD Publishing, 2017. P. 7-8. DOI: </w:t>
      </w:r>
      <w:hyperlink r:id="rId20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2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Strengthening Economic Resilience // OECD Economic Policy Papers. 2017. No. 20. P. 8. DOI: </w:t>
      </w:r>
      <w:hyperlink r:id="rId21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2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Hermansen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The Usefulness of Early Warning Indicators in OECD Countries // OECD Economics Department Working Papers. 2015. No. 1250. P. 1-27. DOI: </w:t>
      </w:r>
      <w:hyperlink r:id="rId22" w:history="1">
        <w:r w:rsidRPr="00081992">
          <w:rPr>
            <w:rStyle w:val="a5"/>
            <w:rFonts w:ascii="Times New Roman" w:hAnsi="Times New Roman" w:cs="Times New Roman"/>
          </w:rPr>
          <w:t>https://doi.org/10.1787/5jrxhgfqx3mv-en</w:t>
        </w:r>
      </w:hyperlink>
    </w:p>
  </w:footnote>
  <w:footnote w:id="2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35-37. DOI: </w:t>
      </w:r>
      <w:hyperlink r:id="rId23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57. DOI: </w:t>
      </w:r>
      <w:hyperlink r:id="rId24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7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2020. P. 57-59. DOI: </w:t>
      </w:r>
      <w:hyperlink r:id="rId25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8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 et al. IT Shields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2023. Vol. 81. Article 102330. DOI: </w:t>
      </w:r>
      <w:hyperlink r:id="rId26" w:tgtFrame="_new" w:history="1">
        <w:r w:rsidRPr="00081992">
          <w:rPr>
            <w:rStyle w:val="a5"/>
            <w:rFonts w:ascii="Times New Roman" w:hAnsi="Times New Roman" w:cs="Times New Roman"/>
          </w:rPr>
          <w:t>https://doi.org/10.1016/j.labeco.2023.102330</w:t>
        </w:r>
      </w:hyperlink>
    </w:p>
  </w:footnote>
  <w:footnote w:id="2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Digital Economy Outlook 2024. Vol. 1. P. 88. DOI: </w:t>
      </w:r>
      <w:hyperlink r:id="rId2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3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E-commerce statistics for individuals // Statistics Explained. Luxembourg: Eurostat, 2023. URL: </w:t>
      </w:r>
      <w:hyperlink r:id="rId28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https://ec.europa.eu/eurostat/statistics-explained/index.php/E-commerce_statistics_for_individuals</w:t>
        </w:r>
      </w:hyperlink>
    </w:p>
  </w:footnote>
  <w:footnote w:id="3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 Digital Economy Outlook 2024. Vol. 1. Paris: OECD Publishing, 2024. P. 92. DOI: </w:t>
      </w:r>
      <w:hyperlink r:id="rId2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32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UNCTAD. Digital Economy Report 2021. New York: United Nations, 2021. URL: </w:t>
      </w:r>
      <w:hyperlink r:id="rId30" w:tgtFrame="_new" w:history="1">
        <w:r w:rsidRPr="00081992">
          <w:rPr>
            <w:rStyle w:val="a5"/>
            <w:rFonts w:ascii="Times New Roman" w:hAnsi="Times New Roman" w:cs="Times New Roman"/>
          </w:rPr>
          <w:t>https://unctad.org/webflyer/digital-economy-report-2021</w:t>
        </w:r>
      </w:hyperlink>
    </w:p>
  </w:footnote>
  <w:footnote w:id="33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Hermansen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The Usefulness of Early Warning Indicators in OECD Countries // OECD Economics Department Working Papers. 2015. No. 1250. P. 1-27. DOI: </w:t>
      </w:r>
      <w:hyperlink r:id="rId31" w:history="1">
        <w:r w:rsidRPr="00081992">
          <w:rPr>
            <w:rStyle w:val="a5"/>
            <w:rFonts w:ascii="Times New Roman" w:hAnsi="Times New Roman" w:cs="Times New Roman"/>
          </w:rPr>
          <w:t>https://doi.org/10.1787/5jrxhgfqx3mv-en</w:t>
        </w:r>
      </w:hyperlink>
    </w:p>
  </w:footnote>
  <w:footnote w:id="34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Gori F. Can Reforms Promoting Growth Increase Financial Fragility? // OECD Economics Department Working Papers. 2016. No. 1340. DOI: </w:t>
      </w:r>
      <w:hyperlink r:id="rId32" w:history="1">
        <w:r w:rsidRPr="00081992">
          <w:rPr>
            <w:rStyle w:val="a5"/>
            <w:rFonts w:ascii="Times New Roman" w:hAnsi="Times New Roman" w:cs="Times New Roman"/>
          </w:rPr>
          <w:t>https://doi.org/10.1787/5jln0421ld25-en</w:t>
        </w:r>
      </w:hyperlink>
    </w:p>
  </w:footnote>
  <w:footnote w:id="35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Education Estonia. How it all began? From Tiger Leap to digital society. 2023. URL: </w:t>
      </w:r>
      <w:hyperlink r:id="rId33" w:tgtFrame="_new" w:history="1">
        <w:r w:rsidRPr="00081992">
          <w:rPr>
            <w:rStyle w:val="a5"/>
            <w:rFonts w:ascii="Times New Roman" w:hAnsi="Times New Roman" w:cs="Times New Roman"/>
          </w:rPr>
          <w:t>https://www.educationestonia.org/tiger-leap/</w:t>
        </w:r>
      </w:hyperlink>
    </w:p>
  </w:footnote>
  <w:footnote w:id="3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Tambur</w:t>
      </w:r>
      <w:proofErr w:type="spellEnd"/>
      <w:r w:rsidRPr="00081992">
        <w:rPr>
          <w:rFonts w:ascii="Times New Roman" w:hAnsi="Times New Roman" w:cs="Times New Roman"/>
        </w:rPr>
        <w:t xml:space="preserve"> S. Estonia’s Tiger Leap: The Schools Project That Wired a Nation for the Digital Age // Estonian World. 21.02.2026. URL: </w:t>
      </w:r>
      <w:hyperlink r:id="rId34" w:history="1">
        <w:r w:rsidRPr="00081992">
          <w:rPr>
            <w:rStyle w:val="a5"/>
            <w:rFonts w:ascii="Times New Roman" w:hAnsi="Times New Roman" w:cs="Times New Roman"/>
          </w:rPr>
          <w:t>https://estonianworld.com/technology/estonias-tiger-leap-the-schools-project-that-wired-a-nation-for-the-digital-age/</w:t>
        </w:r>
      </w:hyperlink>
    </w:p>
  </w:footnote>
  <w:footnote w:id="3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X-Road Global. X-Road History. URL: </w:t>
      </w:r>
      <w:hyperlink r:id="rId35" w:tgtFrame="_new" w:history="1">
        <w:r w:rsidRPr="00081992">
          <w:rPr>
            <w:rStyle w:val="a5"/>
            <w:rFonts w:ascii="Times New Roman" w:hAnsi="Times New Roman" w:cs="Times New Roman"/>
          </w:rPr>
          <w:t>https://x-road.global/xroad-history</w:t>
        </w:r>
      </w:hyperlink>
    </w:p>
  </w:footnote>
  <w:footnote w:id="3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Cybernetica</w:t>
      </w:r>
      <w:proofErr w:type="spellEnd"/>
      <w:r w:rsidRPr="00081992">
        <w:rPr>
          <w:rFonts w:ascii="Times New Roman" w:hAnsi="Times New Roman" w:cs="Times New Roman"/>
        </w:rPr>
        <w:t xml:space="preserve">. Estonian Interoperability Framework X-Road. 2021. URL: </w:t>
      </w:r>
      <w:hyperlink r:id="rId36" w:tgtFrame="_new" w:history="1">
        <w:r w:rsidRPr="00081992">
          <w:rPr>
            <w:rStyle w:val="a5"/>
            <w:rFonts w:ascii="Times New Roman" w:hAnsi="Times New Roman" w:cs="Times New Roman"/>
          </w:rPr>
          <w:t>https://cyber.ee/resources/case-studies/estonian-interoperability-framework-x-road/</w:t>
        </w:r>
      </w:hyperlink>
    </w:p>
  </w:footnote>
  <w:footnote w:id="3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Invest in Estonia. E-Residency Brings Record Revenue in First Half of 2025. August 2025. URL: </w:t>
      </w:r>
      <w:hyperlink r:id="rId37" w:tgtFrame="_new" w:history="1">
        <w:r w:rsidRPr="00081992">
          <w:rPr>
            <w:rStyle w:val="a5"/>
            <w:rFonts w:ascii="Times New Roman" w:hAnsi="Times New Roman" w:cs="Times New Roman"/>
          </w:rPr>
          <w:t>https://investinestonia.com/e-residency-brings-record-revenue-in-first-half-of-2025/</w:t>
        </w:r>
      </w:hyperlink>
    </w:p>
  </w:footnote>
  <w:footnote w:id="4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Baltic Times. New Milestone for e-Residency with Record Number of Companies Founded in 2024. January 2025. URL: </w:t>
      </w:r>
      <w:hyperlink r:id="rId38" w:tgtFrame="_new" w:history="1">
        <w:r w:rsidRPr="00081992">
          <w:rPr>
            <w:rStyle w:val="a5"/>
            <w:rFonts w:ascii="Times New Roman" w:hAnsi="Times New Roman" w:cs="Times New Roman"/>
          </w:rPr>
          <w:t>https://www.baltictimes.com/new_milestone_for_e-residency_with_record_number_of_companies_founded_in_2024/</w:t>
        </w:r>
      </w:hyperlink>
    </w:p>
  </w:footnote>
  <w:footnote w:id="4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UN E-Government Survey 2024. New York: United Nations, 2024. URL: </w:t>
      </w:r>
      <w:hyperlink r:id="rId39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</w:t>
        </w:r>
      </w:hyperlink>
    </w:p>
  </w:footnote>
  <w:footnote w:id="4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IEA. Korean New Deal - Digital New Deal, Green New Deal and Stronger Safety Net. 2021. URL: </w:t>
      </w:r>
      <w:hyperlink r:id="rId40" w:tgtFrame="_new" w:history="1">
        <w:r w:rsidRPr="00081992">
          <w:rPr>
            <w:rStyle w:val="a5"/>
            <w:rFonts w:ascii="Times New Roman" w:hAnsi="Times New Roman" w:cs="Times New Roman"/>
          </w:rPr>
          <w:t>https://www.iea.org/policies/11514-korean-new-deal-digital-new-deal-green-new-deal-and-stronger-safety-net</w:t>
        </w:r>
      </w:hyperlink>
    </w:p>
  </w:footnote>
  <w:footnote w:id="4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Lee J.-H., Woo J. Discourse of the Post-COVID 19 New Deal in South Korea // Sustainability. 2021. Vol. 13, No. 15. Article 8493. DOI: </w:t>
      </w:r>
      <w:hyperlink r:id="rId41" w:tgtFrame="_new" w:history="1">
        <w:r w:rsidRPr="00081992">
          <w:rPr>
            <w:rStyle w:val="a5"/>
            <w:rFonts w:ascii="Times New Roman" w:hAnsi="Times New Roman" w:cs="Times New Roman"/>
          </w:rPr>
          <w:t>https://doi.org/10.3390/su13158493</w:t>
        </w:r>
      </w:hyperlink>
    </w:p>
  </w:footnote>
  <w:footnote w:id="4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KEIA. The Korean New Deal // The Peninsula. July 2021. URL: </w:t>
      </w:r>
      <w:hyperlink r:id="rId42" w:tgtFrame="_new" w:history="1">
        <w:r w:rsidRPr="00081992">
          <w:rPr>
            <w:rStyle w:val="a5"/>
            <w:rFonts w:ascii="Times New Roman" w:hAnsi="Times New Roman" w:cs="Times New Roman"/>
          </w:rPr>
          <w:t>https://keia.org/the-peninsula/the-korean-new-deal/</w:t>
        </w:r>
      </w:hyperlink>
    </w:p>
  </w:footnote>
  <w:footnote w:id="4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MSIT Korea. Digital New Deal Secures Future Growth Engine. August 2021. URL: </w:t>
      </w:r>
      <w:hyperlink r:id="rId43" w:tgtFrame="_new" w:history="1">
        <w:r w:rsidRPr="00081992">
          <w:rPr>
            <w:rStyle w:val="a5"/>
            <w:rFonts w:ascii="Times New Roman" w:hAnsi="Times New Roman" w:cs="Times New Roman"/>
          </w:rPr>
          <w:t>https://www.prnewswire.com/news-releases/digital-new-deal-secures-future-growth-engine-301346790.html</w:t>
        </w:r>
      </w:hyperlink>
    </w:p>
  </w:footnote>
  <w:footnote w:id="4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Diplomat. South Korea’s Digital New Deal. June 2020. URL: </w:t>
      </w:r>
      <w:hyperlink r:id="rId44" w:tgtFrame="_new" w:history="1">
        <w:r w:rsidRPr="00081992">
          <w:rPr>
            <w:rStyle w:val="a5"/>
            <w:rFonts w:ascii="Times New Roman" w:hAnsi="Times New Roman" w:cs="Times New Roman"/>
          </w:rPr>
          <w:t>https://thediplomat.com/2020/06/south-koreas-digital-new-deal/</w:t>
        </w:r>
      </w:hyperlink>
    </w:p>
  </w:footnote>
  <w:footnote w:id="4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Republic of Korea: Country Information. E-Government Development Index 2024. URL: </w:t>
      </w:r>
      <w:hyperlink r:id="rId45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https://publicadministration.un.org/egovkb/en-us/Data/Country-Information/id/138-Republic-of-Korea</w:t>
        </w:r>
      </w:hyperlink>
    </w:p>
  </w:footnote>
  <w:footnote w:id="4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GovInsider</w:t>
      </w:r>
      <w:proofErr w:type="spellEnd"/>
      <w:r w:rsidRPr="00081992">
        <w:rPr>
          <w:rFonts w:ascii="Times New Roman" w:hAnsi="Times New Roman" w:cs="Times New Roman"/>
        </w:rPr>
        <w:t xml:space="preserve">. Leaving </w:t>
      </w:r>
      <w:proofErr w:type="gramStart"/>
      <w:r w:rsidRPr="00081992">
        <w:rPr>
          <w:rFonts w:ascii="Times New Roman" w:hAnsi="Times New Roman" w:cs="Times New Roman"/>
        </w:rPr>
        <w:t>No</w:t>
      </w:r>
      <w:proofErr w:type="gramEnd"/>
      <w:r w:rsidRPr="00081992">
        <w:rPr>
          <w:rFonts w:ascii="Times New Roman" w:hAnsi="Times New Roman" w:cs="Times New Roman"/>
        </w:rPr>
        <w:t xml:space="preserve"> One Behind Will Determine Success of Smart Nation 2.0. 2024. URL: </w:t>
      </w:r>
      <w:hyperlink r:id="rId46" w:tgtFrame="_new" w:history="1">
        <w:r w:rsidRPr="00081992">
          <w:rPr>
            <w:rStyle w:val="a5"/>
            <w:rFonts w:ascii="Times New Roman" w:hAnsi="Times New Roman" w:cs="Times New Roman"/>
          </w:rPr>
          <w:t>https://govinsider.asia/intl-en/article/leaving-no-one-behind-will-determine-success-of-smart-nation-20</w:t>
        </w:r>
      </w:hyperlink>
    </w:p>
  </w:footnote>
  <w:footnote w:id="4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Southeast Asia Infrastructure. Digital Leap: Singapore’s Blueprint for Smart Nation 2.0. 2025. URL: </w:t>
      </w:r>
      <w:hyperlink r:id="rId47" w:tgtFrame="_new" w:history="1">
        <w:r w:rsidRPr="00081992">
          <w:rPr>
            <w:rStyle w:val="a5"/>
            <w:rFonts w:ascii="Times New Roman" w:hAnsi="Times New Roman" w:cs="Times New Roman"/>
          </w:rPr>
          <w:t>https://southeastasiainfra.com/digital-leap-singapores-blueprint-for-smart-nation-2-0/</w:t>
        </w:r>
      </w:hyperlink>
    </w:p>
  </w:footnote>
  <w:footnote w:id="5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GovTech</w:t>
      </w:r>
      <w:proofErr w:type="spellEnd"/>
      <w:r w:rsidRPr="00081992">
        <w:rPr>
          <w:rFonts w:ascii="Times New Roman" w:hAnsi="Times New Roman" w:cs="Times New Roman"/>
        </w:rPr>
        <w:t xml:space="preserve"> Singapore. Smart Nation 2.0: Initiatives in Singapore. 2024. URL: </w:t>
      </w:r>
      <w:hyperlink r:id="rId48" w:tgtFrame="_new" w:history="1">
        <w:r w:rsidRPr="00081992">
          <w:rPr>
            <w:rStyle w:val="a5"/>
            <w:rFonts w:ascii="Times New Roman" w:hAnsi="Times New Roman" w:cs="Times New Roman"/>
          </w:rPr>
          <w:t>https://www.tech.gov.sg/technews/our-enhanced-smart-nation-vision-paving-the-way-for-a-new-digital-era/</w:t>
        </w:r>
      </w:hyperlink>
    </w:p>
  </w:footnote>
  <w:footnote w:id="5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OpenGov</w:t>
      </w:r>
      <w:proofErr w:type="spellEnd"/>
      <w:r w:rsidRPr="00081992">
        <w:rPr>
          <w:rFonts w:ascii="Times New Roman" w:hAnsi="Times New Roman" w:cs="Times New Roman"/>
        </w:rPr>
        <w:t xml:space="preserve"> Asia. Singapore: Milestones and Momentum of a Smart Nation. December 2025. URL: </w:t>
      </w:r>
      <w:hyperlink r:id="rId49" w:tgtFrame="_new" w:history="1">
        <w:r w:rsidRPr="00081992">
          <w:rPr>
            <w:rStyle w:val="a5"/>
            <w:rFonts w:ascii="Times New Roman" w:hAnsi="Times New Roman" w:cs="Times New Roman"/>
          </w:rPr>
          <w:t>https://opengovasia.com/singapore-milestones-and-momentum-of-a-smart-nation/</w:t>
        </w:r>
      </w:hyperlink>
    </w:p>
  </w:footnote>
  <w:footnote w:id="5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MD. World Digital Competitiveness Ranking 2024; </w:t>
      </w:r>
      <w:proofErr w:type="spellStart"/>
      <w:r w:rsidRPr="00081992">
        <w:rPr>
          <w:rFonts w:ascii="Times New Roman" w:hAnsi="Times New Roman" w:cs="Times New Roman"/>
        </w:rPr>
        <w:t>Portulans</w:t>
      </w:r>
      <w:proofErr w:type="spellEnd"/>
      <w:r w:rsidRPr="00081992">
        <w:rPr>
          <w:rFonts w:ascii="Times New Roman" w:hAnsi="Times New Roman" w:cs="Times New Roman"/>
        </w:rPr>
        <w:t xml:space="preserve"> Institute. Network Readiness Index 2024; UN DESA. Singapore: EGDI 2024. URL: </w:t>
      </w:r>
      <w:hyperlink r:id="rId50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https://publicadministration.un.org/egovkb/en-us/Data/Country-Information/id/156-Singapore</w:t>
        </w:r>
      </w:hyperlink>
    </w:p>
  </w:footnote>
  <w:footnote w:id="5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Przepióra</w:t>
      </w:r>
      <w:proofErr w:type="spellEnd"/>
      <w:r w:rsidRPr="00081992">
        <w:rPr>
          <w:rFonts w:ascii="Times New Roman" w:hAnsi="Times New Roman" w:cs="Times New Roman"/>
        </w:rPr>
        <w:t xml:space="preserve"> P. Digital State: How Poland Became a European Leader in </w:t>
      </w:r>
      <w:proofErr w:type="spellStart"/>
      <w:r w:rsidRPr="00081992">
        <w:rPr>
          <w:rFonts w:ascii="Times New Roman" w:hAnsi="Times New Roman" w:cs="Times New Roman"/>
        </w:rPr>
        <w:t>Digitalisation</w:t>
      </w:r>
      <w:proofErr w:type="spellEnd"/>
      <w:r w:rsidRPr="00081992">
        <w:rPr>
          <w:rFonts w:ascii="Times New Roman" w:hAnsi="Times New Roman" w:cs="Times New Roman"/>
        </w:rPr>
        <w:t xml:space="preserve"> // Warsaw Institute. 09.10.2025. URL: </w:t>
      </w:r>
      <w:hyperlink r:id="rId51" w:history="1">
        <w:r w:rsidRPr="00081992">
          <w:rPr>
            <w:rStyle w:val="a5"/>
            <w:rFonts w:ascii="Times New Roman" w:hAnsi="Times New Roman" w:cs="Times New Roman"/>
          </w:rPr>
          <w:t xml:space="preserve">Digital State: How Poland Became a European Leader in 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Digitalisation</w:t>
        </w:r>
        <w:proofErr w:type="spellEnd"/>
        <w:r w:rsidRPr="00081992">
          <w:rPr>
            <w:rStyle w:val="a5"/>
            <w:rFonts w:ascii="Times New Roman" w:hAnsi="Times New Roman" w:cs="Times New Roman"/>
          </w:rPr>
          <w:t xml:space="preserve"> | Warsaw Institute</w:t>
        </w:r>
      </w:hyperlink>
    </w:p>
  </w:footnote>
  <w:footnote w:id="5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Commission. Digital Connectivity in Poland // Shaping Europe’s Digital Future. Last update: 04.02.2026. URL: </w:t>
      </w:r>
      <w:hyperlink r:id="rId52" w:history="1">
        <w:r w:rsidRPr="00081992">
          <w:rPr>
            <w:rStyle w:val="a5"/>
            <w:rFonts w:ascii="Times New Roman" w:hAnsi="Times New Roman" w:cs="Times New Roman"/>
          </w:rPr>
          <w:t>Digital connectivity in Poland | Shaping Europe’s digital future</w:t>
        </w:r>
      </w:hyperlink>
    </w:p>
  </w:footnote>
  <w:footnote w:id="5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AIN. </w:t>
      </w:r>
      <w:proofErr w:type="spellStart"/>
      <w:r w:rsidRPr="00081992">
        <w:rPr>
          <w:rFonts w:ascii="Times New Roman" w:hAnsi="Times New Roman" w:cs="Times New Roman"/>
        </w:rPr>
        <w:t>mObywatel</w:t>
      </w:r>
      <w:proofErr w:type="spellEnd"/>
      <w:r w:rsidRPr="00081992">
        <w:rPr>
          <w:rFonts w:ascii="Times New Roman" w:hAnsi="Times New Roman" w:cs="Times New Roman"/>
        </w:rPr>
        <w:t xml:space="preserve"> 2.0: Digital ID Became Equal to Plastic Document in Poland. 14.07.2023. URL: </w:t>
      </w:r>
      <w:hyperlink r:id="rId53" w:tgtFrame="_new" w:history="1">
        <w:r w:rsidRPr="00081992">
          <w:rPr>
            <w:rStyle w:val="a5"/>
            <w:rFonts w:ascii="Times New Roman" w:hAnsi="Times New Roman" w:cs="Times New Roman"/>
          </w:rPr>
          <w:t>https://en.ain.ua/2023/07/14/poland-digital-ids-equal-traditional-documents/</w:t>
        </w:r>
      </w:hyperlink>
    </w:p>
  </w:footnote>
  <w:footnote w:id="5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Biometric Update. Poland Campaigns to Boost the Use of Its Digital ID Platform </w:t>
      </w:r>
      <w:proofErr w:type="spellStart"/>
      <w:r w:rsidRPr="00081992">
        <w:rPr>
          <w:rFonts w:ascii="Times New Roman" w:hAnsi="Times New Roman" w:cs="Times New Roman"/>
        </w:rPr>
        <w:t>mObywatel</w:t>
      </w:r>
      <w:proofErr w:type="spellEnd"/>
      <w:r w:rsidRPr="00081992">
        <w:rPr>
          <w:rFonts w:ascii="Times New Roman" w:hAnsi="Times New Roman" w:cs="Times New Roman"/>
        </w:rPr>
        <w:t xml:space="preserve">. August 2025. URL: </w:t>
      </w:r>
      <w:hyperlink r:id="rId54" w:tgtFrame="_new" w:history="1">
        <w:r w:rsidRPr="00081992">
          <w:rPr>
            <w:rStyle w:val="a5"/>
            <w:rFonts w:ascii="Times New Roman" w:hAnsi="Times New Roman" w:cs="Times New Roman"/>
          </w:rPr>
          <w:t>https://www.biometricupdate.com/202508/poland-campaigns-to-boost-the-use-of-its-digital-id-platform-mobywatel</w:t>
        </w:r>
      </w:hyperlink>
    </w:p>
  </w:footnote>
  <w:footnote w:id="5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U.S. International Trade Administration. Poland - Digital Economy // Country Commercial Guides. 2026. URL: </w:t>
      </w:r>
      <w:hyperlink r:id="rId55" w:tgtFrame="_new" w:history="1">
        <w:r w:rsidRPr="00081992">
          <w:rPr>
            <w:rStyle w:val="a5"/>
            <w:rFonts w:ascii="Times New Roman" w:hAnsi="Times New Roman" w:cs="Times New Roman"/>
          </w:rPr>
          <w:t>https://www.trade.gov/country-commercial-guides/poland-digital-economy</w:t>
        </w:r>
      </w:hyperlink>
    </w:p>
  </w:footnote>
  <w:footnote w:id="5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1. P. 24-25. DOI: </w:t>
      </w:r>
      <w:hyperlink r:id="rId56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5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IMDA. Singapore Digital Economy Report 2024. 2024. P. 8. URL: </w:t>
      </w:r>
      <w:hyperlink r:id="rId57" w:history="1">
        <w:r w:rsidRPr="00081992">
          <w:rPr>
            <w:rStyle w:val="a5"/>
            <w:rFonts w:ascii="Times New Roman" w:hAnsi="Times New Roman" w:cs="Times New Roman"/>
          </w:rPr>
          <w:t>singapore-digital-economy-report-2024.pdf</w:t>
        </w:r>
      </w:hyperlink>
    </w:p>
  </w:footnote>
  <w:footnote w:id="6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Real GDP Growth Rate - Volume: Estonia, Annual Data 2020-2022. URL: </w:t>
      </w:r>
      <w:hyperlink r:id="rId58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https://ec.europa.eu/eurostat/databrowser/view/tec00115/</w:t>
        </w:r>
      </w:hyperlink>
    </w:p>
  </w:footnote>
  <w:footnote w:id="6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CSR Universe. Estonia: A Fine Model of E-governance for the World. January 2025. URL: </w:t>
      </w:r>
      <w:hyperlink r:id="rId59" w:tgtFrame="_new" w:history="1">
        <w:r w:rsidRPr="00081992">
          <w:rPr>
            <w:rStyle w:val="a5"/>
            <w:rFonts w:ascii="Times New Roman" w:hAnsi="Times New Roman" w:cs="Times New Roman"/>
          </w:rPr>
          <w:t>https://thecsruniverse.com/articles/estonia-a-fine-model-of-e-governance-for-the-world</w:t>
        </w:r>
      </w:hyperlink>
    </w:p>
  </w:footnote>
  <w:footnote w:id="6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IMF. World Economic Outlook Database, April 2024: Estonia - Real GDP Growth. Washington, DC: International Monetary Fund, 2024. URL: </w:t>
      </w:r>
      <w:hyperlink r:id="rId60" w:tgtFrame="_new" w:history="1">
        <w:r w:rsidRPr="00081992">
          <w:rPr>
            <w:rStyle w:val="a5"/>
            <w:rFonts w:ascii="Times New Roman" w:hAnsi="Times New Roman" w:cs="Times New Roman"/>
          </w:rPr>
          <w:t>https://www.imf.org/en/Publications/WEO/weo-database/2024/April</w:t>
        </w:r>
      </w:hyperlink>
    </w:p>
  </w:footnote>
  <w:footnote w:id="6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Parliament. Estonia’s National Recovery and Resilience Plan: Latest State of Play // EPRS Briefing. 2023. URL: </w:t>
      </w:r>
      <w:hyperlink r:id="rId61" w:tgtFrame="_new" w:history="1">
        <w:r w:rsidRPr="00081992">
          <w:rPr>
            <w:rStyle w:val="a5"/>
            <w:rFonts w:ascii="Times New Roman" w:hAnsi="Times New Roman" w:cs="Times New Roman"/>
          </w:rPr>
          <w:t>https://www.europarl.europa.eu/thinktank/en/document/EPRS_BRI(2022)698886</w:t>
        </w:r>
      </w:hyperlink>
    </w:p>
  </w:footnote>
  <w:footnote w:id="6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Stangarone</w:t>
      </w:r>
      <w:proofErr w:type="spellEnd"/>
      <w:r w:rsidRPr="00081992">
        <w:rPr>
          <w:rFonts w:ascii="Times New Roman" w:hAnsi="Times New Roman" w:cs="Times New Roman"/>
        </w:rPr>
        <w:t xml:space="preserve"> T. South Korea’s Strong Economic Performance Faces Post-Pandemic Challenges // East Asia Forum. 04.02.2022. URL: </w:t>
      </w:r>
      <w:hyperlink r:id="rId62" w:tgtFrame="_new" w:history="1">
        <w:r w:rsidRPr="00081992">
          <w:rPr>
            <w:rStyle w:val="a5"/>
            <w:rFonts w:ascii="Times New Roman" w:hAnsi="Times New Roman" w:cs="Times New Roman"/>
          </w:rPr>
          <w:t>https://eastasiaforum.org/2022/02/04/south-koreas-strong-economic-performance-faces-post-pandemic-challenges/</w:t>
        </w:r>
      </w:hyperlink>
    </w:p>
  </w:footnote>
  <w:footnote w:id="6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Korean Re. Bulletin No. 180: Economic Outlook 2021. URL: </w:t>
      </w:r>
      <w:hyperlink r:id="rId63" w:tgtFrame="_new" w:history="1">
        <w:r w:rsidRPr="00081992">
          <w:rPr>
            <w:rStyle w:val="a5"/>
            <w:rFonts w:ascii="Times New Roman" w:hAnsi="Times New Roman" w:cs="Times New Roman"/>
          </w:rPr>
          <w:t>http://eng.koreanre.co.kr/webzine/Bulletin_180/bull1.html</w:t>
        </w:r>
      </w:hyperlink>
    </w:p>
  </w:footnote>
  <w:footnote w:id="66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Bank of Korea. Consumer Price Index: July 2022. Seoul: Bank of Korea, 2022. URL: </w:t>
      </w:r>
      <w:hyperlink r:id="rId64" w:tgtFrame="_new" w:history="1">
        <w:r w:rsidRPr="00081992">
          <w:rPr>
            <w:rStyle w:val="a5"/>
            <w:rFonts w:ascii="Times New Roman" w:hAnsi="Times New Roman" w:cs="Times New Roman"/>
          </w:rPr>
          <w:t>https://www.bok.or.kr/eng/main/main.do</w:t>
        </w:r>
      </w:hyperlink>
    </w:p>
  </w:footnote>
  <w:footnote w:id="67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Lee J.-H., Woo J. Discourse of the Post-COVID 19 New Deal in South Korea // Sustainability. 2021. Vol. 13, No. 15. Article 8493. DOI: </w:t>
      </w:r>
      <w:hyperlink r:id="rId65" w:tgtFrame="_new" w:history="1">
        <w:r w:rsidRPr="00081992">
          <w:rPr>
            <w:rStyle w:val="a5"/>
            <w:rFonts w:ascii="Times New Roman" w:hAnsi="Times New Roman" w:cs="Times New Roman"/>
          </w:rPr>
          <w:t>https://doi.org/10.3390/su13158493</w:t>
        </w:r>
      </w:hyperlink>
    </w:p>
  </w:footnote>
  <w:footnote w:id="68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S&amp;P Global Market Intelligence. Singapore Economy Continues on Road to Recovery. July 2022. URL: </w:t>
      </w:r>
      <w:hyperlink r:id="rId66" w:tgtFrame="_new" w:history="1">
        <w:r w:rsidRPr="00081992">
          <w:rPr>
            <w:rStyle w:val="a5"/>
            <w:rFonts w:ascii="Times New Roman" w:hAnsi="Times New Roman" w:cs="Times New Roman"/>
          </w:rPr>
          <w:t>https://www.spglobal.com/marketintelligence/en/mi/research-analysis/singapore-economy-continues-on-road-to-recovery-july22.html</w:t>
        </w:r>
      </w:hyperlink>
    </w:p>
  </w:footnote>
  <w:footnote w:id="69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ip</w:t>
      </w:r>
      <w:proofErr w:type="spellEnd"/>
      <w:r w:rsidRPr="00081992">
        <w:rPr>
          <w:rFonts w:ascii="Times New Roman" w:hAnsi="Times New Roman" w:cs="Times New Roman"/>
        </w:rPr>
        <w:t xml:space="preserve"> H.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Digital Government to Counter the Effects of COVID-19: The Case of Singapore // ERIA Research Project Report. 2022. URL: </w:t>
      </w:r>
      <w:hyperlink r:id="rId67" w:tgtFrame="_new" w:history="1">
        <w:r w:rsidRPr="00081992">
          <w:rPr>
            <w:rStyle w:val="a5"/>
            <w:rFonts w:ascii="Times New Roman" w:hAnsi="Times New Roman" w:cs="Times New Roman"/>
          </w:rPr>
          <w:t>https://www.eria.org/uploads/04_Chapter-3-The-Case-of-Singapore.pdf</w:t>
        </w:r>
      </w:hyperlink>
    </w:p>
  </w:footnote>
  <w:footnote w:id="7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Smart Nation Singapore. </w:t>
      </w:r>
      <w:proofErr w:type="spellStart"/>
      <w:r w:rsidRPr="00081992">
        <w:rPr>
          <w:rFonts w:ascii="Times New Roman" w:hAnsi="Times New Roman" w:cs="Times New Roman"/>
        </w:rPr>
        <w:t>TraceTogether</w:t>
      </w:r>
      <w:proofErr w:type="spellEnd"/>
      <w:r w:rsidRPr="00081992">
        <w:rPr>
          <w:rFonts w:ascii="Times New Roman" w:hAnsi="Times New Roman" w:cs="Times New Roman"/>
        </w:rPr>
        <w:t xml:space="preserve"> reduced contact tracing time from 4 days to less than 1.5 days. 2021. </w:t>
      </w:r>
      <w:proofErr w:type="spellStart"/>
      <w:r w:rsidRPr="00081992">
        <w:rPr>
          <w:rFonts w:ascii="Times New Roman" w:hAnsi="Times New Roman" w:cs="Times New Roman"/>
        </w:rPr>
        <w:t>Цит</w:t>
      </w:r>
      <w:proofErr w:type="spellEnd"/>
      <w:r w:rsidRPr="00081992">
        <w:rPr>
          <w:rFonts w:ascii="Times New Roman" w:hAnsi="Times New Roman" w:cs="Times New Roman"/>
        </w:rPr>
        <w:t xml:space="preserve">. </w:t>
      </w:r>
      <w:proofErr w:type="spellStart"/>
      <w:r w:rsidRPr="00081992">
        <w:rPr>
          <w:rFonts w:ascii="Times New Roman" w:hAnsi="Times New Roman" w:cs="Times New Roman"/>
        </w:rPr>
        <w:t>по</w:t>
      </w:r>
      <w:proofErr w:type="spellEnd"/>
      <w:r w:rsidRPr="00081992">
        <w:rPr>
          <w:rFonts w:ascii="Times New Roman" w:hAnsi="Times New Roman" w:cs="Times New Roman"/>
        </w:rPr>
        <w:t xml:space="preserve">: Yip H.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Digital Government to Counter the Effects of COVID-19: The Case of Singapore // ERIA Research Project Report. 2022. URL: </w:t>
      </w:r>
      <w:hyperlink r:id="rId68" w:tgtFrame="_new" w:history="1">
        <w:r w:rsidRPr="00081992">
          <w:rPr>
            <w:rStyle w:val="a5"/>
            <w:rFonts w:ascii="Times New Roman" w:hAnsi="Times New Roman" w:cs="Times New Roman"/>
          </w:rPr>
          <w:t>https://www.eria.org/uploads/04_Chapter-3-The-Case-of-Singapore.pdf</w:t>
        </w:r>
      </w:hyperlink>
    </w:p>
  </w:footnote>
  <w:footnote w:id="7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Ministry of Finance of Singapore. Ministerial Statement on COVID-19 Strategy. 2020. URL: </w:t>
      </w:r>
      <w:hyperlink r:id="rId69" w:tgtFrame="_new" w:history="1">
        <w:r w:rsidRPr="00081992">
          <w:rPr>
            <w:rStyle w:val="a5"/>
            <w:rFonts w:ascii="Times New Roman" w:hAnsi="Times New Roman" w:cs="Times New Roman"/>
          </w:rPr>
          <w:t>https://www.mof.gov.sg/news-resources/newsroom/ministerial-statement-on-overview-of-government-s-strategy-to-emerge-stronger-from-the-covid-19-pandemic/</w:t>
        </w:r>
      </w:hyperlink>
    </w:p>
  </w:footnote>
  <w:footnote w:id="7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Bank. Polish Economy Returns to Growth Amidst Pandemic-Related Setbacks. 31.03.2021. URL: </w:t>
      </w:r>
      <w:hyperlink r:id="rId70" w:tgtFrame="_new" w:history="1">
        <w:r w:rsidRPr="00081992">
          <w:rPr>
            <w:rStyle w:val="a5"/>
            <w:rFonts w:ascii="Times New Roman" w:hAnsi="Times New Roman" w:cs="Times New Roman"/>
          </w:rPr>
          <w:t>https://www.worldbank.org/en/news/press-release/2021/03/31/polish-economy-returns-to-growth-amidst-pandemic-related-setbacks</w:t>
        </w:r>
      </w:hyperlink>
    </w:p>
  </w:footnote>
  <w:footnote w:id="7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U.S. Department of State. 2023 Investment Climate Statements: Poland. URL: </w:t>
      </w:r>
      <w:hyperlink r:id="rId71" w:tgtFrame="_new" w:history="1">
        <w:r w:rsidRPr="00081992">
          <w:rPr>
            <w:rStyle w:val="a5"/>
            <w:rFonts w:ascii="Times New Roman" w:hAnsi="Times New Roman" w:cs="Times New Roman"/>
          </w:rPr>
          <w:t>https://www.state.gov/reports/2023-investment-climate-statements/poland</w:t>
        </w:r>
      </w:hyperlink>
    </w:p>
  </w:footnote>
  <w:footnote w:id="7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International Energy Agency. Poland 2022 - Energy Policy Review: Executive Summary. URL: </w:t>
      </w:r>
      <w:hyperlink r:id="rId72" w:tgtFrame="_new" w:history="1">
        <w:r w:rsidRPr="00081992">
          <w:rPr>
            <w:rStyle w:val="a5"/>
            <w:rFonts w:ascii="Times New Roman" w:hAnsi="Times New Roman" w:cs="Times New Roman"/>
          </w:rPr>
          <w:t>https://www.iea.org/reports/poland-2022/executive-summary</w:t>
        </w:r>
      </w:hyperlink>
    </w:p>
  </w:footnote>
  <w:footnote w:id="7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Friedrich-Ebert-</w:t>
      </w:r>
      <w:proofErr w:type="spellStart"/>
      <w:r w:rsidRPr="00081992">
        <w:rPr>
          <w:rFonts w:ascii="Times New Roman" w:hAnsi="Times New Roman" w:cs="Times New Roman"/>
        </w:rPr>
        <w:t>Stiftung</w:t>
      </w:r>
      <w:proofErr w:type="spellEnd"/>
      <w:r w:rsidRPr="00081992">
        <w:rPr>
          <w:rFonts w:ascii="Times New Roman" w:hAnsi="Times New Roman" w:cs="Times New Roman"/>
        </w:rPr>
        <w:t xml:space="preserve">. What to Do About Inflation? Poland. 2022. URL: </w:t>
      </w:r>
      <w:hyperlink r:id="rId73" w:tgtFrame="_new" w:history="1">
        <w:r w:rsidRPr="00081992">
          <w:rPr>
            <w:rStyle w:val="a5"/>
            <w:rFonts w:ascii="Times New Roman" w:hAnsi="Times New Roman" w:cs="Times New Roman"/>
          </w:rPr>
          <w:t>https://www.fes.de/en/progressive-fiscal-policy/inflation/what-to-do-about-inflation/what-to-do-about-inflation-poland</w:t>
        </w:r>
      </w:hyperlink>
    </w:p>
  </w:footnote>
  <w:footnote w:id="7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IMF. World Economic Outlook Database, April 2024. Washington, DC: International Monetary Fund, 2024; Eurostat. Real GDP Growth Rate - Volume. URL: </w:t>
      </w:r>
      <w:hyperlink r:id="rId74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https://ec.europa.eu/eurostat/databrowser/view/tec00115/</w:t>
        </w:r>
      </w:hyperlink>
    </w:p>
  </w:footnote>
  <w:footnote w:id="77">
    <w:p w:rsidR="0027301E" w:rsidRPr="00081992" w:rsidRDefault="0027301E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World Bank. World Development Indicators (WDI). URL: </w:t>
      </w:r>
      <w:hyperlink r:id="rId75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https://databank.worldbank.org/source/world-development-indicators</w:t>
        </w:r>
      </w:hyperlink>
    </w:p>
  </w:footnote>
  <w:footnote w:id="78">
    <w:p w:rsidR="0027301E" w:rsidRPr="00081992" w:rsidRDefault="0027301E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World Bank. World Bank Country and Lending Groups. URL: </w:t>
      </w:r>
      <w:hyperlink r:id="rId76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https://datahelpdesk.worldbank.org/knowledgebase/articles/906519</w:t>
        </w:r>
      </w:hyperlink>
    </w:p>
  </w:footnote>
  <w:footnote w:id="79">
    <w:p w:rsidR="0027301E" w:rsidRPr="00081992" w:rsidRDefault="0027301E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UNCTAD. World Investment Report 2023. Geneva: United Nations, 2023. URL: </w:t>
      </w:r>
      <w:hyperlink r:id="rId77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https://unctad.org/publication/world-investment-report-2023</w:t>
        </w:r>
      </w:hyperlink>
    </w:p>
  </w:footnote>
  <w:footnote w:id="8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Wooldridge J. M. Econometric Analysis of Cross Section and Panel Data. 2nd ed. MIT Press, 2010. P. 286-288.</w:t>
      </w:r>
    </w:p>
  </w:footnote>
  <w:footnote w:id="8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Czernich</w:t>
      </w:r>
      <w:proofErr w:type="spellEnd"/>
      <w:r w:rsidRPr="00081992">
        <w:rPr>
          <w:rFonts w:ascii="Times New Roman" w:hAnsi="Times New Roman" w:cs="Times New Roman"/>
        </w:rPr>
        <w:t xml:space="preserve"> N.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Broadband Infrastructure and Economic Growth // The Economic Journal. </w:t>
      </w:r>
      <w:r w:rsidRPr="00081992">
        <w:rPr>
          <w:rFonts w:ascii="Times New Roman" w:hAnsi="Times New Roman" w:cs="Times New Roman"/>
          <w:lang w:val="ru-RU"/>
        </w:rPr>
        <w:t xml:space="preserve">2011. </w:t>
      </w:r>
      <w:r w:rsidRPr="00081992">
        <w:rPr>
          <w:rFonts w:ascii="Times New Roman" w:hAnsi="Times New Roman" w:cs="Times New Roman"/>
        </w:rPr>
        <w:t>Vol</w:t>
      </w:r>
      <w:r w:rsidRPr="00081992">
        <w:rPr>
          <w:rFonts w:ascii="Times New Roman" w:hAnsi="Times New Roman" w:cs="Times New Roman"/>
          <w:lang w:val="ru-RU"/>
        </w:rPr>
        <w:t xml:space="preserve">. 121, </w:t>
      </w:r>
      <w:r w:rsidRPr="00081992">
        <w:rPr>
          <w:rFonts w:ascii="Times New Roman" w:hAnsi="Times New Roman" w:cs="Times New Roman"/>
        </w:rPr>
        <w:t>No</w:t>
      </w:r>
      <w:r w:rsidRPr="00081992">
        <w:rPr>
          <w:rFonts w:ascii="Times New Roman" w:hAnsi="Times New Roman" w:cs="Times New Roman"/>
          <w:lang w:val="ru-RU"/>
        </w:rPr>
        <w:t xml:space="preserve">. 552. </w:t>
      </w:r>
      <w:r w:rsidRPr="00081992">
        <w:rPr>
          <w:rFonts w:ascii="Times New Roman" w:hAnsi="Times New Roman" w:cs="Times New Roman"/>
        </w:rPr>
        <w:t>P</w:t>
      </w:r>
      <w:r w:rsidRPr="00081992">
        <w:rPr>
          <w:rFonts w:ascii="Times New Roman" w:hAnsi="Times New Roman" w:cs="Times New Roman"/>
          <w:lang w:val="ru-RU"/>
        </w:rPr>
        <w:t xml:space="preserve">. 505-532. </w:t>
      </w:r>
      <w:r w:rsidRPr="00081992">
        <w:rPr>
          <w:rFonts w:ascii="Times New Roman" w:hAnsi="Times New Roman" w:cs="Times New Roman"/>
        </w:rPr>
        <w:t>DOI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78" w:tgtFrame="_new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doi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r w:rsidRPr="00081992">
          <w:rPr>
            <w:rStyle w:val="a5"/>
            <w:rFonts w:ascii="Times New Roman" w:hAnsi="Times New Roman" w:cs="Times New Roman"/>
          </w:rPr>
          <w:t>org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/10.1111/</w:t>
        </w:r>
        <w:r w:rsidRPr="00081992">
          <w:rPr>
            <w:rStyle w:val="a5"/>
            <w:rFonts w:ascii="Times New Roman" w:hAnsi="Times New Roman" w:cs="Times New Roman"/>
          </w:rPr>
          <w:t>j</w:t>
        </w:r>
        <w:r w:rsidRPr="00081992">
          <w:rPr>
            <w:rStyle w:val="a5"/>
            <w:rFonts w:ascii="Times New Roman" w:hAnsi="Times New Roman" w:cs="Times New Roman"/>
            <w:lang w:val="ru-RU"/>
          </w:rPr>
          <w:t>.1468-0297.2011.02420.</w:t>
        </w:r>
        <w:r w:rsidRPr="00081992">
          <w:rPr>
            <w:rStyle w:val="a5"/>
            <w:rFonts w:ascii="Times New Roman" w:hAnsi="Times New Roman" w:cs="Times New Roman"/>
          </w:rPr>
          <w:t>x</w:t>
        </w:r>
      </w:hyperlink>
    </w:p>
  </w:footnote>
  <w:footnote w:id="8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05.10.2020 «Об утверждении Стратегии “Цифровой Узбекистан - 2030”». </w:t>
      </w:r>
      <w:r w:rsidRPr="00081992">
        <w:rPr>
          <w:rFonts w:ascii="Times New Roman" w:hAnsi="Times New Roman" w:cs="Times New Roman"/>
        </w:rPr>
        <w:t xml:space="preserve">URL: </w:t>
      </w:r>
      <w:hyperlink r:id="rId79" w:history="1">
        <w:r w:rsidRPr="00081992">
          <w:rPr>
            <w:rStyle w:val="a5"/>
            <w:rFonts w:ascii="Times New Roman" w:hAnsi="Times New Roman" w:cs="Times New Roman"/>
          </w:rPr>
          <w:t>https://lex.uz/ru/docs/5031048</w:t>
        </w:r>
      </w:hyperlink>
    </w:p>
  </w:footnote>
  <w:footnote w:id="8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Embassy of the Republic of Uzbekistan in Ukraine. Digital Transformation of Uzbekistan Promotes Regional Integration in Central Asia. URL: </w:t>
      </w:r>
      <w:hyperlink r:id="rId80" w:tgtFrame="_new" w:history="1">
        <w:r w:rsidRPr="00081992">
          <w:rPr>
            <w:rStyle w:val="a5"/>
            <w:rFonts w:ascii="Times New Roman" w:hAnsi="Times New Roman" w:cs="Times New Roman"/>
          </w:rPr>
          <w:t>https://www.uzbekistan.org.ua/en/news/7390-digital-transformation-of-uzbekistan-promotes-regional-integration-in-central-asia.html</w:t>
        </w:r>
      </w:hyperlink>
    </w:p>
  </w:footnote>
  <w:footnote w:id="8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5 октября 2020 г. «Об утверждении Стратегии "Цифровой Узбекистан — 2030" и мерах по её эффективной реализации»; </w:t>
      </w:r>
      <w:r w:rsidRPr="00081992">
        <w:rPr>
          <w:rFonts w:ascii="Times New Roman" w:hAnsi="Times New Roman" w:cs="Times New Roman"/>
        </w:rPr>
        <w:t>Beyond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Investments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Group</w:t>
      </w:r>
      <w:r w:rsidRPr="00081992">
        <w:rPr>
          <w:rFonts w:ascii="Times New Roman" w:hAnsi="Times New Roman" w:cs="Times New Roman"/>
          <w:lang w:val="ru-RU"/>
        </w:rPr>
        <w:t xml:space="preserve">. </w:t>
      </w:r>
      <w:r w:rsidRPr="00081992">
        <w:rPr>
          <w:rFonts w:ascii="Times New Roman" w:hAnsi="Times New Roman" w:cs="Times New Roman"/>
        </w:rPr>
        <w:t>Industry &amp; ICT — The Investor Uzbekistan 2023. URL</w:t>
      </w:r>
      <w:hyperlink r:id="rId81" w:history="1">
        <w:r w:rsidRPr="00081992">
          <w:rPr>
            <w:rStyle w:val="a5"/>
            <w:rFonts w:ascii="Times New Roman" w:hAnsi="Times New Roman" w:cs="Times New Roman"/>
          </w:rPr>
          <w:t>: https://www.beyondinvestmentsgroup.com/uzbekistan2023-industryandict</w:t>
        </w:r>
      </w:hyperlink>
    </w:p>
  </w:footnote>
  <w:footnote w:id="8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UN E-Government Survey 2024: Accelerating Digital Transformation for Sustainable Development. New York: United Nations, 2024. URL: </w:t>
      </w:r>
      <w:hyperlink r:id="rId82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https://publicadministration.un.org/egovkb/en-us/Reports/UN-E-Government-Survey-2024</w:t>
        </w:r>
      </w:hyperlink>
    </w:p>
  </w:footnote>
  <w:footnote w:id="8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URL: </w:t>
      </w:r>
      <w:hyperlink r:id="rId83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</w:p>
  </w:footnote>
  <w:footnote w:id="8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Oxford Insights. Government AI Readiness Index 2023, 2024, 2025. URL: </w:t>
      </w:r>
      <w:hyperlink r:id="rId84" w:tgtFrame="_new" w:history="1">
        <w:r w:rsidRPr="00081992">
          <w:rPr>
            <w:rStyle w:val="a5"/>
            <w:rFonts w:ascii="Times New Roman" w:hAnsi="Times New Roman" w:cs="Times New Roman"/>
          </w:rPr>
          <w:t>https://oxfordinsights.com/ai-readiness/ai-readiness-index/</w:t>
        </w:r>
      </w:hyperlink>
    </w:p>
  </w:footnote>
  <w:footnote w:id="8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URL: </w:t>
      </w:r>
      <w:hyperlink r:id="rId85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</w:p>
  </w:footnote>
  <w:footnote w:id="8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Worlddata.info. Telecommunications in Uzbekistan. URL: </w:t>
      </w:r>
      <w:hyperlink r:id="rId86" w:tgtFrame="_new" w:history="1">
        <w:r w:rsidRPr="00081992">
          <w:rPr>
            <w:rStyle w:val="a5"/>
            <w:rFonts w:ascii="Times New Roman" w:hAnsi="Times New Roman" w:cs="Times New Roman"/>
          </w:rPr>
          <w:t>https://www.worlddata.info/asia/uzbekistan/telecommunication.php</w:t>
        </w:r>
      </w:hyperlink>
    </w:p>
  </w:footnote>
  <w:footnote w:id="9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Global Economy. Uzbekistan: Internet Users. URL: </w:t>
      </w:r>
      <w:hyperlink r:id="rId87" w:tgtFrame="_new" w:history="1">
        <w:r w:rsidRPr="00081992">
          <w:rPr>
            <w:rStyle w:val="a5"/>
            <w:rFonts w:ascii="Times New Roman" w:hAnsi="Times New Roman" w:cs="Times New Roman"/>
          </w:rPr>
          <w:t>https://www.theglobaleconomy.com/Uzbekistan/Internet_users/</w:t>
        </w:r>
      </w:hyperlink>
    </w:p>
  </w:footnote>
  <w:footnote w:id="9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Freedom House. Freedom on the Net 2024 - Uzbekistan. URL: </w:t>
      </w:r>
      <w:hyperlink r:id="rId88" w:tgtFrame="_new" w:history="1">
        <w:r w:rsidRPr="00081992">
          <w:rPr>
            <w:rStyle w:val="a5"/>
            <w:rFonts w:ascii="Times New Roman" w:hAnsi="Times New Roman" w:cs="Times New Roman"/>
          </w:rPr>
          <w:t>https://freedomhouse.org/country/uzbekistan/freedom-net/2024</w:t>
        </w:r>
      </w:hyperlink>
    </w:p>
  </w:footnote>
  <w:footnote w:id="9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Ookla</w:t>
      </w:r>
      <w:proofErr w:type="spellEnd"/>
      <w:r w:rsidRPr="00081992">
        <w:rPr>
          <w:rFonts w:ascii="Times New Roman" w:hAnsi="Times New Roman" w:cs="Times New Roman"/>
        </w:rPr>
        <w:t xml:space="preserve">. </w:t>
      </w:r>
      <w:proofErr w:type="spellStart"/>
      <w:r w:rsidRPr="00081992">
        <w:rPr>
          <w:rFonts w:ascii="Times New Roman" w:hAnsi="Times New Roman" w:cs="Times New Roman"/>
        </w:rPr>
        <w:t>Speedtest</w:t>
      </w:r>
      <w:proofErr w:type="spellEnd"/>
      <w:r w:rsidRPr="00081992">
        <w:rPr>
          <w:rFonts w:ascii="Times New Roman" w:hAnsi="Times New Roman" w:cs="Times New Roman"/>
        </w:rPr>
        <w:t xml:space="preserve"> Global Index - Uzbekistan, January 2025. URL: https://www.speedtest.net/global-index/uzbekistan</w:t>
      </w:r>
    </w:p>
  </w:footnote>
  <w:footnote w:id="93">
    <w:p w:rsidR="0027301E" w:rsidRPr="00081992" w:rsidRDefault="0027301E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Uzbekistan, cited in </w:t>
      </w:r>
      <w:proofErr w:type="spellStart"/>
      <w:r w:rsidRPr="00081992">
        <w:rPr>
          <w:rFonts w:ascii="Times New Roman" w:hAnsi="Times New Roman" w:cs="Times New Roman"/>
        </w:rPr>
        <w:t>UzDaily</w:t>
      </w:r>
      <w:proofErr w:type="spellEnd"/>
      <w:r w:rsidRPr="00081992">
        <w:rPr>
          <w:rFonts w:ascii="Times New Roman" w:hAnsi="Times New Roman" w:cs="Times New Roman"/>
        </w:rPr>
        <w:t xml:space="preserve">. Uzbekistan’s GDP amounted to US$114.96 billion in 2024. February 2025. URL: </w:t>
      </w:r>
      <w:hyperlink r:id="rId89" w:tgtFrame="_new" w:history="1">
        <w:r w:rsidRPr="00081992">
          <w:rPr>
            <w:rStyle w:val="a5"/>
            <w:rFonts w:ascii="Times New Roman" w:hAnsi="Times New Roman" w:cs="Times New Roman"/>
          </w:rPr>
          <w:t>https://www.uzdaily.uz/en/uzbekistans-gdp-amounted-to-us11496-billion-in-2024/</w:t>
        </w:r>
      </w:hyperlink>
    </w:p>
  </w:footnote>
  <w:footnote w:id="9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Uzbekistan, cited in </w:t>
      </w:r>
      <w:proofErr w:type="spellStart"/>
      <w:r w:rsidRPr="00081992">
        <w:rPr>
          <w:rFonts w:ascii="Times New Roman" w:hAnsi="Times New Roman" w:cs="Times New Roman"/>
        </w:rPr>
        <w:t>UzDaily</w:t>
      </w:r>
      <w:proofErr w:type="spellEnd"/>
      <w:r w:rsidRPr="00081992">
        <w:rPr>
          <w:rFonts w:ascii="Times New Roman" w:hAnsi="Times New Roman" w:cs="Times New Roman"/>
        </w:rPr>
        <w:t>. Uzbekistan’s GDP amounted to US$114.96 billion in 2024. February 2025.</w:t>
      </w:r>
    </w:p>
  </w:footnote>
  <w:footnote w:id="9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б. г. URL: </w:t>
      </w:r>
      <w:hyperlink r:id="rId90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  <w:r w:rsidRPr="00081992">
        <w:rPr>
          <w:rFonts w:ascii="Times New Roman" w:hAnsi="Times New Roman" w:cs="Times New Roman"/>
        </w:rPr>
        <w:t>; Beyond Investments Group. Industry &amp; ICT // The Investor Uzbekistan 2023.</w:t>
      </w:r>
    </w:p>
  </w:footnote>
  <w:footnote w:id="9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TAdviser</w:t>
      </w:r>
      <w:proofErr w:type="spellEnd"/>
      <w:r w:rsidRPr="00081992">
        <w:rPr>
          <w:rFonts w:ascii="Times New Roman" w:hAnsi="Times New Roman" w:cs="Times New Roman"/>
        </w:rPr>
        <w:t xml:space="preserve">. ICT Market of Uzbekistan. 2024. URL: </w:t>
      </w:r>
      <w:hyperlink r:id="rId91" w:tgtFrame="_new" w:history="1">
        <w:r w:rsidRPr="00081992">
          <w:rPr>
            <w:rStyle w:val="a5"/>
            <w:rFonts w:ascii="Times New Roman" w:hAnsi="Times New Roman" w:cs="Times New Roman"/>
          </w:rPr>
          <w:t>https://tadviser.com/index.php/Article:ICT_market_of_Uzbekistan</w:t>
        </w:r>
      </w:hyperlink>
      <w:r w:rsidRPr="00081992">
        <w:rPr>
          <w:rFonts w:ascii="Times New Roman" w:hAnsi="Times New Roman" w:cs="Times New Roman"/>
        </w:rPr>
        <w:t>; Ministry of Digital Technologies of the Republic of Uzbekistan. Annual Report on IT Services Exports.</w:t>
      </w:r>
    </w:p>
  </w:footnote>
  <w:footnote w:id="9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Samadkulov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Allanazarov</w:t>
      </w:r>
      <w:proofErr w:type="spellEnd"/>
      <w:r w:rsidRPr="00081992">
        <w:rPr>
          <w:rFonts w:ascii="Times New Roman" w:hAnsi="Times New Roman" w:cs="Times New Roman"/>
        </w:rPr>
        <w:t xml:space="preserve"> R. Economy of the Services Sector: The Share of Tourism and IT Services in GDP. 2024. URL: </w:t>
      </w:r>
      <w:hyperlink r:id="rId92" w:tgtFrame="_new" w:history="1">
        <w:r w:rsidRPr="00081992">
          <w:rPr>
            <w:rStyle w:val="a5"/>
            <w:rFonts w:ascii="Times New Roman" w:hAnsi="Times New Roman" w:cs="Times New Roman"/>
          </w:rPr>
          <w:t>https://interspp.com/index.php/sft/article/download/1696/1293/2524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9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Mastercard</w:t>
      </w:r>
      <w:proofErr w:type="spellEnd"/>
      <w:r w:rsidRPr="00081992">
        <w:rPr>
          <w:rFonts w:ascii="Times New Roman" w:hAnsi="Times New Roman" w:cs="Times New Roman"/>
        </w:rPr>
        <w:t xml:space="preserve">. Fintech Market Uzbekistan. 2023, cited in: </w:t>
      </w:r>
      <w:proofErr w:type="spellStart"/>
      <w:r w:rsidRPr="00081992">
        <w:rPr>
          <w:rFonts w:ascii="Times New Roman" w:hAnsi="Times New Roman" w:cs="Times New Roman"/>
        </w:rPr>
        <w:t>FintechNews</w:t>
      </w:r>
      <w:proofErr w:type="spellEnd"/>
      <w:r w:rsidRPr="00081992">
        <w:rPr>
          <w:rFonts w:ascii="Times New Roman" w:hAnsi="Times New Roman" w:cs="Times New Roman"/>
        </w:rPr>
        <w:t xml:space="preserve"> Switzerland. Fintech on the Rise in Uzbekistan: A Short Overview. 2024. URL: </w:t>
      </w:r>
      <w:hyperlink r:id="rId93" w:tgtFrame="_new" w:history="1">
        <w:r w:rsidRPr="00081992">
          <w:rPr>
            <w:rStyle w:val="a5"/>
            <w:rFonts w:ascii="Times New Roman" w:hAnsi="Times New Roman" w:cs="Times New Roman"/>
          </w:rPr>
          <w:t>https://fintechnews.ch/fintech/fintech-on-the-rise-in-uzbekistan-a-short-overview/69023/</w:t>
        </w:r>
      </w:hyperlink>
    </w:p>
  </w:footnote>
  <w:footnote w:id="9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Mastercard</w:t>
      </w:r>
      <w:proofErr w:type="spellEnd"/>
      <w:r w:rsidRPr="00081992">
        <w:rPr>
          <w:rFonts w:ascii="Times New Roman" w:hAnsi="Times New Roman" w:cs="Times New Roman"/>
        </w:rPr>
        <w:t>. Fintech Market Uzbekistan. 2023</w:t>
      </w:r>
    </w:p>
  </w:footnote>
  <w:footnote w:id="10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Evolution of </w:t>
      </w:r>
      <w:proofErr w:type="spellStart"/>
      <w:r w:rsidRPr="00081992">
        <w:rPr>
          <w:rFonts w:ascii="Times New Roman" w:hAnsi="Times New Roman" w:cs="Times New Roman"/>
        </w:rPr>
        <w:t>FinTech</w:t>
      </w:r>
      <w:proofErr w:type="spellEnd"/>
      <w:r w:rsidRPr="00081992">
        <w:rPr>
          <w:rFonts w:ascii="Times New Roman" w:hAnsi="Times New Roman" w:cs="Times New Roman"/>
        </w:rPr>
        <w:t xml:space="preserve"> in Central Asian Countries and Implications for the Region’s Economy // </w:t>
      </w:r>
      <w:proofErr w:type="spellStart"/>
      <w:r w:rsidRPr="00081992">
        <w:rPr>
          <w:rFonts w:ascii="Times New Roman" w:hAnsi="Times New Roman" w:cs="Times New Roman"/>
        </w:rPr>
        <w:t>FinTech</w:t>
      </w:r>
      <w:proofErr w:type="spellEnd"/>
      <w:r w:rsidRPr="00081992">
        <w:rPr>
          <w:rFonts w:ascii="Times New Roman" w:hAnsi="Times New Roman" w:cs="Times New Roman"/>
        </w:rPr>
        <w:t xml:space="preserve">. 2025. Vol. 4, No. 4. URL: </w:t>
      </w:r>
      <w:hyperlink r:id="rId94" w:tgtFrame="_new" w:history="1">
        <w:r w:rsidRPr="00081992">
          <w:rPr>
            <w:rStyle w:val="a5"/>
            <w:rFonts w:ascii="Times New Roman" w:hAnsi="Times New Roman" w:cs="Times New Roman"/>
          </w:rPr>
          <w:t>https://www.mdpi.com/2674-1032/4/4/69</w:t>
        </w:r>
      </w:hyperlink>
    </w:p>
  </w:footnote>
  <w:footnote w:id="10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Abdukadirova</w:t>
      </w:r>
      <w:proofErr w:type="spellEnd"/>
      <w:r w:rsidRPr="00081992">
        <w:rPr>
          <w:rFonts w:ascii="Times New Roman" w:hAnsi="Times New Roman" w:cs="Times New Roman"/>
        </w:rPr>
        <w:t xml:space="preserve"> N.A. Statistical Analysis of the Dynamics of Non-Cash Payments in Uzbekistan Over the Past Five Years // Journal of Applied Science and Social Science. 2026. Vol. 16, No. 5. P. 320–323. URL: </w:t>
      </w:r>
      <w:hyperlink r:id="rId95" w:tgtFrame="_new" w:history="1">
        <w:r w:rsidRPr="00081992">
          <w:rPr>
            <w:rStyle w:val="a5"/>
            <w:rFonts w:ascii="Times New Roman" w:hAnsi="Times New Roman" w:cs="Times New Roman"/>
          </w:rPr>
          <w:t>https://www.internationaljournal.co.in/index.php/jasass/article/view/4320</w:t>
        </w:r>
      </w:hyperlink>
    </w:p>
  </w:footnote>
  <w:footnote w:id="10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 Country and Lending Groups: Country Classification. URL: </w:t>
      </w:r>
      <w:hyperlink r:id="rId96" w:tgtFrame="_new" w:history="1">
        <w:r w:rsidRPr="00081992">
          <w:rPr>
            <w:rStyle w:val="a5"/>
            <w:rFonts w:ascii="Times New Roman" w:hAnsi="Times New Roman" w:cs="Times New Roman"/>
          </w:rPr>
          <w:t>https://datahelpdesk.worldbank.org/knowledgebase/articles/906519-world-bank-country-and-lending-groups</w:t>
        </w:r>
      </w:hyperlink>
    </w:p>
  </w:footnote>
  <w:footnote w:id="10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UNCTAD. World Investment Report 2023: Investing in Sustainable Energy for All. Geneva: United Nations, 2023. URL: </w:t>
      </w:r>
      <w:hyperlink r:id="rId97" w:tgtFrame="_new" w:history="1">
        <w:r w:rsidRPr="00081992">
          <w:rPr>
            <w:rStyle w:val="a5"/>
            <w:rFonts w:ascii="Times New Roman" w:hAnsi="Times New Roman" w:cs="Times New Roman"/>
          </w:rPr>
          <w:t>https://unctad.org/publication/world-investment-report-2023</w:t>
        </w:r>
      </w:hyperlink>
    </w:p>
  </w:footnote>
  <w:footnote w:id="10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e-Estonia. X-Road: Data Exchange Layer. б. г. URL: </w:t>
      </w:r>
      <w:hyperlink r:id="rId98" w:tgtFrame="_new" w:history="1">
        <w:r w:rsidRPr="00081992">
          <w:rPr>
            <w:rStyle w:val="a5"/>
            <w:rFonts w:ascii="Times New Roman" w:hAnsi="Times New Roman" w:cs="Times New Roman"/>
          </w:rPr>
          <w:t>https://e-estonia.com/solutions/interoperability-services/x-road/</w:t>
        </w:r>
      </w:hyperlink>
    </w:p>
  </w:footnote>
  <w:footnote w:id="105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X-Road. Open-Source Software. б. г. URL: </w:t>
      </w:r>
      <w:hyperlink r:id="rId99" w:tgtFrame="_new" w:history="1">
        <w:r w:rsidRPr="00081992">
          <w:rPr>
            <w:rStyle w:val="a5"/>
            <w:rFonts w:ascii="Times New Roman" w:hAnsi="Times New Roman" w:cs="Times New Roman"/>
          </w:rPr>
          <w:t>https://x-road.global/xroad-open-source</w:t>
        </w:r>
      </w:hyperlink>
    </w:p>
  </w:footnote>
  <w:footnote w:id="106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Estonia. Population of Estonia, 1 January 2024. 2024. URL: </w:t>
      </w:r>
      <w:hyperlink r:id="rId100" w:tgtFrame="_new" w:history="1">
        <w:r w:rsidRPr="00081992">
          <w:rPr>
            <w:rStyle w:val="a5"/>
            <w:rFonts w:ascii="Times New Roman" w:hAnsi="Times New Roman" w:cs="Times New Roman"/>
          </w:rPr>
          <w:t>https://www.stat.ee/en/find-statistics/statistics-theme/population</w:t>
        </w:r>
      </w:hyperlink>
    </w:p>
  </w:footnote>
  <w:footnote w:id="107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Uzbekistan. Demographic situation in Uzbekistan, 2024. 2024. URL: </w:t>
      </w:r>
      <w:hyperlink r:id="rId101" w:tgtFrame="_new" w:history="1">
        <w:r w:rsidRPr="00081992">
          <w:rPr>
            <w:rStyle w:val="a5"/>
            <w:rFonts w:ascii="Times New Roman" w:hAnsi="Times New Roman" w:cs="Times New Roman"/>
          </w:rPr>
          <w:t>https://stat.uz/en/</w:t>
        </w:r>
      </w:hyperlink>
    </w:p>
  </w:footnote>
  <w:footnote w:id="10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Government of the Republic of Korea. Korean New Deal: National Strategy for a Great Transformation. Seoul, 2020. P. 14–18. URL: </w:t>
      </w:r>
      <w:hyperlink r:id="rId102" w:tgtFrame="_new" w:history="1">
        <w:r w:rsidRPr="00081992">
          <w:rPr>
            <w:rStyle w:val="a5"/>
            <w:rFonts w:ascii="Times New Roman" w:hAnsi="Times New Roman" w:cs="Times New Roman"/>
          </w:rPr>
          <w:t>https://english.moef.go.kr/</w:t>
        </w:r>
      </w:hyperlink>
    </w:p>
  </w:footnote>
  <w:footnote w:id="10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Commission. Operational </w:t>
      </w:r>
      <w:proofErr w:type="spellStart"/>
      <w:r w:rsidRPr="00081992">
        <w:rPr>
          <w:rFonts w:ascii="Times New Roman" w:hAnsi="Times New Roman" w:cs="Times New Roman"/>
        </w:rPr>
        <w:t>Programme</w:t>
      </w:r>
      <w:proofErr w:type="spellEnd"/>
      <w:r w:rsidRPr="00081992">
        <w:rPr>
          <w:rFonts w:ascii="Times New Roman" w:hAnsi="Times New Roman" w:cs="Times New Roman"/>
        </w:rPr>
        <w:t xml:space="preserve"> Digital Poland 2014–2020 (POPC). 2014–2020. URL: </w:t>
      </w:r>
      <w:hyperlink r:id="rId103" w:tgtFrame="_new" w:history="1">
        <w:r w:rsidRPr="00081992">
          <w:rPr>
            <w:rStyle w:val="a5"/>
            <w:rFonts w:ascii="Times New Roman" w:hAnsi="Times New Roman" w:cs="Times New Roman"/>
          </w:rPr>
          <w:t>https://ec.europa.eu/regional_policy/en/atlas/programmes/2014-2020/poland/2014pl16rfop002</w:t>
        </w:r>
      </w:hyperlink>
    </w:p>
  </w:footnote>
  <w:footnote w:id="11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Asian Development Bank. Uzbekistan: Country Partnership Strategy 2019–2023. Manila: ADB, 2019. URL: </w:t>
      </w:r>
      <w:hyperlink r:id="rId104" w:tgtFrame="_new" w:history="1">
        <w:r w:rsidRPr="00081992">
          <w:rPr>
            <w:rStyle w:val="a5"/>
            <w:rFonts w:ascii="Times New Roman" w:hAnsi="Times New Roman" w:cs="Times New Roman"/>
          </w:rPr>
          <w:t>https://www.adb.org/documents/uzbekistan-country-partnership-strategy-2019-2023</w:t>
        </w:r>
      </w:hyperlink>
    </w:p>
  </w:footnote>
  <w:footnote w:id="111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EBRD. Uzbekistan Country Strategy 2018–2023. London: EBRD, 2018. URL: </w:t>
      </w:r>
      <w:hyperlink r:id="rId105" w:tgtFrame="_new" w:history="1">
        <w:r w:rsidRPr="00081992">
          <w:rPr>
            <w:rStyle w:val="a5"/>
            <w:rFonts w:ascii="Times New Roman" w:hAnsi="Times New Roman" w:cs="Times New Roman"/>
          </w:rPr>
          <w:t>https://www.ebrd.com/uzbekistan.html</w:t>
        </w:r>
      </w:hyperlink>
    </w:p>
  </w:footnote>
  <w:footnote w:id="112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GovTech</w:t>
      </w:r>
      <w:proofErr w:type="spellEnd"/>
      <w:r w:rsidRPr="00081992">
        <w:rPr>
          <w:rFonts w:ascii="Times New Roman" w:hAnsi="Times New Roman" w:cs="Times New Roman"/>
        </w:rPr>
        <w:t xml:space="preserve"> Singapore. </w:t>
      </w:r>
      <w:proofErr w:type="spellStart"/>
      <w:r w:rsidRPr="00081992">
        <w:rPr>
          <w:rFonts w:ascii="Times New Roman" w:hAnsi="Times New Roman" w:cs="Times New Roman"/>
        </w:rPr>
        <w:t>SingPass</w:t>
      </w:r>
      <w:proofErr w:type="spellEnd"/>
      <w:r w:rsidRPr="00081992">
        <w:rPr>
          <w:rFonts w:ascii="Times New Roman" w:hAnsi="Times New Roman" w:cs="Times New Roman"/>
        </w:rPr>
        <w:t xml:space="preserve">: National Digital Identity. б. г. URL: </w:t>
      </w:r>
      <w:hyperlink r:id="rId106" w:tgtFrame="_new" w:history="1">
        <w:r w:rsidRPr="00081992">
          <w:rPr>
            <w:rStyle w:val="a5"/>
            <w:rFonts w:ascii="Times New Roman" w:hAnsi="Times New Roman" w:cs="Times New Roman"/>
          </w:rPr>
          <w:t>https://www.singpass.gov.sg/</w:t>
        </w:r>
      </w:hyperlink>
      <w:r w:rsidRPr="00081992">
        <w:rPr>
          <w:rFonts w:ascii="Times New Roman" w:hAnsi="Times New Roman" w:cs="Times New Roman"/>
        </w:rPr>
        <w:t xml:space="preserve"> (</w:t>
      </w:r>
      <w:proofErr w:type="spellStart"/>
      <w:r w:rsidRPr="00081992">
        <w:rPr>
          <w:rFonts w:ascii="Times New Roman" w:hAnsi="Times New Roman" w:cs="Times New Roman"/>
        </w:rPr>
        <w:t>дата</w:t>
      </w:r>
      <w:proofErr w:type="spellEnd"/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обращения</w:t>
      </w:r>
      <w:proofErr w:type="spellEnd"/>
      <w:r w:rsidRPr="00081992">
        <w:rPr>
          <w:rFonts w:ascii="Times New Roman" w:hAnsi="Times New Roman" w:cs="Times New Roman"/>
        </w:rPr>
        <w:t>: 10.05.2026).</w:t>
      </w:r>
    </w:p>
  </w:footnote>
  <w:footnote w:id="113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Ministry of Digital Technologies of the Republic of Uzbekistan. </w:t>
      </w:r>
      <w:proofErr w:type="spellStart"/>
      <w:r w:rsidRPr="00081992">
        <w:rPr>
          <w:rFonts w:ascii="Times New Roman" w:hAnsi="Times New Roman" w:cs="Times New Roman"/>
        </w:rPr>
        <w:t>MyID</w:t>
      </w:r>
      <w:proofErr w:type="spellEnd"/>
      <w:r w:rsidRPr="00081992">
        <w:rPr>
          <w:rFonts w:ascii="Times New Roman" w:hAnsi="Times New Roman" w:cs="Times New Roman"/>
        </w:rPr>
        <w:t xml:space="preserve">: National Digital Identification System. б. г. URL: </w:t>
      </w:r>
      <w:hyperlink r:id="rId107" w:tgtFrame="_new" w:history="1">
        <w:r w:rsidRPr="00081992">
          <w:rPr>
            <w:rStyle w:val="a5"/>
            <w:rFonts w:ascii="Times New Roman" w:hAnsi="Times New Roman" w:cs="Times New Roman"/>
          </w:rPr>
          <w:t>https://myid.uz/</w:t>
        </w:r>
      </w:hyperlink>
    </w:p>
  </w:footnote>
  <w:footnote w:id="114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Strengthening Economic Resilience: Insights from the Post-1970 Record of Severe Recessions and Financial Crises // OECD Economic Policy Papers. 2017. No. 20. P. 8–12. DOI: </w:t>
      </w:r>
      <w:hyperlink r:id="rId10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115">
    <w:p w:rsidR="0027301E" w:rsidRPr="00081992" w:rsidRDefault="0027301E" w:rsidP="00C02A16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International Telecommunication Union (ITU). ICT Indicators Database: Individual internet usage, Uzbekistan. 2023. URL: </w:t>
      </w:r>
      <w:hyperlink r:id="rId109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https://datahub.itu.int/</w:t>
        </w:r>
      </w:hyperlink>
    </w:p>
  </w:footnote>
  <w:footnote w:id="116">
    <w:p w:rsidR="0027301E" w:rsidRPr="00081992" w:rsidRDefault="0027301E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IT Park Uzbekistan. Annual Report 2024. 2024. URL: </w:t>
      </w:r>
      <w:hyperlink r:id="rId110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https://it-park.uz/en</w:t>
        </w:r>
      </w:hyperlink>
    </w:p>
  </w:footnote>
  <w:footnote w:id="117">
    <w:p w:rsidR="0027301E" w:rsidRPr="00081992" w:rsidRDefault="0027301E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proofErr w:type="spellStart"/>
      <w:r w:rsidRPr="00081992">
        <w:rPr>
          <w:rFonts w:ascii="Times New Roman" w:hAnsi="Times New Roman" w:cs="Times New Roman"/>
          <w:sz w:val="20"/>
          <w:szCs w:val="20"/>
        </w:rPr>
        <w:t>Mastercard</w:t>
      </w:r>
      <w:proofErr w:type="spellEnd"/>
      <w:r w:rsidRPr="00081992">
        <w:rPr>
          <w:rFonts w:ascii="Times New Roman" w:hAnsi="Times New Roman" w:cs="Times New Roman"/>
          <w:sz w:val="20"/>
          <w:szCs w:val="20"/>
        </w:rPr>
        <w:t xml:space="preserve">. Fintech Market Uzbekistan. 2023, cited in: </w:t>
      </w:r>
      <w:proofErr w:type="spellStart"/>
      <w:r w:rsidRPr="00081992">
        <w:rPr>
          <w:rFonts w:ascii="Times New Roman" w:hAnsi="Times New Roman" w:cs="Times New Roman"/>
          <w:sz w:val="20"/>
          <w:szCs w:val="20"/>
        </w:rPr>
        <w:t>FintechNews</w:t>
      </w:r>
      <w:proofErr w:type="spellEnd"/>
      <w:r w:rsidRPr="00081992">
        <w:rPr>
          <w:rFonts w:ascii="Times New Roman" w:hAnsi="Times New Roman" w:cs="Times New Roman"/>
          <w:sz w:val="20"/>
          <w:szCs w:val="20"/>
        </w:rPr>
        <w:t xml:space="preserve"> Switzerland. Fintech on the Rise in Uzbekistan: A Short Overview. 2024. URL: </w:t>
      </w:r>
      <w:hyperlink r:id="rId111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https://fintechnews.ch/fintech/fintech-on-the-rise-in-uzbekistan-a-short-overview/69023/</w:t>
        </w:r>
      </w:hyperlink>
    </w:p>
  </w:footnote>
  <w:footnote w:id="118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e-Estonia. X-Road: Data Exchange Layer. б. г. URL: </w:t>
      </w:r>
      <w:hyperlink r:id="rId112" w:tgtFrame="_new" w:history="1">
        <w:r w:rsidRPr="00081992">
          <w:rPr>
            <w:rStyle w:val="a5"/>
            <w:rFonts w:ascii="Times New Roman" w:hAnsi="Times New Roman" w:cs="Times New Roman"/>
          </w:rPr>
          <w:t>https://e-estonia.com/solutions/interoperability-services/x-road/</w:t>
        </w:r>
      </w:hyperlink>
    </w:p>
  </w:footnote>
  <w:footnote w:id="119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5 октября 2020 г. «Об утверждении Стратегии “Цифровой Узбекистан - 2030” и мерах по её эффективной реализации».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113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  <w:footnote w:id="120">
    <w:p w:rsidR="0027301E" w:rsidRPr="00081992" w:rsidRDefault="0027301E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от 5 октября 2020 г. № УП-6079 «Об утверждении Стратегии “Цифровой Узбекистан - 2030” и мерах по её эффективной реализации». Национальная база данных законодательства Республики Узбекистан. 2020.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114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CF00D5"/>
    <w:multiLevelType w:val="hybridMultilevel"/>
    <w:tmpl w:val="F468ED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0677"/>
    <w:rsid w:val="00081992"/>
    <w:rsid w:val="00114396"/>
    <w:rsid w:val="00114EA1"/>
    <w:rsid w:val="00161822"/>
    <w:rsid w:val="001657DE"/>
    <w:rsid w:val="001D4A97"/>
    <w:rsid w:val="001E7D4B"/>
    <w:rsid w:val="0022556C"/>
    <w:rsid w:val="0027301E"/>
    <w:rsid w:val="00302040"/>
    <w:rsid w:val="00386D9A"/>
    <w:rsid w:val="003879C6"/>
    <w:rsid w:val="00390488"/>
    <w:rsid w:val="004007C3"/>
    <w:rsid w:val="004B1E76"/>
    <w:rsid w:val="004B3C97"/>
    <w:rsid w:val="004F305F"/>
    <w:rsid w:val="00627AAF"/>
    <w:rsid w:val="006B77F0"/>
    <w:rsid w:val="006E5A5E"/>
    <w:rsid w:val="007200F4"/>
    <w:rsid w:val="007322BE"/>
    <w:rsid w:val="007638E3"/>
    <w:rsid w:val="007F6B0F"/>
    <w:rsid w:val="00807BBC"/>
    <w:rsid w:val="008453F5"/>
    <w:rsid w:val="00915457"/>
    <w:rsid w:val="0093678C"/>
    <w:rsid w:val="009450A1"/>
    <w:rsid w:val="00990EE6"/>
    <w:rsid w:val="009C4BB1"/>
    <w:rsid w:val="009F154E"/>
    <w:rsid w:val="00BA5274"/>
    <w:rsid w:val="00BA6504"/>
    <w:rsid w:val="00C02A16"/>
    <w:rsid w:val="00C70677"/>
    <w:rsid w:val="00C74BEF"/>
    <w:rsid w:val="00D43AEC"/>
    <w:rsid w:val="00E23D01"/>
    <w:rsid w:val="00E872C1"/>
    <w:rsid w:val="00F647F9"/>
    <w:rsid w:val="00F74968"/>
    <w:rsid w:val="00FB6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23814"/>
  <w15:chartTrackingRefBased/>
  <w15:docId w15:val="{3F5E550F-EB95-4A64-A445-D070FACA1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2A16"/>
    <w:pPr>
      <w:spacing w:line="278" w:lineRule="auto"/>
    </w:pPr>
    <w:rPr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2A1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C02A16"/>
    <w:rPr>
      <w:rFonts w:eastAsiaTheme="majorEastAsia" w:cstheme="majorBidi"/>
      <w:color w:val="2E74B5" w:themeColor="accent1" w:themeShade="BF"/>
      <w:sz w:val="28"/>
      <w:szCs w:val="28"/>
      <w14:ligatures w14:val="standardContextual"/>
    </w:rPr>
  </w:style>
  <w:style w:type="paragraph" w:styleId="a3">
    <w:name w:val="List Paragraph"/>
    <w:basedOn w:val="a"/>
    <w:uiPriority w:val="34"/>
    <w:qFormat/>
    <w:rsid w:val="00C02A16"/>
    <w:pPr>
      <w:ind w:left="720"/>
      <w:contextualSpacing/>
    </w:pPr>
  </w:style>
  <w:style w:type="character" w:styleId="a4">
    <w:name w:val="footnote reference"/>
    <w:uiPriority w:val="99"/>
    <w:semiHidden/>
    <w:unhideWhenUsed/>
    <w:rsid w:val="00C02A16"/>
    <w:rPr>
      <w:vertAlign w:val="superscript"/>
    </w:rPr>
  </w:style>
  <w:style w:type="character" w:styleId="a5">
    <w:name w:val="Hyperlink"/>
    <w:basedOn w:val="a0"/>
    <w:uiPriority w:val="99"/>
    <w:unhideWhenUsed/>
    <w:rsid w:val="00C02A16"/>
    <w:rPr>
      <w:color w:val="0000FF"/>
      <w:u w:val="single"/>
    </w:rPr>
  </w:style>
  <w:style w:type="paragraph" w:styleId="a6">
    <w:name w:val="footnote text"/>
    <w:basedOn w:val="a"/>
    <w:link w:val="a7"/>
    <w:uiPriority w:val="99"/>
    <w:semiHidden/>
    <w:unhideWhenUsed/>
    <w:rsid w:val="00C02A16"/>
    <w:pPr>
      <w:spacing w:after="0" w:line="240" w:lineRule="auto"/>
    </w:pPr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C02A16"/>
    <w:rPr>
      <w:sz w:val="20"/>
      <w:szCs w:val="20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C02A1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2A16"/>
    <w:rPr>
      <w14:ligatures w14:val="standardContextual"/>
    </w:rPr>
  </w:style>
  <w:style w:type="character" w:styleId="aa">
    <w:name w:val="FollowedHyperlink"/>
    <w:basedOn w:val="a0"/>
    <w:uiPriority w:val="99"/>
    <w:semiHidden/>
    <w:unhideWhenUsed/>
    <w:rsid w:val="004B3C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labeco.2023.102330" TargetMode="External"/><Relationship Id="rId21" Type="http://schemas.openxmlformats.org/officeDocument/2006/relationships/hyperlink" Target="https://doi.org/10.1787/6b748a4b-en" TargetMode="External"/><Relationship Id="rId42" Type="http://schemas.openxmlformats.org/officeDocument/2006/relationships/hyperlink" Target="https://keia.org/the-peninsula/the-korean-new-deal/" TargetMode="External"/><Relationship Id="rId47" Type="http://schemas.openxmlformats.org/officeDocument/2006/relationships/hyperlink" Target="https://southeastasiainfra.com/digital-leap-singapores-blueprint-for-smart-nation-2-0/" TargetMode="External"/><Relationship Id="rId63" Type="http://schemas.openxmlformats.org/officeDocument/2006/relationships/hyperlink" Target="http://eng.koreanre.co.kr/webzine/Bulletin_180/bull1.html" TargetMode="External"/><Relationship Id="rId68" Type="http://schemas.openxmlformats.org/officeDocument/2006/relationships/hyperlink" Target="https://www.eria.org/uploads/04_Chapter-3-The-Case-of-Singapore.pdf" TargetMode="External"/><Relationship Id="rId84" Type="http://schemas.openxmlformats.org/officeDocument/2006/relationships/hyperlink" Target="https://oxfordinsights.com/ai-readiness/ai-readiness-index/" TargetMode="External"/><Relationship Id="rId89" Type="http://schemas.openxmlformats.org/officeDocument/2006/relationships/hyperlink" Target="https://www.uzdaily.uz/en/uzbekistans-gdp-amounted-to-us11496-billion-in-2024/" TargetMode="External"/><Relationship Id="rId112" Type="http://schemas.openxmlformats.org/officeDocument/2006/relationships/hyperlink" Target="https://e-estonia.com/solutions/interoperability-services/x-road/?utm_source=chatgpt.com" TargetMode="External"/><Relationship Id="rId2" Type="http://schemas.openxmlformats.org/officeDocument/2006/relationships/hyperlink" Target="https://doi.org/10.1016/j.labeco.2023.102330" TargetMode="External"/><Relationship Id="rId16" Type="http://schemas.openxmlformats.org/officeDocument/2006/relationships/hyperlink" Target="https://doi.org/10.1016/j.labeco.2023.102330" TargetMode="External"/><Relationship Id="rId29" Type="http://schemas.openxmlformats.org/officeDocument/2006/relationships/hyperlink" Target="https://doi.org/10.1787/a1689dc5-en" TargetMode="External"/><Relationship Id="rId107" Type="http://schemas.openxmlformats.org/officeDocument/2006/relationships/hyperlink" Target="https://myid.uz/" TargetMode="External"/><Relationship Id="rId11" Type="http://schemas.openxmlformats.org/officeDocument/2006/relationships/hyperlink" Target="https://ec.europa.eu/eurostat/statistics-explained/index.php?title=Cloud_computing_-_statistics_on_the_use_by_enterprises" TargetMode="External"/><Relationship Id="rId24" Type="http://schemas.openxmlformats.org/officeDocument/2006/relationships/hyperlink" Target="https://doi.org/10.1787/f6d42aa5-en" TargetMode="External"/><Relationship Id="rId32" Type="http://schemas.openxmlformats.org/officeDocument/2006/relationships/hyperlink" Target="https://doi.org/10.1787/5jln0421ld25-en" TargetMode="External"/><Relationship Id="rId37" Type="http://schemas.openxmlformats.org/officeDocument/2006/relationships/hyperlink" Target="https://investinestonia.com/e-residency-brings-record-revenue-in-first-half-of-2025/" TargetMode="External"/><Relationship Id="rId40" Type="http://schemas.openxmlformats.org/officeDocument/2006/relationships/hyperlink" Target="https://www.iea.org/policies/11514-korean-new-deal-digital-new-deal-green-new-deal-and-stronger-safety-net" TargetMode="External"/><Relationship Id="rId45" Type="http://schemas.openxmlformats.org/officeDocument/2006/relationships/hyperlink" Target="https://publicadministration.un.org/egovkb/en-us/Data/Country-Information/id/138-Republic-of-Korea?utm_source=chatgpt.com" TargetMode="External"/><Relationship Id="rId53" Type="http://schemas.openxmlformats.org/officeDocument/2006/relationships/hyperlink" Target="https://en.ain.ua/2023/07/14/poland-digital-ids-equal-traditional-documents/" TargetMode="External"/><Relationship Id="rId58" Type="http://schemas.openxmlformats.org/officeDocument/2006/relationships/hyperlink" Target="https://ec.europa.eu/eurostat/databrowser/view/tec00115/" TargetMode="External"/><Relationship Id="rId66" Type="http://schemas.openxmlformats.org/officeDocument/2006/relationships/hyperlink" Target="https://www.spglobal.com/marketintelligence/en/mi/research-analysis/singapore-economy-continues-on-road-to-recovery-july22.html" TargetMode="External"/><Relationship Id="rId74" Type="http://schemas.openxmlformats.org/officeDocument/2006/relationships/hyperlink" Target="https://ec.europa.eu/eurostat/databrowser/view/tec00115/" TargetMode="External"/><Relationship Id="rId79" Type="http://schemas.openxmlformats.org/officeDocument/2006/relationships/hyperlink" Target="https://lex.uz/ru/docs/5031048" TargetMode="External"/><Relationship Id="rId87" Type="http://schemas.openxmlformats.org/officeDocument/2006/relationships/hyperlink" Target="https://www.theglobaleconomy.com/Uzbekistan/Internet_users/" TargetMode="External"/><Relationship Id="rId102" Type="http://schemas.openxmlformats.org/officeDocument/2006/relationships/hyperlink" Target="https://english.moef.go.kr/" TargetMode="External"/><Relationship Id="rId110" Type="http://schemas.openxmlformats.org/officeDocument/2006/relationships/hyperlink" Target="https://it-park.uz/en" TargetMode="External"/><Relationship Id="rId5" Type="http://schemas.openxmlformats.org/officeDocument/2006/relationships/hyperlink" Target="https://publicadministration.un.org/egovkb/en-us/reports/un-e-government-survey-2024" TargetMode="External"/><Relationship Id="rId61" Type="http://schemas.openxmlformats.org/officeDocument/2006/relationships/hyperlink" Target="https://www.europarl.europa.eu/thinktank/en/document/EPRS_BRI(2022)698886" TargetMode="External"/><Relationship Id="rId82" Type="http://schemas.openxmlformats.org/officeDocument/2006/relationships/hyperlink" Target="https://publicadministration.un.org/egovkb/en-us/Reports/UN-E-Government-Survey-2024" TargetMode="External"/><Relationship Id="rId90" Type="http://schemas.openxmlformats.org/officeDocument/2006/relationships/hyperlink" Target="https://dig.watch/countries/uzbekistan" TargetMode="External"/><Relationship Id="rId95" Type="http://schemas.openxmlformats.org/officeDocument/2006/relationships/hyperlink" Target="https://www.internationaljournal.co.in/index.php/jasass/article/view/4320" TargetMode="External"/><Relationship Id="rId19" Type="http://schemas.openxmlformats.org/officeDocument/2006/relationships/hyperlink" Target="https://doi.org/10.1787/5jrxhgf61q5j-en" TargetMode="External"/><Relationship Id="rId14" Type="http://schemas.openxmlformats.org/officeDocument/2006/relationships/hyperlink" Target="https://doi.org/10.1787/a1689dc5-en" TargetMode="External"/><Relationship Id="rId22" Type="http://schemas.openxmlformats.org/officeDocument/2006/relationships/hyperlink" Target="https://doi.org/10.1787/5jrxhgfqx3mv-en" TargetMode="External"/><Relationship Id="rId27" Type="http://schemas.openxmlformats.org/officeDocument/2006/relationships/hyperlink" Target="https://doi.org/10.1787/a1689dc5-en" TargetMode="External"/><Relationship Id="rId30" Type="http://schemas.openxmlformats.org/officeDocument/2006/relationships/hyperlink" Target="https://unctad.org/webflyer/digital-economy-report-2021" TargetMode="External"/><Relationship Id="rId35" Type="http://schemas.openxmlformats.org/officeDocument/2006/relationships/hyperlink" Target="https://x-road.global/xroad-history" TargetMode="External"/><Relationship Id="rId43" Type="http://schemas.openxmlformats.org/officeDocument/2006/relationships/hyperlink" Target="https://www.prnewswire.com/news-releases/digital-new-deal-secures-future-growth-engine-301346790.html" TargetMode="External"/><Relationship Id="rId48" Type="http://schemas.openxmlformats.org/officeDocument/2006/relationships/hyperlink" Target="https://www.tech.gov.sg/technews/our-enhanced-smart-nation-vision-paving-the-way-for-a-new-digital-era/" TargetMode="External"/><Relationship Id="rId56" Type="http://schemas.openxmlformats.org/officeDocument/2006/relationships/hyperlink" Target="https://doi.org/10.1787/a1689dc5-en" TargetMode="External"/><Relationship Id="rId64" Type="http://schemas.openxmlformats.org/officeDocument/2006/relationships/hyperlink" Target="https://www.bok.or.kr/eng/main/main.do" TargetMode="External"/><Relationship Id="rId69" Type="http://schemas.openxmlformats.org/officeDocument/2006/relationships/hyperlink" Target="https://www.mof.gov.sg/news-resources/newsroom/ministerial-statement-on-overview-of-government-s-strategy-to-emerge-stronger-from-the-covid-19-pandemic/" TargetMode="External"/><Relationship Id="rId77" Type="http://schemas.openxmlformats.org/officeDocument/2006/relationships/hyperlink" Target="https://unctad.org/publication/world-investment-report-2023" TargetMode="External"/><Relationship Id="rId100" Type="http://schemas.openxmlformats.org/officeDocument/2006/relationships/hyperlink" Target="https://www.stat.ee/en/find-statistics/statistics-theme/population" TargetMode="External"/><Relationship Id="rId105" Type="http://schemas.openxmlformats.org/officeDocument/2006/relationships/hyperlink" Target="https://www.ebrd.com/uzbekistan.html" TargetMode="External"/><Relationship Id="rId113" Type="http://schemas.openxmlformats.org/officeDocument/2006/relationships/hyperlink" Target="https://lex.uz/ru/docs/5031048" TargetMode="External"/><Relationship Id="rId8" Type="http://schemas.openxmlformats.org/officeDocument/2006/relationships/hyperlink" Target="https://doi.org/10.1787/data-00037-en" TargetMode="External"/><Relationship Id="rId51" Type="http://schemas.openxmlformats.org/officeDocument/2006/relationships/hyperlink" Target="https://warsawinstitute.org/digital-state-how-poland-became-a-european-leader-in-digitalisation/" TargetMode="External"/><Relationship Id="rId72" Type="http://schemas.openxmlformats.org/officeDocument/2006/relationships/hyperlink" Target="https://www.iea.org/reports/poland-2022/executive-summary" TargetMode="External"/><Relationship Id="rId80" Type="http://schemas.openxmlformats.org/officeDocument/2006/relationships/hyperlink" Target="https://www.uzbekistan.org.ua/en/news/7390-digital-transformation-of-uzbekistan-promotes-regional-integration-in-central-asia.html" TargetMode="External"/><Relationship Id="rId85" Type="http://schemas.openxmlformats.org/officeDocument/2006/relationships/hyperlink" Target="https://dig.watch/countries/uzbekistan" TargetMode="External"/><Relationship Id="rId93" Type="http://schemas.openxmlformats.org/officeDocument/2006/relationships/hyperlink" Target="https://fintechnews.ch/fintech/fintech-on-the-rise-in-uzbekistan-a-short-overview/69023/" TargetMode="External"/><Relationship Id="rId98" Type="http://schemas.openxmlformats.org/officeDocument/2006/relationships/hyperlink" Target="https://e-estonia.com/solutions/interoperability-services/x-road/" TargetMode="External"/><Relationship Id="rId3" Type="http://schemas.openxmlformats.org/officeDocument/2006/relationships/hyperlink" Target="https://lex.uz/ru/docs/5031048" TargetMode="External"/><Relationship Id="rId12" Type="http://schemas.openxmlformats.org/officeDocument/2006/relationships/hyperlink" Target="https://doi.org/10.1787/a1689dc5-en" TargetMode="External"/><Relationship Id="rId17" Type="http://schemas.openxmlformats.org/officeDocument/2006/relationships/hyperlink" Target="https://doi.org/10.1787/5jrxhgf61q5j-en" TargetMode="External"/><Relationship Id="rId25" Type="http://schemas.openxmlformats.org/officeDocument/2006/relationships/hyperlink" Target="https://doi.org/10.1787/f6d42aa5-en" TargetMode="External"/><Relationship Id="rId33" Type="http://schemas.openxmlformats.org/officeDocument/2006/relationships/hyperlink" Target="https://www.educationestonia.org/tiger-leap/" TargetMode="External"/><Relationship Id="rId38" Type="http://schemas.openxmlformats.org/officeDocument/2006/relationships/hyperlink" Target="https://www.baltictimes.com/new_milestone_for_e-residency_with_record_number_of_companies_founded_in_2024/" TargetMode="External"/><Relationship Id="rId46" Type="http://schemas.openxmlformats.org/officeDocument/2006/relationships/hyperlink" Target="https://govinsider.asia/intl-en/article/leaving-no-one-behind-will-determine-success-of-smart-nation-20" TargetMode="External"/><Relationship Id="rId59" Type="http://schemas.openxmlformats.org/officeDocument/2006/relationships/hyperlink" Target="https://thecsruniverse.com/articles/estonia-a-fine-model-of-e-governance-for-the-world" TargetMode="External"/><Relationship Id="rId67" Type="http://schemas.openxmlformats.org/officeDocument/2006/relationships/hyperlink" Target="https://www.eria.org/uploads/04_Chapter-3-The-Case-of-Singapore.pdf" TargetMode="External"/><Relationship Id="rId103" Type="http://schemas.openxmlformats.org/officeDocument/2006/relationships/hyperlink" Target="https://ec.europa.eu/regional_policy/en/atlas/programmes/2014-2020/poland/2014pl16rfop002" TargetMode="External"/><Relationship Id="rId108" Type="http://schemas.openxmlformats.org/officeDocument/2006/relationships/hyperlink" Target="https://doi.org/10.1787/6b748a4b-en" TargetMode="External"/><Relationship Id="rId20" Type="http://schemas.openxmlformats.org/officeDocument/2006/relationships/hyperlink" Target="https://doi.org/10.1787/6b748a4b-en" TargetMode="External"/><Relationship Id="rId41" Type="http://schemas.openxmlformats.org/officeDocument/2006/relationships/hyperlink" Target="https://doi.org/10.3390/su13158493" TargetMode="External"/><Relationship Id="rId54" Type="http://schemas.openxmlformats.org/officeDocument/2006/relationships/hyperlink" Target="https://www.biometricupdate.com/202508/poland-campaigns-to-boost-the-use-of-its-digital-id-platform-mobywatel" TargetMode="External"/><Relationship Id="rId62" Type="http://schemas.openxmlformats.org/officeDocument/2006/relationships/hyperlink" Target="https://eastasiaforum.org/2022/02/04/south-koreas-strong-economic-performance-faces-post-pandemic-challenges/" TargetMode="External"/><Relationship Id="rId70" Type="http://schemas.openxmlformats.org/officeDocument/2006/relationships/hyperlink" Target="https://www.worldbank.org/en/news/press-release/2021/03/31/polish-economy-returns-to-growth-amidst-pandemic-related-setbacks" TargetMode="External"/><Relationship Id="rId75" Type="http://schemas.openxmlformats.org/officeDocument/2006/relationships/hyperlink" Target="https://databank.worldbank.org/source/world-development-indicators" TargetMode="External"/><Relationship Id="rId83" Type="http://schemas.openxmlformats.org/officeDocument/2006/relationships/hyperlink" Target="https://dig.watch/countries/uzbekistan" TargetMode="External"/><Relationship Id="rId88" Type="http://schemas.openxmlformats.org/officeDocument/2006/relationships/hyperlink" Target="https://freedomhouse.org/country/uzbekistan/freedom-net/2024" TargetMode="External"/><Relationship Id="rId91" Type="http://schemas.openxmlformats.org/officeDocument/2006/relationships/hyperlink" Target="https://tadviser.com/index.php/Article:ICT_market_of_Uzbekistan" TargetMode="External"/><Relationship Id="rId96" Type="http://schemas.openxmlformats.org/officeDocument/2006/relationships/hyperlink" Target="https://datahelpdesk.worldbank.org/knowledgebase/articles/906519-world-bank-country-and-lending-groups" TargetMode="External"/><Relationship Id="rId111" Type="http://schemas.openxmlformats.org/officeDocument/2006/relationships/hyperlink" Target="https://fintechnews.ch/fintech/fintech-on-the-rise-in-uzbekistan-a-short-overview/69023/" TargetMode="External"/><Relationship Id="rId1" Type="http://schemas.openxmlformats.org/officeDocument/2006/relationships/hyperlink" Target="https://doi.org/10.1787/6b748a4b-en" TargetMode="External"/><Relationship Id="rId6" Type="http://schemas.openxmlformats.org/officeDocument/2006/relationships/hyperlink" Target="https://databank.worldbank.org/source/world-development-indicators" TargetMode="External"/><Relationship Id="rId15" Type="http://schemas.openxmlformats.org/officeDocument/2006/relationships/hyperlink" Target="https://doi.org/10.1596/978-1-4648-0671-1" TargetMode="External"/><Relationship Id="rId23" Type="http://schemas.openxmlformats.org/officeDocument/2006/relationships/hyperlink" Target="https://doi.org/10.1787/f6d42aa5-en" TargetMode="External"/><Relationship Id="rId28" Type="http://schemas.openxmlformats.org/officeDocument/2006/relationships/hyperlink" Target="https://ec.europa.eu/eurostat/statistics-explained/index.php/E-commerce_statistics_for_individuals" TargetMode="External"/><Relationship Id="rId36" Type="http://schemas.openxmlformats.org/officeDocument/2006/relationships/hyperlink" Target="https://cyber.ee/resources/case-studies/estonian-interoperability-framework-x-road/" TargetMode="External"/><Relationship Id="rId49" Type="http://schemas.openxmlformats.org/officeDocument/2006/relationships/hyperlink" Target="https://opengovasia.com/singapore-milestones-and-momentum-of-a-smart-nation/" TargetMode="External"/><Relationship Id="rId57" Type="http://schemas.openxmlformats.org/officeDocument/2006/relationships/hyperlink" Target="https://www.imda.gov.sg/-/media/imda/files/infocomm-media-landscape/research-and-statistics/sgde-report/singapore-digital-economy-report-2024.pdf" TargetMode="External"/><Relationship Id="rId106" Type="http://schemas.openxmlformats.org/officeDocument/2006/relationships/hyperlink" Target="https://www.singpass.gov.sg/" TargetMode="External"/><Relationship Id="rId114" Type="http://schemas.openxmlformats.org/officeDocument/2006/relationships/hyperlink" Target="https://lex.uz/ru/docs/5031048" TargetMode="External"/><Relationship Id="rId10" Type="http://schemas.openxmlformats.org/officeDocument/2006/relationships/hyperlink" Target="https://doi.org/10.1787/a1689dc5-en" TargetMode="External"/><Relationship Id="rId31" Type="http://schemas.openxmlformats.org/officeDocument/2006/relationships/hyperlink" Target="https://doi.org/10.1787/5jrxhgfqx3mv-en" TargetMode="External"/><Relationship Id="rId44" Type="http://schemas.openxmlformats.org/officeDocument/2006/relationships/hyperlink" Target="https://thediplomat.com/2020/06/south-koreas-digital-new-deal/" TargetMode="External"/><Relationship Id="rId52" Type="http://schemas.openxmlformats.org/officeDocument/2006/relationships/hyperlink" Target="https://digital-strategy.ec.europa.eu/en/policies/digital-connectivity-poland" TargetMode="External"/><Relationship Id="rId60" Type="http://schemas.openxmlformats.org/officeDocument/2006/relationships/hyperlink" Target="https://www.imf.org/en/Publications/WEO/weo-database/2024/April" TargetMode="External"/><Relationship Id="rId65" Type="http://schemas.openxmlformats.org/officeDocument/2006/relationships/hyperlink" Target="https://doi.org/10.3390/su13158493" TargetMode="External"/><Relationship Id="rId73" Type="http://schemas.openxmlformats.org/officeDocument/2006/relationships/hyperlink" Target="https://www.fes.de/en/progressive-fiscal-policy/inflation/what-to-do-about-inflation/what-to-do-about-inflation-poland" TargetMode="External"/><Relationship Id="rId78" Type="http://schemas.openxmlformats.org/officeDocument/2006/relationships/hyperlink" Target="https://doi.org/10.1111/j.1468-0297.2011.02420.x" TargetMode="External"/><Relationship Id="rId81" Type="http://schemas.openxmlformats.org/officeDocument/2006/relationships/hyperlink" Target=":%20https:/www.beyondinvestmentsgroup.com/uzbekistan2023-industryandict" TargetMode="External"/><Relationship Id="rId86" Type="http://schemas.openxmlformats.org/officeDocument/2006/relationships/hyperlink" Target="https://www.worlddata.info/asia/uzbekistan/telecommunication.php" TargetMode="External"/><Relationship Id="rId94" Type="http://schemas.openxmlformats.org/officeDocument/2006/relationships/hyperlink" Target="https://www.mdpi.com/2674-1032/4/4/69" TargetMode="External"/><Relationship Id="rId99" Type="http://schemas.openxmlformats.org/officeDocument/2006/relationships/hyperlink" Target="https://x-road.global/xroad-open-source" TargetMode="External"/><Relationship Id="rId101" Type="http://schemas.openxmlformats.org/officeDocument/2006/relationships/hyperlink" Target="https://stat.uz/en/" TargetMode="External"/><Relationship Id="rId4" Type="http://schemas.openxmlformats.org/officeDocument/2006/relationships/hyperlink" Target="https://doi.org/10.1080/13600810903089893" TargetMode="External"/><Relationship Id="rId9" Type="http://schemas.openxmlformats.org/officeDocument/2006/relationships/hyperlink" Target="https://doi.org/10.1787/a1689dc5-en" TargetMode="External"/><Relationship Id="rId13" Type="http://schemas.openxmlformats.org/officeDocument/2006/relationships/hyperlink" Target="https://doi.org/10.1787/f6d42aa5-en" TargetMode="External"/><Relationship Id="rId18" Type="http://schemas.openxmlformats.org/officeDocument/2006/relationships/hyperlink" Target="https://doi.org/10.1787/5jrxhgf61q5j-en" TargetMode="External"/><Relationship Id="rId39" Type="http://schemas.openxmlformats.org/officeDocument/2006/relationships/hyperlink" Target="https://publicadministration.un.org/egovkb/" TargetMode="External"/><Relationship Id="rId109" Type="http://schemas.openxmlformats.org/officeDocument/2006/relationships/hyperlink" Target="https://datahub.itu.int/" TargetMode="External"/><Relationship Id="rId34" Type="http://schemas.openxmlformats.org/officeDocument/2006/relationships/hyperlink" Target="https://estonianworld.com/technology/estonias-tiger-leap-the-schools-project-that-wired-a-nation-for-the-digital-age/" TargetMode="External"/><Relationship Id="rId50" Type="http://schemas.openxmlformats.org/officeDocument/2006/relationships/hyperlink" Target="https://publicadministration.un.org/egovkb/en-us/Data/Country-Information/id/156-Singapore" TargetMode="External"/><Relationship Id="rId55" Type="http://schemas.openxmlformats.org/officeDocument/2006/relationships/hyperlink" Target="https://www.trade.gov/country-commercial-guides/poland-digital-economy" TargetMode="External"/><Relationship Id="rId76" Type="http://schemas.openxmlformats.org/officeDocument/2006/relationships/hyperlink" Target="https://datahelpdesk.worldbank.org/knowledgebase/articles/906519" TargetMode="External"/><Relationship Id="rId97" Type="http://schemas.openxmlformats.org/officeDocument/2006/relationships/hyperlink" Target="https://unctad.org/publication/world-investment-report-2023" TargetMode="External"/><Relationship Id="rId104" Type="http://schemas.openxmlformats.org/officeDocument/2006/relationships/hyperlink" Target="https://www.adb.org/documents/uzbekistan-country-partnership-strategy-2019-2023" TargetMode="External"/><Relationship Id="rId7" Type="http://schemas.openxmlformats.org/officeDocument/2006/relationships/hyperlink" Target="https://doi.org/10.1787/a1689dc5-en" TargetMode="External"/><Relationship Id="rId71" Type="http://schemas.openxmlformats.org/officeDocument/2006/relationships/hyperlink" Target="https://www.state.gov/reports/2023-investment-climate-statements/poland" TargetMode="External"/><Relationship Id="rId92" Type="http://schemas.openxmlformats.org/officeDocument/2006/relationships/hyperlink" Target="https://interspp.com/index.php/sft/article/download/1696/1293/2524?utm_source=chatgpt.com" TargetMode="External"/></Relationships>
</file>

<file path=word/charts/_rels/chart1.xml.rels><?xml version="1.0" encoding="UTF-8" standalone="yes"?>
<Relationships xmlns="http://schemas.openxmlformats.org/package/2006/relationships"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az-Cyrl-AZ"/>
              <a:t>Доля ИКТ-сектора в ВВП ОЭСР (%)</a:t>
            </a:r>
          </a:p>
        </c:rich>
      </c:tx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1"/>
        <c:ser>
          <c:idx val="0"/>
          <c:order val="0"/>
          <c:tx>
            <c:strRef>
              <c:f>[Графики_диплом_полный.xlsx]Рис1_ИКТ_доля_ВВП!$B$3</c:f>
              <c:strCache>
                <c:ptCount val="1"/>
                <c:pt idx="0">
                  <c:v>ИКТ-сектор, % ВВП</c:v>
                </c:pt>
              </c:strCache>
            </c:strRef>
          </c:tx>
          <c:marker>
            <c:symbol val="none"/>
          </c:marker>
          <c:dPt>
            <c:idx val="0"/>
            <c:marker>
              <c:symbol val="none"/>
            </c:marker>
            <c:bubble3D val="0"/>
            <c:spPr>
              <a:ln w="31750" cap="rnd">
                <a:solidFill>
                  <a:schemeClr val="accent1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50D2-4555-8FA9-8FC00A1F7BE3}"/>
              </c:ext>
            </c:extLst>
          </c:dPt>
          <c:dPt>
            <c:idx val="1"/>
            <c:marker>
              <c:symbol val="none"/>
            </c:marker>
            <c:bubble3D val="0"/>
            <c:spPr>
              <a:ln w="31750" cap="rnd">
                <a:solidFill>
                  <a:schemeClr val="accent2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50D2-4555-8FA9-8FC00A1F7BE3}"/>
              </c:ext>
            </c:extLst>
          </c:dPt>
          <c:dPt>
            <c:idx val="2"/>
            <c:marker>
              <c:symbol val="none"/>
            </c:marker>
            <c:bubble3D val="0"/>
            <c:spPr>
              <a:ln w="31750" cap="rnd">
                <a:solidFill>
                  <a:schemeClr val="accent3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50D2-4555-8FA9-8FC00A1F7BE3}"/>
              </c:ext>
            </c:extLst>
          </c:dPt>
          <c:dPt>
            <c:idx val="3"/>
            <c:marker>
              <c:symbol val="none"/>
            </c:marker>
            <c:bubble3D val="0"/>
            <c:spPr>
              <a:ln w="31750" cap="rnd">
                <a:solidFill>
                  <a:schemeClr val="accent4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50D2-4555-8FA9-8FC00A1F7BE3}"/>
              </c:ext>
            </c:extLst>
          </c:dPt>
          <c:dPt>
            <c:idx val="4"/>
            <c:marker>
              <c:symbol val="none"/>
            </c:marker>
            <c:bubble3D val="0"/>
            <c:spPr>
              <a:ln w="31750" cap="rnd">
                <a:solidFill>
                  <a:schemeClr val="accent5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50D2-4555-8FA9-8FC00A1F7BE3}"/>
              </c:ext>
            </c:extLst>
          </c:dPt>
          <c:dPt>
            <c:idx val="5"/>
            <c:marker>
              <c:symbol val="none"/>
            </c:marker>
            <c:bubble3D val="0"/>
            <c:spPr>
              <a:ln w="31750" cap="rnd">
                <a:solidFill>
                  <a:schemeClr val="accent6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B-50D2-4555-8FA9-8FC00A1F7BE3}"/>
              </c:ext>
            </c:extLst>
          </c:dPt>
          <c:dPt>
            <c:idx val="6"/>
            <c:marker>
              <c:symbol val="none"/>
            </c:marker>
            <c:bubble3D val="0"/>
            <c:spPr>
              <a:ln w="31750" cap="rnd">
                <a:solidFill>
                  <a:schemeClr val="accent1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D-50D2-4555-8FA9-8FC00A1F7BE3}"/>
              </c:ext>
            </c:extLst>
          </c:dPt>
          <c:dPt>
            <c:idx val="7"/>
            <c:marker>
              <c:symbol val="none"/>
            </c:marker>
            <c:bubble3D val="0"/>
            <c:spPr>
              <a:ln w="31750" cap="rnd">
                <a:solidFill>
                  <a:schemeClr val="accent2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F-50D2-4555-8FA9-8FC00A1F7BE3}"/>
              </c:ext>
            </c:extLst>
          </c:dPt>
          <c:dPt>
            <c:idx val="8"/>
            <c:marker>
              <c:symbol val="none"/>
            </c:marker>
            <c:bubble3D val="0"/>
            <c:spPr>
              <a:ln w="31750" cap="rnd">
                <a:solidFill>
                  <a:schemeClr val="accent3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1-50D2-4555-8FA9-8FC00A1F7BE3}"/>
              </c:ext>
            </c:extLst>
          </c:dPt>
          <c:dPt>
            <c:idx val="9"/>
            <c:marker>
              <c:symbol val="none"/>
            </c:marker>
            <c:bubble3D val="0"/>
            <c:spPr>
              <a:ln w="31750" cap="rnd">
                <a:solidFill>
                  <a:schemeClr val="accent4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3-50D2-4555-8FA9-8FC00A1F7BE3}"/>
              </c:ext>
            </c:extLst>
          </c:dPt>
          <c:dPt>
            <c:idx val="10"/>
            <c:marker>
              <c:symbol val="none"/>
            </c:marker>
            <c:bubble3D val="0"/>
            <c:spPr>
              <a:ln w="31750" cap="rnd">
                <a:solidFill>
                  <a:schemeClr val="accent5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5-50D2-4555-8FA9-8FC00A1F7BE3}"/>
              </c:ext>
            </c:extLst>
          </c:dPt>
          <c:dPt>
            <c:idx val="11"/>
            <c:marker>
              <c:symbol val="none"/>
            </c:marker>
            <c:bubble3D val="0"/>
            <c:spPr>
              <a:ln w="31750" cap="rnd">
                <a:solidFill>
                  <a:schemeClr val="accent6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7-50D2-4555-8FA9-8FC00A1F7BE3}"/>
              </c:ext>
            </c:extLst>
          </c:dPt>
          <c:dPt>
            <c:idx val="12"/>
            <c:marker>
              <c:symbol val="none"/>
            </c:marker>
            <c:bubble3D val="0"/>
            <c:spPr>
              <a:ln w="31750" cap="rnd">
                <a:solidFill>
                  <a:schemeClr val="accent1">
                    <a:lumMod val="80000"/>
                    <a:lumOff val="2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9-50D2-4555-8FA9-8FC00A1F7BE3}"/>
              </c:ext>
            </c:extLst>
          </c:dPt>
          <c:dPt>
            <c:idx val="13"/>
            <c:marker>
              <c:symbol val="none"/>
            </c:marker>
            <c:bubble3D val="0"/>
            <c:spPr>
              <a:ln w="31750" cap="rnd">
                <a:solidFill>
                  <a:schemeClr val="accent2">
                    <a:lumMod val="80000"/>
                    <a:lumOff val="2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B-50D2-4555-8FA9-8FC00A1F7BE3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2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[Графики_диплом_полный.xlsx]Рис1_ИКТ_доля_ВВП!$A$4:$A$17</c:f>
              <c:numCache>
                <c:formatCode>General</c:formatCode>
                <c:ptCount val="14"/>
                <c:pt idx="0">
                  <c:v>2010</c:v>
                </c:pt>
                <c:pt idx="1">
                  <c:v>2011</c:v>
                </c:pt>
                <c:pt idx="2">
                  <c:v>2012</c:v>
                </c:pt>
                <c:pt idx="3">
                  <c:v>2013</c:v>
                </c:pt>
                <c:pt idx="4">
                  <c:v>2014</c:v>
                </c:pt>
                <c:pt idx="5">
                  <c:v>2015</c:v>
                </c:pt>
                <c:pt idx="6">
                  <c:v>2016</c:v>
                </c:pt>
                <c:pt idx="7">
                  <c:v>2017</c:v>
                </c:pt>
                <c:pt idx="8">
                  <c:v>2018</c:v>
                </c:pt>
                <c:pt idx="9">
                  <c:v>2019</c:v>
                </c:pt>
                <c:pt idx="10">
                  <c:v>2020</c:v>
                </c:pt>
                <c:pt idx="11">
                  <c:v>2021</c:v>
                </c:pt>
                <c:pt idx="12">
                  <c:v>2022</c:v>
                </c:pt>
                <c:pt idx="13">
                  <c:v>2023</c:v>
                </c:pt>
              </c:numCache>
            </c:numRef>
          </c:cat>
          <c:val>
            <c:numRef>
              <c:f>[Графики_диплом_полный.xlsx]Рис1_ИКТ_доля_ВВП!$B$4:$B$17</c:f>
              <c:numCache>
                <c:formatCode>General</c:formatCode>
                <c:ptCount val="14"/>
                <c:pt idx="0">
                  <c:v>3.9</c:v>
                </c:pt>
                <c:pt idx="1">
                  <c:v>4</c:v>
                </c:pt>
                <c:pt idx="2">
                  <c:v>4.0999999999999996</c:v>
                </c:pt>
                <c:pt idx="3">
                  <c:v>4.2</c:v>
                </c:pt>
                <c:pt idx="4">
                  <c:v>4.3</c:v>
                </c:pt>
                <c:pt idx="5">
                  <c:v>4.5999999999999996</c:v>
                </c:pt>
                <c:pt idx="6">
                  <c:v>4.7</c:v>
                </c:pt>
                <c:pt idx="7">
                  <c:v>4.9000000000000004</c:v>
                </c:pt>
                <c:pt idx="8">
                  <c:v>5.0999999999999996</c:v>
                </c:pt>
                <c:pt idx="9">
                  <c:v>5.4</c:v>
                </c:pt>
                <c:pt idx="10">
                  <c:v>5.6</c:v>
                </c:pt>
                <c:pt idx="11">
                  <c:v>5.8</c:v>
                </c:pt>
                <c:pt idx="12">
                  <c:v>6</c:v>
                </c:pt>
                <c:pt idx="13">
                  <c:v>6.2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1C-50D2-4555-8FA9-8FC00A1F7BE3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smooth val="0"/>
        <c:axId val="10"/>
        <c:axId val="100"/>
      </c:line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z-Cyrl-AZ"/>
                  <a:t>Год</a:t>
                </a:r>
              </a:p>
            </c:rich>
          </c:tx>
          <c:layout>
            <c:manualLayout>
              <c:xMode val="edge"/>
              <c:yMode val="edge"/>
              <c:x val="0.49426056425660131"/>
              <c:y val="0.76715650369285238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%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3858497447118892"/>
          <c:y val="0.8437488555209669"/>
          <c:w val="0.71889132020423052"/>
          <c:h val="0.15625114447903315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1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65</Pages>
  <Words>14876</Words>
  <Characters>84798</Characters>
  <Application>Microsoft Office Word</Application>
  <DocSecurity>0</DocSecurity>
  <Lines>706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99476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Muhammadjon</dc:creator>
  <cp:keywords/>
  <dc:description/>
  <cp:lastModifiedBy>Muhammadjon</cp:lastModifiedBy>
  <cp:revision>24</cp:revision>
  <dcterms:created xsi:type="dcterms:W3CDTF">2026-06-07T09:28:00Z</dcterms:created>
  <dcterms:modified xsi:type="dcterms:W3CDTF">2026-06-07T18:00:00Z</dcterms:modified>
</cp:coreProperties>
</file>