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B45" w:rsidRDefault="00131B45" w:rsidP="00131B45">
      <w:r>
        <w:t>Актуальность темы исследования. Три волны глобальных кризисов - 2008-2009, 2020-2021 и 2022 годов - обнажили одну закономерность, которую сложно игнорировать: одинаковый по силе внешний удар даёт разные траектории восстановления даже у стран со схожим уровнем развития. Одни экономики возвращались к росту достаточно быстро, другие ещё долго несли последствия шока. Классические инструменты - фискальная и монетарная политика - объясняют многое, но явно не всё. ((Так, по оценкам Организации экономического сотрудничества и развития, страны ОЭСР, столкнувшиеся с банковским кризисом в 2008-2009 годах, восстанавливались в среднем около 12 кварталов, тогда как страны без банковского кризиса - около 4 кварталов.¹)) Разрыв в три раза при сопоставимой макроэкономической политике - это достаточно весомый аргумент в пользу того, что устойчивость экономики определяется не только реакцией на шок, но и тем, что было выстроено до него.</w:t>
      </w:r>
    </w:p>
    <w:p w:rsidR="00131B45" w:rsidRDefault="00131B45" w:rsidP="00131B45"/>
    <w:p w:rsidR="00131B45" w:rsidRDefault="00131B45" w:rsidP="00131B45">
      <w:r>
        <w:t>В условиях четвёртой промышленной революции цифровизация всё чаще рассматривается как один из таких структурных факторов. ((Опыт пандемии COVID-19² 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Но называть эту связь полностью изученной пока рано. В научной литературе до сих пор нет достаточно системного объяснения того, через какие конкретно механизмы цифровые технологии влияют на отдельные элементы макроэкономической устойчивости.</w:t>
      </w:r>
    </w:p>
    <w:p w:rsidR="00131B45" w:rsidRDefault="00131B45" w:rsidP="00131B45">
      <w:r>
        <w:t>((Особую значимость данная проблематика приобретает для Республики Узбекистан, реализующей программу цифровой трансформации в рамках Стратегии «Цифровой Узбекистан - 2030».³)) Для национальной экономики здесь важно не просто перенять отдельные решения стран-лидеров, а разобраться - какие именно направления цифровизации реально работают на повышение устойчивости к внешним шокам. В отечественной литературе этот вопрос раскрыт слабо, особенно в части связи между количественными показателями цифрового развития и траекториями восстановления в кризисный период 2020-2022 годов. Отсюда и научная, и практическая значимость темы.</w:t>
      </w:r>
    </w:p>
    <w:p w:rsidR="00131B45" w:rsidRDefault="00131B45" w:rsidP="00131B45"/>
    <w:p w:rsidR="00C13A70" w:rsidRDefault="00131B45" w:rsidP="00131B45">
      <w:r>
        <w:t>Степень изученности проблемы. Концептуальные основы экономической устойчивости заложены в работах Л. Бригульо, Г. Кордины, Н. Фарругия и С. Веллы - там проводится принципиальное разграничение между структурной уязвимостью экономики и её способностью противостоять шокам. ((Эмпирические аспекты влияния макроэкономической политики на устойчивость представлены в исследованиях А. Кальдера-Санчес, О. Рёна, М. Хермансена⁴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поведение фирм в кризисных условиях - в работах М. Ойкономоу, Н. Пьерри и Й. Тиммера. Проблема в том, что оба направления - устойчивость и цифровизация - в большинстве работ существуют как бы параллельно, не пересекаясь. Комплексного анализа каналов через которые цифровые технологии воздействуют на макроэкономическую устойчивость в условиях глобальных кризисов, пока недостаточно. Этот пробел и стал отправной точкой данной работы.</w:t>
      </w:r>
    </w:p>
    <w:p w:rsidR="00131B45" w:rsidRDefault="00131B45" w:rsidP="00131B45">
      <w:r>
        <w:t>Объект исследования - процесс цифровой трансформации национальных экономик и формирование их устойчивости к глобальным экзогенным шокам.</w:t>
      </w:r>
    </w:p>
    <w:p w:rsidR="00131B45" w:rsidRDefault="00131B45" w:rsidP="00131B45"/>
    <w:p w:rsidR="00131B45" w:rsidRDefault="00131B45" w:rsidP="00131B45">
      <w:r>
        <w:t>Предмет исследования - механизмы и каналы воздействия цифровых технологий на макроэкономическую устойчивость национальных экономик в условиях глобальных кризисов 2020-2022 годов.</w:t>
      </w:r>
    </w:p>
    <w:p w:rsidR="00131B45" w:rsidRDefault="00131B45" w:rsidP="00131B45"/>
    <w:p w:rsidR="00131B45" w:rsidRDefault="00131B45" w:rsidP="00131B45">
      <w:r>
        <w:t>Цель исследования -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цифровой трансформации к условиям Республики Узбекистан.</w:t>
      </w:r>
    </w:p>
    <w:p w:rsidR="00131B45" w:rsidRDefault="00131B45" w:rsidP="00131B45"/>
    <w:p w:rsidR="00131B45" w:rsidRDefault="00131B45" w:rsidP="00131B45">
      <w:r>
        <w:t>Задачи исследования. Для достижения поставленной цели необходимо решить следующие задачи:</w:t>
      </w:r>
    </w:p>
    <w:p w:rsidR="00131B45" w:rsidRDefault="00131B45" w:rsidP="00131B45"/>
    <w:p w:rsidR="00131B45" w:rsidRDefault="00131B45" w:rsidP="00131B45">
      <w:r>
        <w:t>Раскрыть теоретико-методологические основы цифровизации экономики, выделить её основные направления и систематизировать каналы воздействия на макроэкономическую устойчивость.</w:t>
      </w:r>
    </w:p>
    <w:p w:rsidR="00131B45" w:rsidRDefault="00131B45" w:rsidP="00131B45"/>
    <w:p w:rsidR="00131B45" w:rsidRDefault="00131B45" w:rsidP="00131B45">
      <w:r>
        <w:t>Проанализировать теоретические подходы к категории устойчивости национальных экономик к экзогенным шокам и определить её ключевые компоненты.</w:t>
      </w:r>
    </w:p>
    <w:p w:rsidR="00131B45" w:rsidRDefault="00131B45" w:rsidP="00131B45"/>
    <w:p w:rsidR="00131B45" w:rsidRDefault="00131B45" w:rsidP="00131B45">
      <w:r>
        <w:t>Провести сравнительный анализ моделей цифровой трансформации Эстонии, Республики Корея, Сингапура и Польши - и оценить как каждая из этих экономик реагировала на глобальные кризисы 2020-2022 годов с учётом уровня цифровой зрелости.</w:t>
      </w:r>
    </w:p>
    <w:p w:rsidR="00131B45" w:rsidRDefault="00131B45" w:rsidP="00131B45"/>
    <w:p w:rsidR="00131B45" w:rsidRDefault="00131B45" w:rsidP="00131B45">
      <w:r>
        <w:t>Построить эконометрическую модель на основе панельных данных, которая позволит оценить связь между показателями цифровизации и индикаторами устойчивости национальных экономик, и интерпретировать полученные результаты.</w:t>
      </w:r>
    </w:p>
    <w:p w:rsidR="00131B45" w:rsidRDefault="00131B45" w:rsidP="00131B45"/>
    <w:p w:rsidR="00131B45" w:rsidRDefault="00131B45" w:rsidP="00131B45">
      <w:r>
        <w:t>Оценить текущее состояние цифровой трансформации экономики Узбекистана в рамках Стратегии «Цифровой Узбекистан - 2030» и определить, какие элементы международного опыта здесь реально применимы.</w:t>
      </w:r>
    </w:p>
    <w:p w:rsidR="00131B45" w:rsidRDefault="00131B45" w:rsidP="00131B45"/>
    <w:p w:rsidR="00131B45" w:rsidRDefault="00131B45" w:rsidP="00131B45">
      <w:r>
        <w:t>Разработать практические рекомендации по укреплению цифровой инфраструктуры как фактора антикризисной устойчивости национальной экономики Республики Узбекистан.</w:t>
      </w:r>
    </w:p>
    <w:p w:rsidR="00131B45" w:rsidRDefault="00131B45" w:rsidP="00131B45">
      <w:r>
        <w:t xml:space="preserve">Основные результаты исследования. В работе систематизированы каналы, через которые цифровые технологии могут влиять на устойчивость национальных экономик в период глобальных кризисов. В качестве ключевых выделены пять направлений: непрерывность государственных функций, фискальная трансмиссия, адаптация частного сектора, сдвиг структуры спроса в пользу цифровых услуг, а также устойчивость информационно-коммуникационного сектора. Отдельно проведён </w:t>
      </w:r>
      <w:r>
        <w:lastRenderedPageBreak/>
        <w:t>сравнительный анализ моделей цифровой трансформации Эстонии, Республики Корея, Сингапура и Польши - с учётом институциональных особенностей каждой страны и того, как они проходили кризисы 2020-2022 годов. На основе панельных данных в среде RStudio построена эконометрическая модель, которая позволяет оценить связь между показателями цифровой зрелости и отдельными индикаторами макроэкономической устойчивости.</w:t>
      </w:r>
    </w:p>
    <w:p w:rsidR="00131B45" w:rsidRDefault="00131B45" w:rsidP="00131B45"/>
    <w:p w:rsidR="00131B45" w:rsidRDefault="00131B45" w:rsidP="00131B45">
      <w:r>
        <w:t>Практическая значимость исследования. Полученные результаты могут использоваться при уточнении стратегических документов цифровой трансформации Республики Узбекистан, включая Стратегию «Цифровой Узбекистан - 2030», а также при подготовке мер по повышению устойчивости национальной экономики в кризисных условиях. Обобщённый международный опыт и сформулированные рекомендации адресованы прежде всего государственным органам в сфере цифрового развития, а также научным и образовательным организациям работающим на пересечении вопросов международной экономики, цифровой трансформации и устойчивого развития.</w:t>
      </w:r>
    </w:p>
    <w:p w:rsidR="00131B45" w:rsidRDefault="00131B45" w:rsidP="00131B45"/>
    <w:p w:rsidR="00131B45" w:rsidRDefault="00131B45" w:rsidP="00131B45">
      <w:r>
        <w:t>Методология исследования. Методологической основой работы выступает системный подход - цифровизация и устойчивость рассматриваются здесь как взаимосвязанные характеристики национальной экономики, а не как отдельные явления. В работе используются методы сравнительного анализа, корреляционно-регрессионного моделирования на панельных данных и графической визуализации. Эконометрический анализ выполнен в среде RStudio с применением пакета plm. Эмпирическую базу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E-Government⁵ Development Index, Network Readiness Index и Digital Economy and Society Index.)) ((В эконометрической модели основным индикатором цифровизации выступает доля интернет-пользователей в численности населения по базе World Development Indicators⁶, что обеспечивает сопоставимость данных по выборке из 49 стран за 2010-2024 годы.)) Также в работе используются нормативно-правовые акты и стратегические документы Республики Узбекистан.</w:t>
      </w:r>
    </w:p>
    <w:p w:rsidR="00131B45" w:rsidRDefault="00131B45" w:rsidP="00131B45">
      <w:r>
        <w:t>Структура работы. Выпускная квалификационная работа состоит из введения, трёх глав, разделённых на девять параграфов, заключения, списка использованных источников и приложений.</w:t>
      </w:r>
    </w:p>
    <w:p w:rsidR="00131B45" w:rsidRDefault="00131B45" w:rsidP="00131B45"/>
    <w:p w:rsidR="00131B45" w:rsidRDefault="00131B45" w:rsidP="00131B45">
      <w:r>
        <w:t>В первой главе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
    </w:p>
    <w:p w:rsidR="00131B45" w:rsidRDefault="00131B45" w:rsidP="00131B45"/>
    <w:p w:rsidR="00131B45" w:rsidRDefault="00131B45" w:rsidP="00131B45">
      <w:r>
        <w:t xml:space="preserve">Во второй главе «Международный опыт цифровизации экономики и эконометрический анализ её влияния на устойчивость стран к глобальным кризисам» проводится сравнительный анализ моделей цифровой трансформации Эстонии, Республики Корея, Сингапура и Польши, оценивается реакция этих экономик на глобальные кризисы 2020-2022 годов, а также выполняется эконометрический </w:t>
      </w:r>
      <w:r>
        <w:lastRenderedPageBreak/>
        <w:t>анализ влияния цифровизации на устойчивость национальных экономик на основе панельных данных.</w:t>
      </w:r>
    </w:p>
    <w:p w:rsidR="00131B45" w:rsidRDefault="00131B45" w:rsidP="00131B45"/>
    <w:p w:rsidR="00131B45" w:rsidRDefault="00131B45" w:rsidP="00131B45">
      <w:r>
        <w:t>В третьей главе «Использование международного опыта цифровизации в условиях Республики Узбекистан» рассматривается текущее состояние цифровой трансформации экономики Узбекистана в рамках Стратегии «Цифровой Узбекистан - 2030», оцениваются возможности адаптации международного опыта и формулируются практические рекомендации по укреплению цифровой устойчивости национальной экономики.</w:t>
      </w:r>
    </w:p>
    <w:p w:rsidR="00131B45" w:rsidRDefault="00131B45" w:rsidP="00131B45"/>
    <w:p w:rsidR="00131B45" w:rsidRDefault="00131B45" w:rsidP="00131B45">
      <w:pPr>
        <w:rPr>
          <w:lang w:val="ru-RU"/>
        </w:rPr>
      </w:pPr>
      <w:r>
        <w:t>В заключении обобщаются основные результаты исследования, формулируются выводы и практические рекомендации.</w:t>
      </w:r>
    </w:p>
    <w:p w:rsidR="00131B45" w:rsidRPr="00131B45" w:rsidRDefault="00131B45" w:rsidP="00131B45">
      <w:pPr>
        <w:rPr>
          <w:lang w:val="ru-RU"/>
        </w:rPr>
      </w:pPr>
      <w:r w:rsidRPr="00131B45">
        <w:rPr>
          <w:lang w:val="ru-RU"/>
        </w:rPr>
        <w:t>ГЛАВА I. ТЕОРЕТИКО-МЕТОДОЛОГИЧЕСКИЕ ОСНОВЫ ЦИФРОВИЗАЦИИ ЭКОНОМИКИ И УСТОЙЧИВОСТИ СТРАН К ГЛОБАЛЬНЫМ КРИЗИСАМ</w:t>
      </w:r>
    </w:p>
    <w:p w:rsidR="00131B45" w:rsidRPr="00131B45" w:rsidRDefault="00131B45" w:rsidP="00131B45">
      <w:pPr>
        <w:rPr>
          <w:lang w:val="ru-RU"/>
        </w:rPr>
      </w:pPr>
    </w:p>
    <w:p w:rsidR="00131B45" w:rsidRPr="00131B45" w:rsidRDefault="00131B45" w:rsidP="00131B45">
      <w:pPr>
        <w:rPr>
          <w:lang w:val="ru-RU"/>
        </w:rPr>
      </w:pPr>
      <w:r w:rsidRPr="00131B45">
        <w:rPr>
          <w:lang w:val="ru-RU"/>
        </w:rPr>
        <w:t>1.1. Сущность, содержание и основные направления цифровизации современной экономики</w:t>
      </w:r>
    </w:p>
    <w:p w:rsidR="00131B45" w:rsidRPr="00131B45" w:rsidRDefault="00131B45" w:rsidP="00131B45">
      <w:pPr>
        <w:rPr>
          <w:lang w:val="ru-RU"/>
        </w:rPr>
      </w:pPr>
    </w:p>
    <w:p w:rsidR="00131B45" w:rsidRPr="00131B45" w:rsidRDefault="00131B45" w:rsidP="00131B45">
      <w:pPr>
        <w:rPr>
          <w:lang w:val="ru-RU"/>
        </w:rPr>
      </w:pPr>
      <w:r w:rsidRPr="00131B45">
        <w:rPr>
          <w:lang w:val="ru-RU"/>
        </w:rPr>
        <w:t>Понятие «цифровизация экономики» в научной литературе трактуется неоднозначно - этот процесс охватывает не только внедрение технологий, но и более глубокие изменения: в экономических связях, управлении и организации хозяйственной деятельности. ((В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регулирование экономической активности.⁷)) В этой работе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 - в результате меняется её отраслевая структура, модели государственного управления и формы взаимодействия экономических агентов.</w:t>
      </w:r>
    </w:p>
    <w:p w:rsidR="00131B45" w:rsidRPr="00131B45" w:rsidRDefault="00131B45" w:rsidP="00131B45">
      <w:pPr>
        <w:rPr>
          <w:lang w:val="ru-RU"/>
        </w:rPr>
      </w:pPr>
    </w:p>
    <w:p w:rsidR="00131B45" w:rsidRPr="00131B45" w:rsidRDefault="00131B45" w:rsidP="00131B45">
      <w:pPr>
        <w:rPr>
          <w:lang w:val="ru-RU"/>
        </w:rPr>
      </w:pPr>
      <w:r w:rsidRPr="00131B45">
        <w:rPr>
          <w:lang w:val="ru-RU"/>
        </w:rPr>
        <w:t>Важно разграничивать цифровизацию экономики как широкий процесс и информационно-коммуникационный сектор как её технологическую основу. ((Согласно классификации ОЭСР, основанной на международном стандарте ISIC Rev.4, ИКТ-сектор включает производство компьютеров, электронных и оптических изделий, телекоммуникации, а также деятельность в области информационных технологий и информационных услуг.⁸)) При этом цифровая экономика не ограничивается только ИКТ-сектором - она охватывает и распространение цифровых технологий в традиционные отрасли: промышленность, торговлю, финансы и государственное управление. Именно через такое распространение цифровизация начинает влиять на более широкие показатели национальной экономики - ВВП на душу населения и производительность труда.</w:t>
      </w:r>
    </w:p>
    <w:p w:rsidR="00131B45" w:rsidRPr="00131B45" w:rsidRDefault="00131B45" w:rsidP="00131B45">
      <w:pPr>
        <w:rPr>
          <w:lang w:val="ru-RU"/>
        </w:rPr>
      </w:pPr>
    </w:p>
    <w:p w:rsidR="00131B45" w:rsidRDefault="00131B45" w:rsidP="00131B45">
      <w:pPr>
        <w:rPr>
          <w:lang w:val="ru-RU"/>
        </w:rPr>
      </w:pPr>
      <w:r w:rsidRPr="00131B45">
        <w:rPr>
          <w:lang w:val="ru-RU"/>
        </w:rPr>
        <w:t xml:space="preserve">Эмпирические данные показывают: ИКТ-сектор стабильно растёт быстрее экономики в целом. По оценкам ОЭСР, основанным на nowcasting-модели, в течение 2013-2023 годов ИКТ-сектор стран ОЭСР </w:t>
      </w:r>
      <w:r w:rsidRPr="00131B45">
        <w:rPr>
          <w:lang w:val="ru-RU"/>
        </w:rPr>
        <w:lastRenderedPageBreak/>
        <w:t>рос примерно в три раза быстрее совокупной экономики. В 2023 году средний темп роста ИКТ-сектора достиг 7,6%, причём в десяти странах - включая Великобританию, Бельгию, Германию и США - этот показатель превысил 9%. ((Доля валовой добавленной стоимости, генерируемой ИКТ-сектором в странах ОЭСР, увеличилась с 3,9% в 2010 году до 5,4% в 2019 году, а к 2023 году достигла около 6,2%.⁹)) Динамика доли ИКТ-сектора в валовой добавленной стоимости стран ОЭСР представлена на рисунке 1.1.</w:t>
      </w:r>
    </w:p>
    <w:p w:rsidR="00131B45" w:rsidRPr="00131B45" w:rsidRDefault="00131B45" w:rsidP="00131B45">
      <w:pPr>
        <w:rPr>
          <w:lang w:val="ru-RU"/>
        </w:rPr>
      </w:pPr>
      <w:r w:rsidRPr="00131B45">
        <w:rPr>
          <w:lang w:val="ru-RU"/>
        </w:rPr>
        <w:t>Рисунок 1.1. Динамика доли ИКТ-сектора в валовой добавленной стоимости стран ОЭСР, 2010-2023 гг., % Источник: составлено автором по данным OECD Digital Economy Outlook 2024 и OECD STAN Industrial Analysis Database.</w:t>
      </w:r>
    </w:p>
    <w:p w:rsidR="00131B45" w:rsidRPr="00131B45" w:rsidRDefault="00131B45" w:rsidP="00131B45">
      <w:pPr>
        <w:rPr>
          <w:lang w:val="ru-RU"/>
        </w:rPr>
      </w:pPr>
    </w:p>
    <w:p w:rsidR="00131B45" w:rsidRPr="00131B45" w:rsidRDefault="00131B45" w:rsidP="00131B45">
      <w:pPr>
        <w:rPr>
          <w:lang w:val="ru-RU"/>
        </w:rPr>
      </w:pPr>
      <w:r w:rsidRPr="00131B45">
        <w:rPr>
          <w:lang w:val="ru-RU"/>
        </w:rPr>
        <w:t>Измерить цифровую экономику в едином показателе достаточно сложно - она включает и самостоятельный ИКТ-сектор, и цифровые технологии в других отраслях. ((До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композитные индексы цифровой зрелости - Digital Economy and Society Index, E-Government Development Index и Network Readiness Index.¹⁰)) Поэтому в сравнительном и эконометрическом анализе лучше использовать несколько взаимодополняющих индикаторов, а не один универсальный. Это позволяет точнее отразить разные стороны цифровизации и не упрощать исследуемый процесс сверх меры.</w:t>
      </w:r>
    </w:p>
    <w:p w:rsidR="00131B45" w:rsidRPr="00131B45" w:rsidRDefault="00131B45" w:rsidP="00131B45">
      <w:pPr>
        <w:rPr>
          <w:lang w:val="ru-RU"/>
        </w:rPr>
      </w:pPr>
    </w:p>
    <w:p w:rsidR="00131B45" w:rsidRDefault="00131B45" w:rsidP="00131B45">
      <w:pPr>
        <w:rPr>
          <w:lang w:val="ru-RU"/>
        </w:rPr>
      </w:pPr>
      <w:r w:rsidRPr="00131B45">
        <w:rPr>
          <w:lang w:val="ru-RU"/>
        </w:rPr>
        <w:t>Содержание цифровизации можно раскрыть через несколько основных направлений, каждое из которых по своему влияет на развитие национальной экономики. На основе аналитических документов ОЭСР и Европейской комиссии в этой работе выделяются пять таких направлений, представленных на рисунке 1.2.</w:t>
      </w:r>
    </w:p>
    <w:p w:rsidR="00131B45" w:rsidRPr="00131B45" w:rsidRDefault="00131B45" w:rsidP="00131B45">
      <w:pPr>
        <w:rPr>
          <w:lang w:val="ru-RU"/>
        </w:rPr>
      </w:pPr>
      <w:r w:rsidRPr="00131B45">
        <w:rPr>
          <w:lang w:val="ru-RU"/>
        </w:rPr>
        <w:t>Рисунок 1.2 - Основные направления цифровизации экономики Источник: составлено автором на основе OECD Digital Economy Outlook 2024 и аналитических материалов Европейской комиссии.</w:t>
      </w:r>
    </w:p>
    <w:p w:rsidR="00131B45" w:rsidRPr="00131B45" w:rsidRDefault="00131B45" w:rsidP="00131B45">
      <w:pPr>
        <w:rPr>
          <w:lang w:val="ru-RU"/>
        </w:rPr>
      </w:pPr>
    </w:p>
    <w:p w:rsidR="00131B45" w:rsidRDefault="00131B45" w:rsidP="00131B45">
      <w:pPr>
        <w:rPr>
          <w:lang w:val="ru-RU"/>
        </w:rPr>
      </w:pPr>
      <w:r w:rsidRPr="00131B45">
        <w:rPr>
          <w:lang w:val="ru-RU"/>
        </w:rPr>
        <w:t>Первое направление - развитие цифровой инфраструктуры. Речь идёт о совокупности сетей фиксированной и мобильной связи, центров обработки данных, спутниковых систем, а также инфраструктуры цифровой идентификации и обмена данными. ((Расширение сетей 5G, развитие беспроводных технологий нового поколения и интеграция наземной и спутниковой связи формируют физическую основу цифровой экономики, без которой невозможна реализация других направлений цифровизации.¹¹)) Такая инфраструктура создаёт мультипликативный эффект - она стимулирует электронную коммерцию, удалённую занятость и цифровые государственные сервисы.</w:t>
      </w:r>
    </w:p>
    <w:p w:rsidR="00131B45" w:rsidRPr="00131B45" w:rsidRDefault="00131B45" w:rsidP="00131B45">
      <w:pPr>
        <w:rPr>
          <w:lang w:val="ru-RU"/>
        </w:rPr>
      </w:pPr>
      <w:r w:rsidRPr="00131B45">
        <w:rPr>
          <w:lang w:val="ru-RU"/>
        </w:rPr>
        <w:t xml:space="preserve">Второе направление - распространение цифровых технологий среди предприятий. Речь идёт об использовании в бизнес-секторе облачных вычислений, интернета вещей, аналитики больших данных и искусственного интеллекта. ((По данным ОЭСР за 2023 год, в среднем по странам ОЭСР облачными вычислениями пользовались 49% предприятий, технологиями интернета вещей - 27%, аналитикой больших данных - 14% по данным за 2022 год, а искусственным интеллектом - 8%.¹²)) Цифры показывают очевидное: более доступные и уже освоенные технологии внедряются быстрее, тогда как сложные решения требуют серьёзной организационной, кадровой и технологической подготовки. </w:t>
      </w:r>
      <w:r w:rsidRPr="00131B45">
        <w:rPr>
          <w:lang w:val="ru-RU"/>
        </w:rPr>
        <w:lastRenderedPageBreak/>
        <w:t>((Исследования ОЭСР также показывают, что облачные вычисления распространяются примерно в три раза быстрее аналитики больших данных: переход доли предприятий-пользователей с 5% до 50% занимает около 12 лет для облачных технологий и около 36 лет для аналитики больших данных.¹³))</w:t>
      </w:r>
    </w:p>
    <w:p w:rsidR="00131B45" w:rsidRPr="00131B45" w:rsidRDefault="00131B45" w:rsidP="00131B45">
      <w:pPr>
        <w:rPr>
          <w:lang w:val="ru-RU"/>
        </w:rPr>
      </w:pPr>
    </w:p>
    <w:p w:rsidR="00131B45" w:rsidRPr="00131B45" w:rsidRDefault="00131B45" w:rsidP="00131B45">
      <w:pPr>
        <w:rPr>
          <w:lang w:val="ru-RU"/>
        </w:rPr>
      </w:pPr>
      <w:r w:rsidRPr="00131B45">
        <w:rPr>
          <w:lang w:val="ru-RU"/>
        </w:rPr>
        <w:t>Третье направление - 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Цифровое государство важно не только как часть технологического развития - в кризисных условиях оно помогает сохранять выполнение ключевых государственных функций, что напрямую влияет на устойчивость экономики. ((По оценкам ОЭСР, готовность к цифровизации стала одним из ключевых факторов адаптации государства и бизнеса в период пандемии COVID-19. Это подтверждается примерами Вьетнама, Казахстана и Швейцарии, где цифровые платформы использовались для онлайн-госуслуг, экстренной поддержки населения и быстрого предоставления государственных кредитов.¹⁴))</w:t>
      </w:r>
    </w:p>
    <w:p w:rsidR="00131B45" w:rsidRPr="00131B45" w:rsidRDefault="00131B45" w:rsidP="00131B45">
      <w:pPr>
        <w:rPr>
          <w:lang w:val="ru-RU"/>
        </w:rPr>
      </w:pPr>
      <w:r w:rsidRPr="00131B45">
        <w:rPr>
          <w:lang w:val="ru-RU"/>
        </w:rPr>
        <w:t>Четвёртое направление - цифровизация финансовой системы. Сюда входят электронные платежи, цифровой банкинг, финансовые технологии и цифровая идентификация. Для макроэкономической устойчивости цифровые финансы важны по двум причинам: они расширяют доступ к ликвидности и снижают транзакционные издержки - особенно когда физические каналы финансового обслуживания ограничены. Кроме того цифровые платёжные системы усиливают фискальную трансмиссию - государственная поддержка доходит до конечных получателей быстрее и с меньшими административными затратами.</w:t>
      </w:r>
    </w:p>
    <w:p w:rsidR="00131B45" w:rsidRPr="00131B45" w:rsidRDefault="00131B45" w:rsidP="00131B45">
      <w:pPr>
        <w:rPr>
          <w:lang w:val="ru-RU"/>
        </w:rPr>
      </w:pPr>
    </w:p>
    <w:p w:rsidR="00131B45" w:rsidRPr="00131B45" w:rsidRDefault="00131B45" w:rsidP="00131B45">
      <w:pPr>
        <w:rPr>
          <w:lang w:val="ru-RU"/>
        </w:rPr>
      </w:pPr>
      <w:r w:rsidRPr="00131B45">
        <w:rPr>
          <w:lang w:val="ru-RU"/>
        </w:rPr>
        <w:t>Пятое направление - цифровая трансформация работы с данными. По мере того как данные становятся самостоятельным экономическим ресурсом, государства выстраивают правила их сбора, хранения, обмена и использования, а также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w:t>
      </w:r>
    </w:p>
    <w:p w:rsidR="00801C73" w:rsidRPr="00801C73" w:rsidRDefault="00801C73" w:rsidP="00801C73">
      <w:pPr>
        <w:rPr>
          <w:lang w:val="ru-RU"/>
        </w:rPr>
      </w:pPr>
      <w:r w:rsidRPr="00801C73">
        <w:rPr>
          <w:lang w:val="ru-RU"/>
        </w:rPr>
        <w:t>Четвёртое направление - цифровизация финансовой системы. Сюда входят электронные платежи, цифровой банкинг, финансовые технологии и цифровая идентификация. Для макроэкономической устойчивости цифровые финансы важны по двум причинам: они расширяют доступ к ликвидности и снижают транзакционные издержки - особенно когда физические каналы финансового обслуживания ограничены. Кроме того цифровые платёжные системы усиливают фискальную трансмиссию - государственная поддержка доходит до конечных получателей быстрее и с меньшими административными затратами.</w:t>
      </w:r>
    </w:p>
    <w:p w:rsidR="00801C73" w:rsidRPr="00801C73" w:rsidRDefault="00801C73" w:rsidP="00801C73">
      <w:pPr>
        <w:rPr>
          <w:lang w:val="ru-RU"/>
        </w:rPr>
      </w:pPr>
    </w:p>
    <w:p w:rsidR="00131B45" w:rsidRDefault="00801C73" w:rsidP="00801C73">
      <w:pPr>
        <w:rPr>
          <w:lang w:val="ru-RU"/>
        </w:rPr>
      </w:pPr>
      <w:r w:rsidRPr="00801C73">
        <w:rPr>
          <w:lang w:val="ru-RU"/>
        </w:rPr>
        <w:t>Пятое направление - цифровая трансформация работы с данными. По мере того как данные становятся самостоятельным экономическим ресурсом, государства выстраивают правила их сбора, хранения, обмена и использования, а также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 фактором конкурентоспособности не только отдельных компаний, но и национальных экономик.¹⁵))</w:t>
      </w:r>
    </w:p>
    <w:p w:rsidR="00801C73" w:rsidRPr="00801C73" w:rsidRDefault="00801C73" w:rsidP="00801C73">
      <w:pPr>
        <w:rPr>
          <w:lang w:val="ru-RU"/>
        </w:rPr>
      </w:pPr>
      <w:r w:rsidRPr="00801C73">
        <w:rPr>
          <w:lang w:val="ru-RU"/>
        </w:rPr>
        <w:lastRenderedPageBreak/>
        <w:t>Перечисленные направления цифровизации тесно связаны между собой и дают общий эффект только при совместном развитии. 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 позволяет рассматривать цифровую экономику не как набор отдельных технологий, а как систему которая влияет на развитие и устойчивость национальной экономики в целом.</w:t>
      </w:r>
    </w:p>
    <w:p w:rsidR="00801C73" w:rsidRPr="00801C73" w:rsidRDefault="00801C73" w:rsidP="00801C73">
      <w:pPr>
        <w:rPr>
          <w:lang w:val="ru-RU"/>
        </w:rPr>
      </w:pPr>
    </w:p>
    <w:p w:rsidR="00801C73" w:rsidRDefault="00801C73" w:rsidP="00801C73">
      <w:pPr>
        <w:rPr>
          <w:lang w:val="ru-RU"/>
        </w:rPr>
      </w:pPr>
      <w:r w:rsidRPr="00801C73">
        <w:rPr>
          <w:lang w:val="ru-RU"/>
        </w:rPr>
        <w:t>Влияние цифровизации на экономический рост проявляется на разных уровнях. На макроуровне оно связано с ростом производительности труда, сокращением транзакционных издержек и расширением международной торговли услугами - всё это в итоге может отражаться на динамике ВВП на душу населения. ((Всемирный банк фиксирует положительную связь между уровнем проникновения цифровых технологий и темпами экономического роста, особенно в странах с переходной экономикой.¹⁶)) ((На микроуровне исследования предприятий показывают, что более высокий уровень цифровизации фирм связан с их способностью сохранять выпуск и занятость в условиях экономических шоков.¹⁷)) Это позволяет связать цифровизацию не только с экономическим ростом, но и с устойчивостью экономики - что подробнее рассматривается в следующем параграфе.</w:t>
      </w:r>
    </w:p>
    <w:p w:rsidR="00801C73" w:rsidRPr="00801C73" w:rsidRDefault="00801C73" w:rsidP="00801C73">
      <w:pPr>
        <w:rPr>
          <w:lang w:val="ru-RU"/>
        </w:rPr>
      </w:pPr>
      <w:r w:rsidRPr="00801C73">
        <w:rPr>
          <w:lang w:val="ru-RU"/>
        </w:rPr>
        <w:t>Несмотря на перечисленные тенденции, цифровизация сама по себе не гарантирует экономических преимуществ. Её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стоит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Этот аспект подробнее раскрывается в следующем параграфе.</w:t>
      </w:r>
    </w:p>
    <w:p w:rsidR="00801C73" w:rsidRPr="00801C73" w:rsidRDefault="00801C73" w:rsidP="00801C73">
      <w:pPr>
        <w:rPr>
          <w:lang w:val="ru-RU"/>
        </w:rPr>
      </w:pPr>
    </w:p>
    <w:p w:rsidR="00801C73" w:rsidRDefault="00801C73" w:rsidP="00801C73">
      <w:pPr>
        <w:rPr>
          <w:lang w:val="ru-RU"/>
        </w:rPr>
      </w:pPr>
      <w:r w:rsidRPr="00801C73">
        <w:rPr>
          <w:lang w:val="ru-RU"/>
        </w:rPr>
        <w:t>1.2. Теоретические подходы к категории устойчивости национальных экономик к экзогенным шокам и глобальным кризисам</w:t>
      </w:r>
    </w:p>
    <w:p w:rsidR="00801C73" w:rsidRPr="00801C73" w:rsidRDefault="00801C73" w:rsidP="00801C73">
      <w:pPr>
        <w:rPr>
          <w:lang w:val="ru-RU"/>
        </w:rPr>
      </w:pPr>
      <w:r w:rsidRPr="00801C73">
        <w:rPr>
          <w:lang w:val="ru-RU"/>
        </w:rPr>
        <w:t>Категория «устойчивость» (resilience) применительно к национальной экономике стала активно использоваться в последние два десятилетия - когда стало очевидно, что одних показателей макроэкономической стабильности недостаточно для оценки способности экономики выдерживать внешние шоки и восстанавливаться после них. ((В подходе ОЭСР экономическая устойчивость рассматривается как способность экономики снижать уязвимость, противостоять шокам и быстро возвращаться к траектории восстановления.¹⁸))</w:t>
      </w:r>
    </w:p>
    <w:p w:rsidR="00801C73" w:rsidRPr="00801C73" w:rsidRDefault="00801C73" w:rsidP="00801C73">
      <w:pPr>
        <w:rPr>
          <w:lang w:val="ru-RU"/>
        </w:rPr>
      </w:pPr>
    </w:p>
    <w:p w:rsidR="00801C73" w:rsidRPr="00801C73" w:rsidRDefault="00801C73" w:rsidP="00801C73">
      <w:pPr>
        <w:rPr>
          <w:lang w:val="ru-RU"/>
        </w:rPr>
      </w:pPr>
      <w:r w:rsidRPr="00801C73">
        <w:rPr>
          <w:lang w:val="ru-RU"/>
        </w:rPr>
        <w:t xml:space="preserve">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восстановление. В этом подходе уязвимость - более постоянная характеристика экономики, а устойчивость зависит от решений государства, качества институтов и поведения частных экономических агентов. На основе такого разграничения Бригульо предложил типологическую матрицу, в которой страны классифицируются по сочетанию уровня структурной уязвимости и </w:t>
      </w:r>
      <w:r w:rsidRPr="00801C73">
        <w:rPr>
          <w:lang w:val="ru-RU"/>
        </w:rPr>
        <w:lastRenderedPageBreak/>
        <w:t>способности экономики противостоять внешним шокам. Эта типология показывает, что даже страны с высокой уязвимостью могут достигать устойчивых результатов -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устойчивости, а также отрицательную - между ВВП и уровнем уязвимости.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управления и социальное развитие.¹⁹)) Такой подход позволяет рассматривать устойчивость не только как теоретическую категорию, но и как измеримый показатель пригодный для сравнительного и эконометрического анализа.</w:t>
      </w:r>
    </w:p>
    <w:p w:rsidR="00801C73" w:rsidRPr="00801C73" w:rsidRDefault="00801C73" w:rsidP="00801C73">
      <w:pPr>
        <w:rPr>
          <w:lang w:val="ru-RU"/>
        </w:rPr>
      </w:pPr>
    </w:p>
    <w:p w:rsidR="00801C73" w:rsidRDefault="00801C73" w:rsidP="00801C73">
      <w:pPr>
        <w:rPr>
          <w:lang w:val="ru-RU"/>
        </w:rPr>
      </w:pPr>
      <w:r w:rsidRPr="00801C73">
        <w:rPr>
          <w:lang w:val="ru-RU"/>
        </w:rPr>
        <w:t>((Параллельно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шока и ускорение восстановления.²⁰)) В работе А. Кальдера-Санчес, М. Расмуссена и О. Рёна показано, что на устойчивость влияют разные направления макроэкономической и структурной политики - фискальная, денежно-кредитная, финансовая и трудовая. Ключевая идея здесь в том, что одни и те же меры могут одновременно снижать уязвимость экономики, смягчать последствия кризиса и ускорять восстановление. Но между этими задачами нередко возникают компромиссы - и это требует более сбалансированного подхода к политике.</w:t>
      </w:r>
    </w:p>
    <w:p w:rsidR="00801C73" w:rsidRPr="00801C73" w:rsidRDefault="00801C73" w:rsidP="00801C73">
      <w:pPr>
        <w:rPr>
          <w:lang w:val="ru-RU"/>
        </w:rPr>
      </w:pPr>
      <w:r w:rsidRPr="00801C73">
        <w:rPr>
          <w:lang w:val="ru-RU"/>
        </w:rPr>
        <w:t>((Согласно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замедлять последующее восстановление.²¹)) Устойчивость экономики зависит поэтому не только от набора антикризисных инструментов, но и от того насколько политика учитывает возможные компромиссы между смягчением кризисного удара и скоростью последующего восстановления.</w:t>
      </w:r>
    </w:p>
    <w:p w:rsidR="00801C73" w:rsidRPr="00801C73" w:rsidRDefault="00801C73" w:rsidP="00801C73">
      <w:pPr>
        <w:rPr>
          <w:lang w:val="ru-RU"/>
        </w:rPr>
      </w:pPr>
    </w:p>
    <w:p w:rsidR="00801C73" w:rsidRPr="00801C73" w:rsidRDefault="00801C73" w:rsidP="00801C73">
      <w:pPr>
        <w:rPr>
          <w:lang w:val="ru-RU"/>
        </w:rPr>
      </w:pPr>
      <w:r w:rsidRPr="00801C73">
        <w:rPr>
          <w:lang w:val="ru-RU"/>
        </w:rPr>
        <w:t>Эмпирическое направление теории устойчивости получило развитие в исследовании Кальдера-Санчес, де Серра, Гори, Хермансена и Рёна - там были рассмотрены серьёзные рецессии и финансовые кризисы в 100 странах за период 1970-2014 годов. В этой работе серьёзная рецессия определяется как существенное снижение ВВП на душу населения, превышающее медианный уровень по выборке. ((Глобальный финансовый кризис 2008-2009 годов был определён как один из наиболее распространённых и дорогостоящих кризисных эпизодов, поскольку в ряде развитых экономик потери выпуска превысили 10% ВВП.²²))</w:t>
      </w:r>
    </w:p>
    <w:p w:rsidR="00801C73" w:rsidRPr="00801C73" w:rsidRDefault="00801C73" w:rsidP="00801C73">
      <w:pPr>
        <w:rPr>
          <w:lang w:val="ru-RU"/>
        </w:rPr>
      </w:pPr>
    </w:p>
    <w:p w:rsidR="00801C73" w:rsidRPr="00801C73" w:rsidRDefault="00801C73" w:rsidP="00801C73">
      <w:pPr>
        <w:rPr>
          <w:lang w:val="ru-RU"/>
        </w:rPr>
      </w:pPr>
      <w:r w:rsidRPr="00801C73">
        <w:rPr>
          <w:lang w:val="ru-RU"/>
        </w:rPr>
        <w:t>((Важным результатом указанного исследования является вывод о том, что продолжительность рецессий зависит от вовлечённости банковского сектора: в странах ОЭСР, столкнувшихся с банковским кризисом, средний интервал «пик - дно» составил около 12 кварталов, тогда как в странах без банковского кризиса - около 4 кварталов, а в отдельных странах вне ОЭСР - около 3 кварталов.²³)) Иными словами, финансовая составляющая кризиса способна заметно удлинять период восстановления - и это нужно учитывать при разработке антикризисной политики.</w:t>
      </w:r>
    </w:p>
    <w:p w:rsidR="00801C73" w:rsidRPr="00801C73" w:rsidRDefault="00801C73" w:rsidP="00801C73">
      <w:pPr>
        <w:rPr>
          <w:lang w:val="ru-RU"/>
        </w:rPr>
      </w:pPr>
    </w:p>
    <w:p w:rsidR="00801C73" w:rsidRPr="00801C73" w:rsidRDefault="00801C73" w:rsidP="00801C73">
      <w:pPr>
        <w:rPr>
          <w:lang w:val="ru-RU"/>
        </w:rPr>
      </w:pPr>
      <w:r w:rsidRPr="00801C73">
        <w:rPr>
          <w:lang w:val="ru-RU"/>
        </w:rPr>
        <w:t>((В теории устойчивости важное место занимают индикаторы раннего предупреждения. Согласно методологии Хермансена и Рёна, к наиболее информативным относятся рост частного кредитования, отклонения цен на жильё от долгосрочного тренда, дисбалансы текущего счёта и глобальные показатели кредитного цикла.²⁴)) Для этого исследования такой подход важен тем, что показывает: устойчивость экономики можно оценивать через систему количественных показателей - которые затем используются в сравнительном и эконометрическом анализе.</w:t>
      </w:r>
    </w:p>
    <w:p w:rsidR="00801C73" w:rsidRPr="00801C73" w:rsidRDefault="00801C73" w:rsidP="00801C73">
      <w:pPr>
        <w:rPr>
          <w:lang w:val="ru-RU"/>
        </w:rPr>
      </w:pPr>
    </w:p>
    <w:p w:rsidR="00801C73" w:rsidRPr="00801C73" w:rsidRDefault="00801C73" w:rsidP="00801C73">
      <w:pPr>
        <w:rPr>
          <w:lang w:val="ru-RU"/>
        </w:rPr>
      </w:pPr>
      <w:r w:rsidRPr="00801C73">
        <w:rPr>
          <w:lang w:val="ru-RU"/>
        </w:rPr>
        <w:t>Современное понимание экономической устойчивости постепенно расширяется за счёт включения цифровых и технологических факторов. Если в классическом подходе Бригульо устойчивость объяснялась через макроэкономические, институциональные и социальные переменные, то после пандемии COVID-19 всё большее значение стали получать показатели цифровой готовности.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финансовой системой и государственными финансами.²⁵)) Это показывает, что природа современных кризисов изменилась: пандемия 2020 года выявила значимость цифровой инфраструктуры как одного из инструментов смягчения шока - наряду с фискальными и финансовыми резервами.</w:t>
      </w:r>
    </w:p>
    <w:p w:rsidR="00801C73" w:rsidRPr="00801C73" w:rsidRDefault="00801C73" w:rsidP="00801C73">
      <w:pPr>
        <w:rPr>
          <w:lang w:val="ru-RU"/>
        </w:rPr>
      </w:pPr>
    </w:p>
    <w:p w:rsidR="00801C73" w:rsidRDefault="00801C73" w:rsidP="00801C73">
      <w:pPr>
        <w:rPr>
          <w:lang w:val="ru-RU"/>
        </w:rPr>
      </w:pPr>
      <w:r w:rsidRPr="00801C73">
        <w:rPr>
          <w:lang w:val="ru-RU"/>
        </w:rPr>
        <w:t>С учётом рассмотренных подходов устойчивость национальной экономики можно понимать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помощью эконометрических моделей - что позволяет использовать эту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p>
    <w:p w:rsidR="00801C73" w:rsidRPr="00801C73" w:rsidRDefault="00801C73" w:rsidP="00801C73">
      <w:pPr>
        <w:rPr>
          <w:lang w:val="ru-RU"/>
        </w:rPr>
      </w:pPr>
      <w:r w:rsidRPr="00801C73">
        <w:rPr>
          <w:lang w:val="ru-RU"/>
        </w:rPr>
        <w:t>1.3. Системные механизмы и каналы влияния цифровых технологий на макроэкономическую стабильность государств</w:t>
      </w:r>
    </w:p>
    <w:p w:rsidR="00801C73" w:rsidRPr="00801C73" w:rsidRDefault="00801C73" w:rsidP="00801C73">
      <w:pPr>
        <w:rPr>
          <w:lang w:val="ru-RU"/>
        </w:rPr>
      </w:pPr>
    </w:p>
    <w:p w:rsidR="00801C73" w:rsidRPr="00801C73" w:rsidRDefault="00801C73" w:rsidP="00801C73">
      <w:pPr>
        <w:rPr>
          <w:lang w:val="ru-RU"/>
        </w:rPr>
      </w:pPr>
      <w:r w:rsidRPr="00801C73">
        <w:rPr>
          <w:lang w:val="ru-RU"/>
        </w:rPr>
        <w:t>Связь между цифровизацией и устойчивостью национальных экономик, рассмотренная в предыдущих параграфах, требует более конкретного раскрытия через отдельные каналы воздействия. Для этого исследования такая систематизация важна - она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w:t>
      </w:r>
    </w:p>
    <w:p w:rsidR="00801C73" w:rsidRPr="00801C73" w:rsidRDefault="00801C73" w:rsidP="00801C73">
      <w:pPr>
        <w:rPr>
          <w:lang w:val="ru-RU"/>
        </w:rPr>
      </w:pPr>
    </w:p>
    <w:p w:rsidR="00801C73" w:rsidRPr="00801C73" w:rsidRDefault="00801C73" w:rsidP="00801C73">
      <w:pPr>
        <w:rPr>
          <w:lang w:val="ru-RU"/>
        </w:rPr>
      </w:pPr>
      <w:r w:rsidRPr="00801C73">
        <w:rPr>
          <w:lang w:val="ru-RU"/>
        </w:rPr>
        <w:lastRenderedPageBreak/>
        <w:t>Первый канал - 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 По оценкам ОЭСР, готовность к цифровизации стала одним из ключевых факторов адаптации бизнеса и государственного сектора в период пандемии COVID-19. ((Этот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 и адресной поддержки населения.²⁶))</w:t>
      </w:r>
    </w:p>
    <w:p w:rsidR="00801C73" w:rsidRPr="00801C73" w:rsidRDefault="00801C73" w:rsidP="00801C73">
      <w:pPr>
        <w:rPr>
          <w:lang w:val="ru-RU"/>
        </w:rPr>
      </w:pPr>
    </w:p>
    <w:p w:rsidR="00801C73" w:rsidRDefault="00801C73" w:rsidP="00801C73">
      <w:pPr>
        <w:rPr>
          <w:lang w:val="ru-RU"/>
        </w:rPr>
      </w:pPr>
      <w:r w:rsidRPr="00801C73">
        <w:rPr>
          <w:lang w:val="ru-RU"/>
        </w:rPr>
        <w:t>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 ((В докладе ОЭСР 2020 года подчёркивается,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 социальных и иных государственных систем.²⁷)) С макроэкономической точки зрения этот канал уменьшает временные лаги и административные издержки при распределении средств - благодаря чему государственные расходы быстрее дают стабилизирующий эффект.</w:t>
      </w:r>
    </w:p>
    <w:p w:rsidR="00801C73" w:rsidRPr="00801C73" w:rsidRDefault="00801C73" w:rsidP="00801C73">
      <w:pPr>
        <w:rPr>
          <w:lang w:val="ru-RU"/>
        </w:rPr>
      </w:pPr>
      <w:r w:rsidRPr="00801C73">
        <w:rPr>
          <w:lang w:val="ru-RU"/>
        </w:rPr>
        <w:t>Третий канал - адаптация частного сектора к шокам за счёт цифровых технологий. ((Эмпирические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менее цифровизированными фирмами.²⁸)) Это объясняется тем, что цифровые решения облегчают переход на удалённую работу, развитие электронной коммерции и более гибкую организацию производственных и логистических процессов. ((По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бизнеса к кризисным ограничениям.²⁹))</w:t>
      </w:r>
    </w:p>
    <w:p w:rsidR="00801C73" w:rsidRPr="00801C73" w:rsidRDefault="00801C73" w:rsidP="00801C73">
      <w:pPr>
        <w:rPr>
          <w:lang w:val="ru-RU"/>
        </w:rPr>
      </w:pPr>
    </w:p>
    <w:p w:rsidR="00801C73" w:rsidRDefault="00801C73" w:rsidP="00801C73">
      <w:pPr>
        <w:rPr>
          <w:lang w:val="ru-RU"/>
        </w:rPr>
      </w:pPr>
      <w:r w:rsidRPr="00801C73">
        <w:rPr>
          <w:lang w:val="ru-RU"/>
        </w:rPr>
        <w:t>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онлайн-каналам торговли, связи и получения услуг. ((Так, в 2020 году розничные онлайн-продажи в Европейском союзе и США заметно выросли, а спрос на широкополосную связь у отдельных операторов увеличился до 60%.³⁰)) ((По оценкам исследователей, пандемия продвинула долгосрочный тренд цифровизации потребительских рынков примерно на 2,5 года вперёд относительно допандемийной траектории.³¹)) С точки зрения экономической 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rsidR="00801C73" w:rsidRPr="00801C73" w:rsidRDefault="00801C73" w:rsidP="00801C73">
      <w:pPr>
        <w:rPr>
          <w:lang w:val="ru-RU"/>
        </w:rPr>
      </w:pPr>
      <w:r w:rsidRPr="00801C73">
        <w:rPr>
          <w:lang w:val="ru-RU"/>
        </w:rPr>
        <w:t xml:space="preserve">Пятый канал - устойчивость информационно-коммуникационного сектора как отдельного элемента национальной экономики. ((Согласно данным ОЭСР, в 2020 году средний темп роста ИКТ-сектора в странах ОЭСР составил 6,6%, а к 2021 году эффект пандемийного шока в большинстве стран данного сектора уже практически не прослеживался.³²)) Это показывает, что ИКТ-сектор в кризисных условиях оказывается устойчивее многих традиционных отраслей. Его значение проявляется в двух аспектах: во-первых, более высокая доля ИКТ-сектора в экономике создаёт дополнительную опору для </w:t>
      </w:r>
      <w:r w:rsidRPr="00801C73">
        <w:rPr>
          <w:lang w:val="ru-RU"/>
        </w:rPr>
        <w:lastRenderedPageBreak/>
        <w:t>совокупного выпуска; во-вторых, этот сектор обеспечивает другие отрасли цифровыми решениями которые повышают их способность к адаптации.</w:t>
      </w:r>
    </w:p>
    <w:p w:rsidR="00801C73" w:rsidRPr="00801C73" w:rsidRDefault="00801C73" w:rsidP="00801C73">
      <w:pPr>
        <w:rPr>
          <w:lang w:val="ru-RU"/>
        </w:rPr>
      </w:pPr>
    </w:p>
    <w:p w:rsidR="00801C73" w:rsidRPr="00801C73" w:rsidRDefault="00801C73" w:rsidP="00801C73">
      <w:pPr>
        <w:rPr>
          <w:lang w:val="ru-RU"/>
        </w:rPr>
      </w:pPr>
      <w:r w:rsidRPr="00801C73">
        <w:rPr>
          <w:lang w:val="ru-RU"/>
        </w:rPr>
        <w:t>((Исследования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дисбалансы счёта текущих операций.³³)) Для этого исследования такой вывод важен: цифровизация фискальной системы может повышать не только скорость антикризисного реагирования, но и качество раннего выявления макроэкономических дисбалансов - за счёт объединения и анализа данных в режиме близком к реальному времени.</w:t>
      </w:r>
    </w:p>
    <w:p w:rsidR="00801C73" w:rsidRPr="00801C73" w:rsidRDefault="00801C73" w:rsidP="00801C73">
      <w:pPr>
        <w:rPr>
          <w:lang w:val="ru-RU"/>
        </w:rPr>
      </w:pPr>
    </w:p>
    <w:p w:rsidR="00801C73" w:rsidRPr="00801C73" w:rsidRDefault="00801C73" w:rsidP="00801C73">
      <w:pPr>
        <w:rPr>
          <w:lang w:val="ru-RU"/>
        </w:rPr>
      </w:pPr>
      <w:r w:rsidRPr="00801C73">
        <w:rPr>
          <w:lang w:val="ru-RU"/>
        </w:rPr>
        <w:t>((Вопрос цифровизации финансового сектора следует рассматривать двойственно: с одной стороны, она ускоряет фискальную и финансовую трансмиссию, с другой - при слабом регулировании может усиливать распространение финансовых рисков.³⁴)) Поэтому развитие цифровых финансов должно сочетаться с надёжным макропруденциальным регулированием и постоянным контролем устойчивости финансовой системы.</w:t>
      </w:r>
    </w:p>
    <w:p w:rsidR="00801C73" w:rsidRPr="00801C73" w:rsidRDefault="00801C73" w:rsidP="00801C73">
      <w:pPr>
        <w:rPr>
          <w:lang w:val="ru-RU"/>
        </w:rPr>
      </w:pPr>
    </w:p>
    <w:p w:rsidR="00801C73" w:rsidRPr="00801C73" w:rsidRDefault="00801C73" w:rsidP="00801C73">
      <w:pPr>
        <w:rPr>
          <w:lang w:val="ru-RU"/>
        </w:rPr>
      </w:pPr>
      <w:r w:rsidRPr="00801C73">
        <w:rPr>
          <w:lang w:val="ru-RU"/>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Устойчивость связанная с цифровыми технологиями формируется не как простая сумма отдельных эффектов, а как результат взаимодействия нескольких каналов. Именно поэтому страны с более высоким уровнем цифровой трансформации могут показывать более устойчивые траектории в условиях глобальных кризисов - что рассматривается во второй главе.</w:t>
      </w:r>
    </w:p>
    <w:p w:rsidR="00801C73" w:rsidRPr="00801C73" w:rsidRDefault="00801C73" w:rsidP="00801C73">
      <w:pPr>
        <w:rPr>
          <w:lang w:val="ru-RU"/>
        </w:rPr>
      </w:pPr>
    </w:p>
    <w:p w:rsidR="00801C73" w:rsidRDefault="00801C73" w:rsidP="00801C73">
      <w:pPr>
        <w:rPr>
          <w:lang w:val="ru-RU"/>
        </w:rPr>
      </w:pPr>
      <w:r w:rsidRPr="00801C73">
        <w:rPr>
          <w:lang w:val="ru-RU"/>
        </w:rPr>
        <w:t>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этой работе,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населения. В качестве зависимой переменной используется натуральный логарифм ВВП на душу населения. В модель также включаются валовое накопление основного капитала, инфляция, безработица, экспорт высокотехнологичной продукции, кризисные дамми-переменные 2020 и 2022 годов, а также взаимодействия показателя интернет-проникновения с кризисными периодами. Такой подход связывает теоретические положения первой главы с эконометрическим анализом второй.</w:t>
      </w:r>
    </w:p>
    <w:p w:rsidR="00801C73" w:rsidRPr="00801C73" w:rsidRDefault="00801C73" w:rsidP="00801C73">
      <w:pPr>
        <w:rPr>
          <w:lang w:val="ru-RU"/>
        </w:rPr>
      </w:pPr>
      <w:r w:rsidRPr="00801C73">
        <w:rPr>
          <w:lang w:val="ru-RU"/>
        </w:rPr>
        <w:t xml:space="preserve">Цифровые технологии влияют на макроэкономическую устойчивость не через один универсальный механизм, а через систему взаимосвязанных каналов. Они охватывают государственное управление, фискальную трансмиссию, адаптацию частного сектора, структуру конечного спроса и устойчивость ИКТ-сектора. Совместное действие этих каналов дополняет классическое понимание устойчивости - </w:t>
      </w:r>
      <w:r w:rsidRPr="00801C73">
        <w:rPr>
          <w:lang w:val="ru-RU"/>
        </w:rPr>
        <w:lastRenderedPageBreak/>
        <w:t>то, что представлено в работах Бригульо и ОЭСР - и позволяет рассматривать цифровизацию как самостоятельный фактор повышения адаптивности национальных экономик. Эмпирическая проверка этой связи и сравнительный анализ страновых траекторий в условиях глобальных кризисов представлены во второй главе.</w:t>
      </w:r>
    </w:p>
    <w:p w:rsidR="00801C73" w:rsidRPr="00801C73" w:rsidRDefault="00801C73" w:rsidP="00801C73">
      <w:pPr>
        <w:rPr>
          <w:lang w:val="ru-RU"/>
        </w:rPr>
      </w:pPr>
    </w:p>
    <w:p w:rsidR="00801C73" w:rsidRDefault="00801C73" w:rsidP="00801C73">
      <w:pPr>
        <w:rPr>
          <w:lang w:val="ru-RU"/>
        </w:rPr>
      </w:pPr>
      <w:r w:rsidRPr="00801C73">
        <w:rPr>
          <w:lang w:val="ru-RU"/>
        </w:rPr>
        <w:t>Выводы по первой главе. Первая глава дала несколько результатов которые определяют логику дальнейшего анализа. Цифровизация - это не просто технологический сдвиг: она меняет саму архитектуру экономической адаптации, влияя на то как государство функционирует в кризис, как бизнес перестраивается и как передаётся фискальная поддержка. Подходы ОЭСР, Всемирного банка, Европейской комиссии и исследователей экономической устойчивости сходятся в одном - устойчивость не возникает в момент шока, она либо уже есть в экономике, либо её нет. Пять каналов, систематизированных в этой главе - непрерывность государственных функций, эффективность фискальной трансмиссии, адаптация частного сектора, диверсификация конечного спроса и устойчивость ИКТ-сектора - это не просто классификация. Каждый из них представляет конкретный механизм через который уровень цифровой зрелости страны либо смягчает удар кризиса, либо нет. Именно поэтому следующий шаг - не дальнейшая теория, а сравнение реальных стран и эконометрика.</w:t>
      </w:r>
    </w:p>
    <w:p w:rsidR="00801C73" w:rsidRPr="00801C73" w:rsidRDefault="00801C73" w:rsidP="00801C73">
      <w:pPr>
        <w:rPr>
          <w:lang w:val="ru-RU"/>
        </w:rPr>
      </w:pPr>
      <w:r w:rsidRPr="00801C73">
        <w:rPr>
          <w:lang w:val="ru-RU"/>
        </w:rPr>
        <w:t>ГЛАВА II. МЕЖДУНАРОДНЫЙ ОПЫТ ЦИФРОВИЗАЦИИ ЭКОНОМИКИ И ЭКОНОМЕТРИЧЕСКИЙ АНАЛИЗ ЕЁ ВЛИЯНИЯ НА УСТОЙЧИВОСТЬ СТРАН К ГЛОБАЛЬНЫМ КРИЗИСАМ</w:t>
      </w:r>
    </w:p>
    <w:p w:rsidR="00801C73" w:rsidRPr="00801C73" w:rsidRDefault="00801C73" w:rsidP="00801C73">
      <w:pPr>
        <w:rPr>
          <w:lang w:val="ru-RU"/>
        </w:rPr>
      </w:pPr>
    </w:p>
    <w:p w:rsidR="00801C73" w:rsidRPr="00801C73" w:rsidRDefault="00801C73" w:rsidP="00801C73">
      <w:pPr>
        <w:rPr>
          <w:lang w:val="ru-RU"/>
        </w:rPr>
      </w:pPr>
      <w:r w:rsidRPr="00801C73">
        <w:rPr>
          <w:lang w:val="ru-RU"/>
        </w:rPr>
        <w:t>2.1. Сравнительный анализ моделей цифровой трансформации стран-лидеров (на примере Эстонии, Республики Корея, Сингапура и Польши)</w:t>
      </w:r>
    </w:p>
    <w:p w:rsidR="00801C73" w:rsidRPr="00801C73" w:rsidRDefault="00801C73" w:rsidP="00801C73">
      <w:pPr>
        <w:rPr>
          <w:lang w:val="ru-RU"/>
        </w:rPr>
      </w:pPr>
    </w:p>
    <w:p w:rsidR="00801C73" w:rsidRDefault="00801C73" w:rsidP="00801C73">
      <w:pPr>
        <w:rPr>
          <w:lang w:val="ru-RU"/>
        </w:rPr>
      </w:pPr>
      <w:r w:rsidRPr="00801C73">
        <w:rPr>
          <w:lang w:val="ru-RU"/>
        </w:rPr>
        <w:t>Теоретическая база, заложенная в первой главе, позволяет перейти к анализу международного опыта цифровой трансформации. В этом параграфе сравниваются четыре национальные модели с разными институциональными условиями и подходами к цифровому развитию: Эстония - модель малого постсоветского государства, сделавшего цифровизацию частью национального развития; Республика Корея - модель развитой экономики с государственно-направляемой цифровой модернизацией; Сингапур - модель города-государства с высоким уровнем цифровой конкурентоспособности; Польша - модель догоняющей цифровизации переходной экономики интегрированной в Европейский союз. Выбор этих стран обусловлен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количественных показателей для дальнейшего анализа. Сравнительные позиции четырёх стран в ключевых международных индексах цифровой зрелости представлены в таблице 2.1.</w:t>
      </w:r>
    </w:p>
    <w:p w:rsidR="00801C73" w:rsidRPr="00801C73" w:rsidRDefault="00801C73" w:rsidP="00801C73">
      <w:pPr>
        <w:rPr>
          <w:lang w:val="ru-RU"/>
        </w:rPr>
      </w:pPr>
      <w:r w:rsidRPr="00801C73">
        <w:rPr>
          <w:lang w:val="ru-RU"/>
        </w:rPr>
        <w:t>Таблица 2.1. Позиции четырёх стран в международных индексах цифровой зрелости (2024) Источники: UN DESA (EGDI 2024); Portulans Institute (NRI 2024); IMD WDCR 2024.</w:t>
      </w:r>
    </w:p>
    <w:p w:rsidR="00801C73" w:rsidRPr="00801C73" w:rsidRDefault="00801C73" w:rsidP="00801C73">
      <w:pPr>
        <w:rPr>
          <w:lang w:val="ru-RU"/>
        </w:rPr>
      </w:pPr>
    </w:p>
    <w:p w:rsidR="00801C73" w:rsidRPr="00801C73" w:rsidRDefault="00801C73" w:rsidP="00801C73">
      <w:pPr>
        <w:rPr>
          <w:lang w:val="ru-RU"/>
        </w:rPr>
      </w:pPr>
      <w:r w:rsidRPr="00801C73">
        <w:rPr>
          <w:lang w:val="ru-RU"/>
        </w:rPr>
        <w:t xml:space="preserve">Данные таблицы 2.1 показывают: все четыре страны занимают заметные позиции в международных рейтингах цифровой зрелости, но достигают этих результатов разными путями. Эстония опирается на модель компактного цифрового государства, Республика Корея - на государственно-направляемую </w:t>
      </w:r>
      <w:r w:rsidRPr="00801C73">
        <w:rPr>
          <w:lang w:val="ru-RU"/>
        </w:rPr>
        <w:lastRenderedPageBreak/>
        <w:t>цифровую модернизацию, Сингапур - на высокий уровень институциональной координации и цифровой конкурентоспособности, а Польша - на постепенную догоняющую цифровизацию в рамках европейской интеграции.</w:t>
      </w:r>
    </w:p>
    <w:p w:rsidR="00801C73" w:rsidRPr="00801C73" w:rsidRDefault="00801C73" w:rsidP="00801C73">
      <w:pPr>
        <w:rPr>
          <w:lang w:val="ru-RU"/>
        </w:rPr>
      </w:pPr>
    </w:p>
    <w:p w:rsidR="00801C73" w:rsidRPr="00801C73" w:rsidRDefault="00801C73" w:rsidP="00801C73">
      <w:pPr>
        <w:rPr>
          <w:lang w:val="ru-RU"/>
        </w:rPr>
      </w:pPr>
      <w:r w:rsidRPr="00801C73">
        <w:rPr>
          <w:lang w:val="ru-RU"/>
        </w:rPr>
        <w:t>Эстония: модель «цифрового государства» малой постсоветской экономики. ((Цифровая трансформация Эстонии началась с программы Tiger Leap (Tiigrihüpe), запущенной в 1996 году и направленной на компьютеризацию школ, подключение их к интернету, подготовку учителей и создание учебного контента на эстонском языке.³⁵)) ((К 2000 году все школы Эстонии были оснащены компьютерами, а к 2001 году подключены к интернету.³⁶)) Благодаря этому страна сформировала раннюю базу цифровой грамотности и подготовила общество к дальнейшему развитию электронного государства.</w:t>
      </w:r>
    </w:p>
    <w:p w:rsidR="00801C73" w:rsidRPr="00801C73" w:rsidRDefault="00801C73" w:rsidP="00801C73">
      <w:pPr>
        <w:rPr>
          <w:lang w:val="ru-RU"/>
        </w:rPr>
      </w:pPr>
    </w:p>
    <w:p w:rsidR="00801C73" w:rsidRDefault="00801C73" w:rsidP="00801C73">
      <w:pPr>
        <w:rPr>
          <w:lang w:val="ru-RU"/>
        </w:rPr>
      </w:pPr>
      <w:r w:rsidRPr="00801C73">
        <w:rPr>
          <w:lang w:val="ru-RU"/>
        </w:rPr>
        <w:t>Следующим ключевым шагом стало создание технологической основы эстонского цифрового государства. Центральное место заняла платформа X-Road (X-tee) - распределённая система обмена данными между государственными и частными информационными системами. ((Проект развернули в 2001 году на принципе децентрализации: данные хранятся в исходных реестрах и передаются по запросу через защищённые каналы с использованием цифровой подписи.³⁷)) ((К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примерно 2,2 млрд транзакций в год.³⁸)) Открытие исходного кода центральных компонентов X-Road под лицензией MIT усилило международное значение этой модели - в частности, в 2018 году были соединены системы обмена данными Эстонии и Финляндии.</w:t>
      </w:r>
    </w:p>
    <w:p w:rsidR="00801C73" w:rsidRPr="00801C73" w:rsidRDefault="00801C73" w:rsidP="00801C73">
      <w:pPr>
        <w:rPr>
          <w:lang w:val="ru-RU"/>
        </w:rPr>
      </w:pPr>
      <w:r w:rsidRPr="00801C73">
        <w:rPr>
          <w:lang w:val="ru-RU"/>
        </w:rPr>
        <w:t>Продолжением этой модели стала программа электронного резидентства - она позволила Эстонии использовать цифровую инфраструктуру не только внутри страны, но и за её пределами. ((Программа e-Residency, запущенная в конце 2014 года, по состоянию на 2025 год охватывает более 128 тыс. человек из 185 стран; ими основано свыше 36 тыс. эстонских компаний, а совокупный прямой экономический эффект для бюджета составил 342 млн евро.³⁹)) ((В 2024 году e-резиденты создали 4818 новых компаний, а налоговые поступления от программы достигли 66,8 млн евро.⁴⁰)) ((В Индексе развития электронного правительства ООН EGDI 2024 года Эстония заняла 2-е место в мире со значением индекса 0,9727.⁴¹)) В итоге эстонская модель держится на четырёх опорах: цифровая грамотность, межведомственная интероперабельность, цифровая идентификация и продвижение государственных решений на международном уровне.</w:t>
      </w:r>
    </w:p>
    <w:p w:rsidR="00801C73" w:rsidRPr="00801C73" w:rsidRDefault="00801C73" w:rsidP="00801C73">
      <w:pPr>
        <w:rPr>
          <w:lang w:val="ru-RU"/>
        </w:rPr>
      </w:pPr>
    </w:p>
    <w:p w:rsidR="00801C73" w:rsidRPr="00801C73" w:rsidRDefault="00801C73" w:rsidP="00801C73">
      <w:pPr>
        <w:rPr>
          <w:lang w:val="ru-RU"/>
        </w:rPr>
      </w:pPr>
      <w:r w:rsidRPr="00801C73">
        <w:rPr>
          <w:lang w:val="ru-RU"/>
        </w:rPr>
        <w:t>Республика Корея: модель государственно-направляемой цифровой модернизации. Цифровая трансформация Республики Корея отличается сильной ролью государства, долгосрочным планированием и активным использованием фискальных стимулов для ускорения технологического развития. Одним из ключевых программных документов стал Корейский новый курс (Korean New Deal), объявленный 14 июля 2020 года. ((Общий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соответствовало 5,9% ВВП 2020 года.⁴²)) Программа была направлена на создание 1,9 млн рабочих мест и включала три блока: Digital New Deal, Green New Deal и укрепление системы социальной защиты.</w:t>
      </w:r>
    </w:p>
    <w:p w:rsidR="00801C73" w:rsidRPr="00801C73" w:rsidRDefault="00801C73" w:rsidP="00801C73">
      <w:pPr>
        <w:rPr>
          <w:lang w:val="ru-RU"/>
        </w:rPr>
      </w:pPr>
    </w:p>
    <w:p w:rsidR="00801C73" w:rsidRPr="00801C73" w:rsidRDefault="00801C73" w:rsidP="00801C73">
      <w:pPr>
        <w:rPr>
          <w:lang w:val="ru-RU"/>
        </w:rPr>
      </w:pPr>
      <w:r w:rsidRPr="00801C73">
        <w:rPr>
          <w:lang w:val="ru-RU"/>
        </w:rPr>
        <w:t>Центральным цифровым блоком стал Digital New Deal. ((На его реализацию было выделено 58,2 трлн вон, из которых 44,8 трлн финансировались из государственной казны.⁴³)) В основе программы лежала концепция DNA - Data, Network, AI - которая связывала развитие данных, сетевой инфраструктуры и искусственного интеллекта с модернизацией ключевых секторов экономики. ((В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программного обеспечения для диагностики 12 заболеваний, а также подключение более 310 000 классов к высокоскоростному беспроводному интернету.⁴⁴)) В июле 2021 года был объявлен Korean New Deal 2.0 - общий бюджет программы расширили примерно до 220 трлн вон.</w:t>
      </w:r>
    </w:p>
    <w:p w:rsidR="00801C73" w:rsidRPr="00801C73" w:rsidRDefault="00801C73" w:rsidP="00801C73">
      <w:pPr>
        <w:rPr>
          <w:lang w:val="ru-RU"/>
        </w:rPr>
      </w:pPr>
    </w:p>
    <w:p w:rsidR="00801C73" w:rsidRPr="00801C73" w:rsidRDefault="00801C73" w:rsidP="00801C73">
      <w:pPr>
        <w:rPr>
          <w:lang w:val="ru-RU"/>
        </w:rPr>
      </w:pPr>
      <w:r w:rsidRPr="00801C73">
        <w:rPr>
          <w:lang w:val="ru-RU"/>
        </w:rPr>
        <w:t>((По данным Министерства науки и ИКТ Кореи, совокупный бюджет на развитие ведущих цифровых технологий в первый год реализации Digital New Deal составил 10,1 трлн вон, или 8,7 млрд долларов США.⁴⁵)) 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правительств к использованию искусственного интеллекта Oxford Insights - с 26-го на 7-е место.)) ((Ещё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ИИ-полупроводников в течение 10 лет.⁴⁶)) ((В EGDI 2024 Республика Корея занимает 4-е место со значением индекса 0,9679, а в OECD Digital Government Index 2023 - 1-е место среди стран ОЭСР.⁴⁷)) В целом корейская модель отличается крупным масштабом государственных инвестиций и тесной связью цифровой трансформации с антикризисной политикой - Digital New Deal был запущен именно как ответ на последствия пандемии COVID-19.</w:t>
      </w:r>
    </w:p>
    <w:p w:rsidR="00801C73" w:rsidRPr="00801C73" w:rsidRDefault="00801C73" w:rsidP="00801C73">
      <w:pPr>
        <w:rPr>
          <w:lang w:val="ru-RU"/>
        </w:rPr>
      </w:pPr>
    </w:p>
    <w:p w:rsidR="00801C73" w:rsidRDefault="00801C73" w:rsidP="00801C73">
      <w:pPr>
        <w:rPr>
          <w:lang w:val="ru-RU"/>
        </w:rPr>
      </w:pPr>
      <w:r w:rsidRPr="00801C73">
        <w:rPr>
          <w:lang w:val="ru-RU"/>
        </w:rPr>
        <w:t>Сингапур: модель города-государства как глобального эталона цифровой конкурентоспособности. ((Инициатива Smart Nation была объявлена в 2014 году и стала основой сингапурской стратегии цифровой трансформации, ориентированной на внедрение информационно-коммуникационных технологий, цифровых платформ, сетей и больших данных в государственное управление и экономику.⁴⁸)) Для реализации этой политики были созданы специализированные институты - 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 цифрового развития и информации - что показывает дальнейшее институциональное укрепление цифровой трансформации в стране.</w:t>
      </w:r>
    </w:p>
    <w:p w:rsidR="00801C73" w:rsidRPr="00801C73" w:rsidRDefault="00801C73" w:rsidP="00801C73">
      <w:pPr>
        <w:rPr>
          <w:lang w:val="ru-RU"/>
        </w:rPr>
      </w:pPr>
      <w:r w:rsidRPr="00801C73">
        <w:rPr>
          <w:lang w:val="ru-RU"/>
        </w:rPr>
        <w:t xml:space="preserve">Практические результаты сингапурской модели проявляются в устойчивом росте цифровой экономики и широком распространении цифровых сервисов. ((Её вклад в ВВП Сингапура увеличился с 13,3% в 2017 году до 17,7% в 2023 году при среднегодовом темпе роста 11,2%, что почти вдвое превышало темп роста экономики в целом.⁴⁹)) Около 99% домохозяйств подключены к интернету, а 99% государственных услуг доступны в цифровом формате. ((Ключевыми элементами цифровой инфраструктуры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моделирования сценариев городского развития.⁵⁰)) В период пандемии COVID-19 </w:t>
      </w:r>
      <w:r w:rsidRPr="00801C73">
        <w:rPr>
          <w:lang w:val="ru-RU"/>
        </w:rPr>
        <w:lastRenderedPageBreak/>
        <w:t>Сингапур оперативно развернул систему TraceTogether для отслеживания контактов - это показало способность цифровой инфраструктуры быстро адаптироваться к кризисным условиям.</w:t>
      </w:r>
    </w:p>
    <w:p w:rsidR="00801C73" w:rsidRPr="00801C73" w:rsidRDefault="00801C73" w:rsidP="00801C73">
      <w:pPr>
        <w:rPr>
          <w:lang w:val="ru-RU"/>
        </w:rPr>
      </w:pPr>
    </w:p>
    <w:p w:rsidR="00801C73" w:rsidRPr="00801C73" w:rsidRDefault="00801C73" w:rsidP="00801C73">
      <w:pPr>
        <w:rPr>
          <w:lang w:val="ru-RU"/>
        </w:rPr>
      </w:pPr>
      <w:r w:rsidRPr="00801C73">
        <w:rPr>
          <w:lang w:val="ru-RU"/>
        </w:rPr>
        <w:t>Следующим этапом стала обновлённая стратегия Smart Nation 2.0. ((В октябре 2024 года премьер-министр Лоуренс Вонг представил концепцию Smart Nation 2.0, одним из ключевых элементов которой стало выделение 120 млн сингапурских долларов на программу AI for Science для развития междисциплинарных исследований в области искусственного интеллекта.⁵¹)) Новая стратегия переносит акцент с создания базовой цифровой инфраструктуры на практическое использование технологий - прежде всего генеративного искусственного интеллекта - для дальнейшего развития экономики и общества. ((В IMD World Digital Competitiveness Ranking 2024 Сингапур занимает 1-е место в мире, в Network Readiness Index 2024 - 2-е место, а в EGDI 2024 - 3-е место со значением индекса 0,9691.⁵²)) Отличительная черта сингапурской модели - 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p>
    <w:p w:rsidR="00801C73" w:rsidRPr="00801C73" w:rsidRDefault="00801C73" w:rsidP="00801C73">
      <w:pPr>
        <w:rPr>
          <w:lang w:val="ru-RU"/>
        </w:rPr>
      </w:pPr>
    </w:p>
    <w:p w:rsidR="00801C73" w:rsidRPr="00801C73" w:rsidRDefault="00801C73" w:rsidP="00801C73">
      <w:pPr>
        <w:rPr>
          <w:lang w:val="ru-RU"/>
        </w:rPr>
      </w:pPr>
      <w:r w:rsidRPr="00801C73">
        <w:rPr>
          <w:lang w:val="ru-RU"/>
        </w:rPr>
        <w:t>Польша: модель догоняющей цифровизации переходной экономики. Цифровая трансформация Польши развивалась иначе чем у Эстонии, Кореи или Сингапура - не как единая централизованная стратегия, а как постепенный процесс сближения с цифровыми стандартами Европейского союза. Важную роль здесь сыграли финансовые инструменты ЕС, развитие внутреннего ИКТ-сектора и модернизация государственных цифровых сервисов. ((Первым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инфраструктуры и цифровых государственных сервисов.⁵³)) ((Её продолжением стала программа FERC на период 2021-2027 годов, реализуемая под координацией Министерства цифровых дел и Центра проектов «Цифровая Польша».⁵⁴))</w:t>
      </w:r>
    </w:p>
    <w:p w:rsidR="00801C73" w:rsidRPr="00801C73" w:rsidRDefault="00801C73" w:rsidP="00801C73">
      <w:pPr>
        <w:rPr>
          <w:lang w:val="ru-RU"/>
        </w:rPr>
      </w:pPr>
    </w:p>
    <w:p w:rsidR="00801C73" w:rsidRPr="00801C73" w:rsidRDefault="00801C73" w:rsidP="00801C73">
      <w:pPr>
        <w:rPr>
          <w:lang w:val="ru-RU"/>
        </w:rPr>
      </w:pPr>
      <w:r w:rsidRPr="00801C73">
        <w:rPr>
          <w:lang w:val="ru-RU"/>
        </w:rPr>
        <w:t>Заметным результатом этой политики стало развитие цифровых государственных сервисов. Одним из ключевых элементов польской цифровой трансформации стало мобильное приложение mObywatel, запущенное в 2017 году. В 2020 году в приложение интегрировали электронные рецепты и мобильные водительские удостоверения. ((14 июля 2023 года вступил в силу закон, уравнявший юридическую силу цифрового удостоверения личности mDowód в приложении mObywatel 2.0 с пластиковым документом.⁵⁵)) ((К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регистрации транспортного средства - 5,7 млн, а через приложение доступно более 40 государственных услуг.⁵⁶)) Параллельно Польша развивает Profil Zaufany и платформу ePUAP - они обеспечивают доступ к государственным порталам, электронное подписание документов и взаимодействие с органами власти.</w:t>
      </w:r>
    </w:p>
    <w:p w:rsidR="00801C73" w:rsidRPr="00801C73" w:rsidRDefault="00801C73" w:rsidP="00801C73">
      <w:pPr>
        <w:rPr>
          <w:lang w:val="ru-RU"/>
        </w:rPr>
      </w:pPr>
    </w:p>
    <w:p w:rsidR="00801C73" w:rsidRDefault="00801C73" w:rsidP="00801C73">
      <w:pPr>
        <w:rPr>
          <w:lang w:val="ru-RU"/>
        </w:rPr>
      </w:pPr>
      <w:r w:rsidRPr="00801C73">
        <w:rPr>
          <w:lang w:val="ru-RU"/>
        </w:rPr>
        <w:t xml:space="preserve">Вместе с тем польская модель показывает разрыв между развитием государственных цифровых сервисов и уровнем цифровой зрелости населения и бизнеса. ((По данным Digital Decade Report Европейской комиссии за 2024 год, базовыми цифровыми навыками обладают 44% населения Польши при среднем показателе по ЕС 56%; искусственный интеллект полностью внедрили 3,7% </w:t>
      </w:r>
      <w:r w:rsidRPr="00801C73">
        <w:rPr>
          <w:lang w:val="ru-RU"/>
        </w:rPr>
        <w:lastRenderedPageBreak/>
        <w:t>компаний при среднем уровне ЕС 8%, а аналитику данных используют 19,3% компаний при среднем уровне ЕС 33,2%.⁵⁷)) При этом ИКТ-сектор страны растёт достаточно быстро. ((Согласно OECD Digital Economy Outlook 2024, среднегодовой темп роста ИКТ-сектора Польши за период 2013-2023 годов превысил 8%.⁵⁸)) Польша представляет собой модель «конвергенции с ограничениями»: цифровое государство и ИКТ-сектор развиваются, но проблемы цифровых навыков и внедрения технологий в частном секторе пока остаются. Именно поэтому польский опыт особенно интересен для стран с переходной экономикой - включая Узбекистан.</w:t>
      </w:r>
    </w:p>
    <w:p w:rsidR="00801C73" w:rsidRPr="00801C73" w:rsidRDefault="00801C73" w:rsidP="00801C73">
      <w:pPr>
        <w:rPr>
          <w:lang w:val="ru-RU"/>
        </w:rPr>
      </w:pPr>
      <w:r w:rsidRPr="00801C73">
        <w:rPr>
          <w:lang w:val="ru-RU"/>
        </w:rPr>
        <w:t>Сравнительный синтез четырёх моделей. 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является и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rsidR="00801C73" w:rsidRPr="00801C73" w:rsidRDefault="00801C73" w:rsidP="00801C73">
      <w:pPr>
        <w:rPr>
          <w:lang w:val="ru-RU"/>
        </w:rPr>
      </w:pPr>
    </w:p>
    <w:p w:rsidR="00801C73" w:rsidRPr="00801C73" w:rsidRDefault="00801C73" w:rsidP="00801C73">
      <w:pPr>
        <w:rPr>
          <w:lang w:val="ru-RU"/>
        </w:rPr>
      </w:pPr>
      <w:r w:rsidRPr="00801C73">
        <w:rPr>
          <w:lang w:val="ru-RU"/>
        </w:rPr>
        <w:t>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общее финансирование составило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 ((Сингапурская модель отличается высокой степенью интеграции цифровых решений в городскую среду и значительным вкладом цифровой экономики в ВВП: в 2023 году этот показатель достиг 17,7%.⁵⁹)) Польская модель отражает особенности догоняющей цифровизации - развитые государственные сервисы сочетаются здесь с более низкой цифровой зрелостью населения и частного сектора.</w:t>
      </w:r>
    </w:p>
    <w:p w:rsidR="00801C73" w:rsidRPr="00801C73" w:rsidRDefault="00801C73" w:rsidP="00801C73">
      <w:pPr>
        <w:rPr>
          <w:lang w:val="ru-RU"/>
        </w:rPr>
      </w:pPr>
    </w:p>
    <w:p w:rsidR="00801C73" w:rsidRPr="00801C73" w:rsidRDefault="00801C73" w:rsidP="00801C73">
      <w:pPr>
        <w:rPr>
          <w:lang w:val="ru-RU"/>
        </w:rPr>
      </w:pPr>
      <w:r w:rsidRPr="00801C73">
        <w:rPr>
          <w:lang w:val="ru-RU"/>
        </w:rPr>
        <w:t>Четыре страны представляют разные модели цифровой трансформации: Эстония - интероперабельное цифровое государство, Республика Корея - государственно-направляемую цифровую модернизацию, Сингапур - высокоинтегрированную цифровую экономику города-государства, а Польша - конвергенцию с определёнными ограничениями. Цифровизация развивается не по единой схеме, а через разные институциональные траектории. В следующем параграфе рассматривается как эти экономики реагировали на глобальные кризисы 2020-2022 годов с учётом уровня цифровой зрелости.</w:t>
      </w:r>
    </w:p>
    <w:p w:rsidR="00801C73" w:rsidRPr="00801C73" w:rsidRDefault="00801C73" w:rsidP="00801C73">
      <w:pPr>
        <w:rPr>
          <w:lang w:val="ru-RU"/>
        </w:rPr>
      </w:pPr>
      <w:r w:rsidRPr="00801C73">
        <w:rPr>
          <w:lang w:val="ru-RU"/>
        </w:rPr>
        <w:t>2.2. Реакция национальных экономик на глобальные кризисы 2020-2022 годов в контексте уровня цифровой зрелости</w:t>
      </w:r>
    </w:p>
    <w:p w:rsidR="00801C73" w:rsidRPr="00801C73" w:rsidRDefault="00801C73" w:rsidP="00801C73">
      <w:pPr>
        <w:rPr>
          <w:lang w:val="ru-RU"/>
        </w:rPr>
      </w:pPr>
    </w:p>
    <w:p w:rsidR="00801C73" w:rsidRDefault="00801C73" w:rsidP="00801C73">
      <w:pPr>
        <w:rPr>
          <w:lang w:val="ru-RU"/>
        </w:rPr>
      </w:pPr>
      <w:r w:rsidRPr="00801C73">
        <w:rPr>
          <w:lang w:val="ru-RU"/>
        </w:rPr>
        <w:t xml:space="preserve">Для согласования сравнительного анализа с эконометрической моделью параграфа 2.3 в работе выделяются два кризисных года. 2020-й рассматривается как период острой фазы пандемии COVID-19 и максимального падения ВВП, а 2022-й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эконометрической модели эти кризисные годы отражены через бинарные дамми-переменные Crisis_COVID и Crisis_Geo - что позволяет отдельно </w:t>
      </w:r>
      <w:r w:rsidRPr="00801C73">
        <w:rPr>
          <w:lang w:val="ru-RU"/>
        </w:rPr>
        <w:lastRenderedPageBreak/>
        <w:t>оценить их влияние на зависимую переменную при контроле уровня цифровизации. Такое разделение важно потому что пандемия COVID-19 выступила шоком неэкономического происхождения и ограничила физическую мобильность, тогда как кризис 2022 года проявился преимущественно через энергетический, ценовой и инфляционный каналы. Это позволяет оценить не только способность цифровой инфраструктуры смягчать последствия кризисов, но и её пределы там где шок находится вне прямого воздействия цифровых технологий.</w:t>
      </w:r>
    </w:p>
    <w:p w:rsidR="00801C73" w:rsidRPr="00801C73" w:rsidRDefault="00801C73" w:rsidP="00801C73">
      <w:pPr>
        <w:rPr>
          <w:lang w:val="ru-RU"/>
        </w:rPr>
      </w:pPr>
      <w:r w:rsidRPr="00801C73">
        <w:rPr>
          <w:lang w:val="ru-RU"/>
        </w:rPr>
        <w:t>Реакция Эстонии. ((В 2020 году экономика Эстонии показала сравнительно мягкое падение: снижение ВВП составило 3,0% против среднего показателя по ЕС на уровне -6,1%.⁶⁰)) ((Уже в 2021 году экономика восстановилась с темпом роста 8,6% - один из наиболее высоких показателей в ЕС.⁶¹)) Такой результат можно связать с высоким уровнем цифровой зрелости страны 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оставались доступны онлайн, а правительство оперативно запустило новые сервисы - упрощённые процедуры регистрации браков, рождений и обращений за пособиями через e-ID и X-Road.</w:t>
      </w:r>
    </w:p>
    <w:p w:rsidR="00801C73" w:rsidRPr="00801C73" w:rsidRDefault="00801C73" w:rsidP="00801C73">
      <w:pPr>
        <w:rPr>
          <w:lang w:val="ru-RU"/>
        </w:rPr>
      </w:pPr>
    </w:p>
    <w:p w:rsidR="00801C73" w:rsidRPr="00801C73" w:rsidRDefault="00801C73" w:rsidP="00801C73">
      <w:pPr>
        <w:rPr>
          <w:lang w:val="ru-RU"/>
        </w:rPr>
      </w:pPr>
      <w:r w:rsidRPr="00801C73">
        <w:rPr>
          <w:lang w:val="ru-RU"/>
        </w:rPr>
        <w:t>Кризис 2022 года обнажил пределы эстонской модели. Отказ от российских энергоносителей и высокая чувствительность к региональным энергетическим рынкам обернулись падением ВВП на 1,3% и инфляцией, превысившей 19% по HICP.⁶² Это подтверждает вывод первой главы: цифровая зрелость смягчает шоки мобильности и информационной асимметрии, но не закрывает структурную уязвимость к энергетическим и ценовым потрясениям. ((План восстановления и устойчивости Эстонии, утверждённый в 2021 году, предусматривал 953,3 млн евро, или около 3,4% ВВП 2019 года; 21,5% ресурсов направлено на цифровую трансформацию, 41,5% - на климатические цели.⁶³)) Адаптация Эстонии была направлена сразу на два блока рисков - цифровой и энергетико-климатический.</w:t>
      </w:r>
    </w:p>
    <w:p w:rsidR="00801C73" w:rsidRPr="00801C73" w:rsidRDefault="00801C73" w:rsidP="00801C73">
      <w:pPr>
        <w:rPr>
          <w:lang w:val="ru-RU"/>
        </w:rPr>
      </w:pPr>
    </w:p>
    <w:p w:rsidR="00801C73" w:rsidRPr="00801C73" w:rsidRDefault="00801C73" w:rsidP="00801C73">
      <w:pPr>
        <w:rPr>
          <w:lang w:val="ru-RU"/>
        </w:rPr>
      </w:pPr>
      <w:r w:rsidRPr="00801C73">
        <w:rPr>
          <w:lang w:val="ru-RU"/>
        </w:rPr>
        <w:t>Реакция Республики Корея. Среди рассматриваемых стран Корея прошла 2020 год мягче всех: ВВП снизился лишь на 0,7%, а докризисный уровень активности восстановился уже к маю 2021 года. ((В 2021 году рост ВВП составил 4,6% - наиболее высокий показатель за одиннадцать лет, обусловленный устойчивым внешним спросом на полупроводники и потребительскую электронику.⁶⁴)) ((Мягкость спада объясняется тремя факторами: эффективной системой цифрового отслеживания контактов, масштабным фискальным стимулированием в рамках Korean New Deal и устойчивостью экспортных ИКТ-секторов на фоне роста глобального спроса на цифровые технологии.⁶⁵))</w:t>
      </w:r>
    </w:p>
    <w:p w:rsidR="00801C73" w:rsidRPr="00801C73" w:rsidRDefault="00801C73" w:rsidP="00801C73">
      <w:pPr>
        <w:rPr>
          <w:lang w:val="ru-RU"/>
        </w:rPr>
      </w:pPr>
    </w:p>
    <w:p w:rsidR="00801C73" w:rsidRPr="00801C73" w:rsidRDefault="00801C73" w:rsidP="00801C73">
      <w:pPr>
        <w:rPr>
          <w:lang w:val="ru-RU"/>
        </w:rPr>
      </w:pPr>
      <w:r w:rsidRPr="00801C73">
        <w:rPr>
          <w:lang w:val="ru-RU"/>
        </w:rPr>
        <w:t>В 2022 году Республика Корея сохранила положительный рост ВВП на уровне 2,7%, тогда как ряд европейских экономик сильнее ощутил последствия энергетического кризиса. ((Инфляция достигла пика в июле 2022 года на уровне 6,3% - максимум с ноября 1998 года, однако этот показатель оставался ниже уровней большинства европейских стран.⁶⁶)) В 2023 году прогноз роста был снижен до 1,4% - замедление экспортного цикла полупроводников дало о себе знать. ((В этом контексте Digital New Deal выступил не только инструментом краткосрочной стабилизации в период пандемии, но и механизмом укрепления долгосрочной конкурентоспособности экономики.⁶⁷)) Это подтверждается подъёмом Кореи в рейтинге цифровой конкурентоспособности IMD - с 10-го места в 2019 году на 8-е в 2020-м.</w:t>
      </w:r>
    </w:p>
    <w:p w:rsidR="00801C73" w:rsidRPr="00801C73" w:rsidRDefault="00801C73" w:rsidP="00801C73">
      <w:pPr>
        <w:rPr>
          <w:lang w:val="ru-RU"/>
        </w:rPr>
      </w:pPr>
    </w:p>
    <w:p w:rsidR="00801C73" w:rsidRDefault="00801C73" w:rsidP="00801C73">
      <w:pPr>
        <w:rPr>
          <w:lang w:val="ru-RU"/>
        </w:rPr>
      </w:pPr>
      <w:r w:rsidRPr="00801C73">
        <w:rPr>
          <w:lang w:val="ru-RU"/>
        </w:rPr>
        <w:t>Реакция Сингапура. ((В 2020 году экономика Сингапура сократилась на 3,9% - высокая зависимость от международной торговли, туризма и трансграничной мобильности дала о себе знать. Однако уже в 2021 году ВВП вырос на 7,6%, а в 2022 году - на 3,6%.⁶⁸)) Важную роль сыграла быстрая мобилизация цифровой инфраструктуры. ((В марте 2020 года GovTech за восемь недель разработал и запустил TraceTogether - первое в мире национальное приложение для отслеживания контактов; к началу 2022 года в нём было зарегистрировано более 6,2 млн пользователей.⁶⁹))</w:t>
      </w:r>
    </w:p>
    <w:p w:rsidR="00801C73" w:rsidRPr="00801C73" w:rsidRDefault="00801C73" w:rsidP="00801C73">
      <w:pPr>
        <w:rPr>
          <w:lang w:val="ru-RU"/>
        </w:rPr>
      </w:pPr>
      <w:r w:rsidRPr="00801C73">
        <w:rPr>
          <w:lang w:val="ru-RU"/>
        </w:rPr>
        <w:t>((Использование TraceTogether позволило сократить время между выявлением случая заболевания и установлением близких контактов с четырёх дней до менее чем полутора суток.⁷⁰)) Одновременно цифровые системы обеспечили быструю реализацию бюджетной поддержки. ((В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денежные переводы домохозяйствам.⁷¹)) Singpass и платёжная инфраструктура позволили точнее направлять поддержку, сокращая временные лаги фискальной трансмиссии. В 2022 году инфляция в Сингапуре достигла 6,1%, что потребовало нескольких раундов денежно-кредитного ужесточения со стороны Денежно-кредитного управления Сингапура.</w:t>
      </w:r>
    </w:p>
    <w:p w:rsidR="00801C73" w:rsidRPr="00801C73" w:rsidRDefault="00801C73" w:rsidP="00801C73">
      <w:pPr>
        <w:rPr>
          <w:lang w:val="ru-RU"/>
        </w:rPr>
      </w:pPr>
    </w:p>
    <w:p w:rsidR="00801C73" w:rsidRDefault="00801C73" w:rsidP="00801C73">
      <w:pPr>
        <w:rPr>
          <w:lang w:val="ru-RU"/>
        </w:rPr>
      </w:pPr>
      <w:r w:rsidRPr="00801C73">
        <w:rPr>
          <w:lang w:val="ru-RU"/>
        </w:rPr>
        <w:t>Реакция Польши. ((В 2020 году экономика Польши сократилась на 2,0% - один из наиболее мягких спадов в ЕС, значительно лучше среднего по союзу (-6,1%).⁷²)) ((В 2021 году рост ВВП составил 5,9%, а в 2022-м - 4,9%, несмотря на войну в Украине, энергетический кризис и инфляцию.⁷³)) Такая устойчивость объясняется несколькими факторами: крупным внутренним рынком, диверсифицированной структурой экономики, гибким обменным курсом злотого и антикризисным пакетом Tarcza Antykryzysowa объёмом около 55 млрд долларов. Цифровой компонент тоже имел значение: расширение mObywatel,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rsidR="00801C73" w:rsidRDefault="00801C73" w:rsidP="00801C73">
      <w:pPr>
        <w:rPr>
          <w:lang w:val="ru-RU"/>
        </w:rPr>
      </w:pPr>
      <w:r w:rsidRPr="00801C73">
        <w:rPr>
          <w:lang w:val="ru-RU"/>
        </w:rPr>
        <w:t>Кризис 2022 года показал более высокую чувствительность Польши к энергетическому и инфляционному шоку. Зависимость от угольной энергетики - одна из самых высоких среди стран МЭА - и доля ископаемого топлива на уровне 85% общего энергоснабжения в 2020 году создавали структурную уязвимость. Дополнительное давление добавили близость к зоне конфликта и значительный приток украинских беженцев. ((Инфляция достигла 18,4% в феврале 2023 года.⁷⁴)) ((Для смягчения последствий правительство ввело Антиинфляционный щит: снижение НДС на электроэнергию с 23% до 5%, на отопление - с 23% до 8%, а также снижение НДС и акцизов на топливо; общая стоимость мер составила около 2,1% ВВП.⁷⁵)) Сравнение польского и эстонского кейсов подтверждает одну и ту же логику: цифровая зрелость смягчает шоки мобильности и административных ограничений, но не закрывает структурную уязвимость к энергетическим и ценовым потрясениям.</w:t>
      </w:r>
    </w:p>
    <w:p w:rsidR="00801C73" w:rsidRPr="00801C73" w:rsidRDefault="00801C73" w:rsidP="00801C73">
      <w:pPr>
        <w:rPr>
          <w:lang w:val="ru-RU"/>
        </w:rPr>
      </w:pPr>
      <w:r w:rsidRPr="00801C73">
        <w:rPr>
          <w:lang w:val="ru-RU"/>
        </w:rPr>
        <w:t xml:space="preserve">Сравнительный синтез. Сопоставление траекторий четырёх экономик за 2020-2022 годы даёт несколько важных выводов. Во-первых, в период пандемийного шока 2020 года все четыре страны показали более мягкое падение ВВП чем средний показатель по ЕС: в Республике Корея снижение составило 0,7%, в Польше - 2,0%, в Эстонии - 3,0%, в Сингапуре - 3,9%, тогда как средний спад по ЕС достиг -6,1%. Это говорит о том что высокий уровень цифровой зрелости может повышать устойчивость экономик к шокам связанным с ограничением физической мобильности и </w:t>
      </w:r>
      <w:r w:rsidRPr="00801C73">
        <w:rPr>
          <w:lang w:val="ru-RU"/>
        </w:rPr>
        <w:lastRenderedPageBreak/>
        <w:t>административных процессов. ((Во-вторых, в 2021 году все четыре страны показали быстрое восстановление: наиболее высокие темпы роста у Эстонии - 8,6% и Сингапура - 7,6%, тогда как Польша выросла на 5,9%, а Республика Корея - на 4,6%.⁷⁶)) Такая динамика показывает что цифровая инфраструктура могла поддержать восстановление деловой активности, государственных сервисов и потребительского спроса. Динамика реального ВВП четырёх стран в сопоставлении со средним показателем по ЕС за 2019-2022 годы представлена на рисунке 2.1.</w:t>
      </w:r>
    </w:p>
    <w:p w:rsidR="00801C73" w:rsidRPr="00801C73" w:rsidRDefault="00801C73" w:rsidP="00801C73">
      <w:pPr>
        <w:rPr>
          <w:lang w:val="ru-RU"/>
        </w:rPr>
      </w:pPr>
    </w:p>
    <w:p w:rsidR="00801C73" w:rsidRDefault="00801C73" w:rsidP="00801C73">
      <w:pPr>
        <w:rPr>
          <w:lang w:val="ru-RU"/>
        </w:rPr>
      </w:pPr>
      <w:r w:rsidRPr="00801C73">
        <w:rPr>
          <w:lang w:val="ru-RU"/>
        </w:rPr>
        <w:t>Рисунок 2.1 Динамика реального валового внутреннего продукта в Эстонии, Республике Корея, Сингапуре и Польше в сопоставлении со средним показателем по Европейскому союзу, 2019-2022 гг., % Источник: составлено автором по данным IMF World Economic Outlook (April 2024), Eurostat.</w:t>
      </w:r>
    </w:p>
    <w:p w:rsidR="00801C73" w:rsidRPr="00801C73" w:rsidRDefault="00801C73" w:rsidP="00801C73">
      <w:pPr>
        <w:rPr>
          <w:lang w:val="ru-RU"/>
        </w:rPr>
      </w:pPr>
      <w:r w:rsidRPr="00801C73">
        <w:rPr>
          <w:lang w:val="ru-RU"/>
        </w:rPr>
        <w:t>В-третьих, энергетический и инфляционный шок 2022 года обнажил пределы цифровой зрелости. Она могла поддерживать государственные сервисы, бизнес-процессы и коммуникации - 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региональных энергетических рисков, столкнулись с более высокой инфляцией чем Республика Корея и Сингапур. Сопоставление пиковых значений потребительской инфляции четырёх стран представлено на рисунке 2.2.</w:t>
      </w:r>
    </w:p>
    <w:p w:rsidR="00801C73" w:rsidRPr="00801C73" w:rsidRDefault="00801C73" w:rsidP="00801C73">
      <w:pPr>
        <w:rPr>
          <w:lang w:val="ru-RU"/>
        </w:rPr>
      </w:pPr>
      <w:r w:rsidRPr="00801C73">
        <w:rPr>
          <w:lang w:val="ru-RU"/>
        </w:rPr>
        <w:t>Рисунок 2.2 Пиковые значения потребительской инфляции в Эстонии, Польше, Республике Корея и Сингапуре в 2022 году, % Источник: составлено автором по данным Eurostat (HICP), Bank of Korea, Monetary Authority of Singapore.</w:t>
      </w:r>
    </w:p>
    <w:p w:rsidR="00801C73" w:rsidRPr="00801C73" w:rsidRDefault="00801C73" w:rsidP="00801C73">
      <w:pPr>
        <w:rPr>
          <w:lang w:val="ru-RU"/>
        </w:rPr>
      </w:pPr>
    </w:p>
    <w:p w:rsidR="00801C73" w:rsidRPr="00801C73" w:rsidRDefault="00801C73" w:rsidP="00801C73">
      <w:pPr>
        <w:rPr>
          <w:lang w:val="ru-RU"/>
        </w:rPr>
      </w:pPr>
      <w:r w:rsidRPr="00801C73">
        <w:rPr>
          <w:lang w:val="ru-RU"/>
        </w:rPr>
        <w:t>В-четвёртых, во всех четырёх странах значительную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поддержки населению и бизнесу.</w:t>
      </w:r>
    </w:p>
    <w:p w:rsidR="00801C73" w:rsidRPr="00801C73" w:rsidRDefault="00801C73" w:rsidP="00801C73">
      <w:pPr>
        <w:rPr>
          <w:lang w:val="ru-RU"/>
        </w:rPr>
      </w:pPr>
    </w:p>
    <w:p w:rsidR="00801C73" w:rsidRDefault="00801C73" w:rsidP="00801C73">
      <w:r w:rsidRPr="00801C73">
        <w:rPr>
          <w:lang w:val="ru-RU"/>
        </w:rPr>
        <w:t>Полученные наблюдения создают основу для количественного анализа. Для проверки выявленных закономерностей нужно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следующий параграф посвящён эконометрическому моделированию на панельных данных за 2010-2023 годы.</w:t>
      </w:r>
    </w:p>
    <w:p w:rsidR="00801C73" w:rsidRDefault="00801C73" w:rsidP="00801C73">
      <w:r>
        <w:t>2.3. Эконометрическая оценка влияния цифровизации на устойчивость национальных экономик на основе панельных данных</w:t>
      </w:r>
    </w:p>
    <w:p w:rsidR="00801C73" w:rsidRDefault="00801C73" w:rsidP="00801C73"/>
    <w:p w:rsidR="00801C73" w:rsidRDefault="00801C73" w:rsidP="00801C73">
      <w:r>
        <w:t>Сравнительный анализ четырёх стран в параграфе 2.1 и оценка их реакции на кризисы 2020 и 2022 годов в параграфе 2.2 показали общую закономерность: экономики с более высоким уровнем цифровой зрелости проходили кризисные периоды мягче и быстрее возвращались к росту. В этом параграфе наблюдение проверяется количественно с использованием эконометрической модели на панельных данных. ((Количественная проверка выдвинутых гипотез проведена на несбалансированной панели 49 стран за период 2010-2024 годов с использованием данных Всемирного банка (World Development Indicators).⁷⁷))</w:t>
      </w:r>
    </w:p>
    <w:p w:rsidR="00801C73" w:rsidRDefault="00801C73" w:rsidP="00801C73"/>
    <w:p w:rsidR="00801C73" w:rsidRDefault="00801C73" w:rsidP="00801C73">
      <w:r>
        <w:t>Исследование строится на двух гипотезах. Основная гипотеза (H₁)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глобальных кризисов. Вспомогательная гипотеза (H₂) состоит в том что сила и статистическая значимость этого эффекта различаются между тремя группами стран - развитыми, переходными и развивающимися экономиками.</w:t>
      </w:r>
    </w:p>
    <w:p w:rsidR="00801C73" w:rsidRDefault="00801C73" w:rsidP="00801C73">
      <w:r>
        <w:t>((Выборка включает 49 стран, классифицированных на три группы в соответствии с критериями Всемирного банка⁷⁸ и методологией ЮНКТАД⁷⁹:)) 22 развитых экономики ОЭСР с высоким доходом (ВВП на душу свыше 25 тысяч долларов в ценах 2015 года), 16 переходных экономик (постсоветские и постсоциалистические страны со средним доходом, включая Эстонию, Польшу, Казахстан и Турцию) и 11 развивающихся экономик с низким и нижне-средним доходом (включая Узбекистан, Китай, Индию, Бразилию). После исключения наблюдений с пропущенными значениями итоговая панель содержит 707 наблюдений: 330 - по группе развитых стран, 233 - по переходным экономикам и 144 - по развивающимся.</w:t>
      </w:r>
    </w:p>
    <w:p w:rsidR="00801C73" w:rsidRDefault="00801C73" w:rsidP="00801C73"/>
    <w:p w:rsidR="00801C73" w:rsidRDefault="00801C73" w:rsidP="00801C73">
      <w:r>
        <w:t>Зависимая переменная - натуральный логарифм ВВП на душу населения в постоянных ценах 2015 года (NY.GDP.PCAP.KD). Основной регрессор - логарифм доли интернет-пользователей (IT.NET.USER.ZS). Контрольные переменные включают логарифм валового накопления основного капитала (NE.GDI.FTOT.ZS), инфляцию (FP.CPI.TOTL.ZG), безработицу (SL.UEM.TOTL.ZS) и долю экспорта высокотехнологичных товаров (TX.VAL.TECH.MF.ZS). Кризисные периоды идентифицированы через две раздельные дамми-переменные: Crisis_COVID (2020 год) и Crisis_Geo (2022 год). Включение interaction terms log_internet × Crisis_COVID и log_internet × Crisis_Geo позволяет тестировать гипотезу о дифференциальном антикризисном эффекте цифровизации. Спецификация модели оценивается отдельно для каждой из трёх групп стран.</w:t>
      </w:r>
    </w:p>
    <w:p w:rsidR="00801C73" w:rsidRDefault="00801C73" w:rsidP="00801C73"/>
    <w:p w:rsidR="00801C73" w:rsidRDefault="00801C73" w:rsidP="00801C73">
      <w:r>
        <w:t>Описательная статистика по группам стран представлена в таблице 2.2 и показывает заметные различия по основным переменным модели. Средний логарифм ВВП на душу населения составляет 10,694 в группе развитых стран, 9,153 в переходных и 8,480 в развивающихся -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размаха также подтверждает различия между группами и обосновывает необходимость раздельного эконометрического анализа.</w:t>
      </w:r>
    </w:p>
    <w:p w:rsidR="00801C73" w:rsidRDefault="00801C73" w:rsidP="00801C73">
      <w:r>
        <w:t>Таблица 2.2 - Описательная статистика основных переменных модели по группам стран Источник: составлено автором на основе данных Всемирного банка и результатов обработки в R Studio.</w:t>
      </w:r>
    </w:p>
    <w:p w:rsidR="00801C73" w:rsidRDefault="00801C73" w:rsidP="00801C73"/>
    <w:p w:rsidR="00801C73" w:rsidRDefault="00801C73" w:rsidP="00801C73">
      <w:r>
        <w:t>Рисунок 2.3 - Boxplot-распределение переменных эконометрической модели по группам стран Источник: составлено автором на основе результатов эконометрического моделирования в R Studio.</w:t>
      </w:r>
    </w:p>
    <w:p w:rsidR="00801C73" w:rsidRDefault="00801C73" w:rsidP="00801C73">
      <w:r>
        <w:lastRenderedPageBreak/>
        <w:t>Необходимость раздельной оценки по группам стран подтверждается тестом Чоу на структурную однородность - результаты представлены в таблице 2.3. Значение F-статистики составило 5,3377 (df₁ = 18; df₂ = 631; p = 1,151 × 10⁻¹¹), что позволяет отвергнуть нулевую гипотезу об одинаковости коэффициентов между тремя группами стран на уровне значимости менее 0,001. Иными словами, оценка единой модели по всей выборке дала бы смещённую интерпретацию результатов - параметры влияния цифровизации на экономический рост реально различаются между развитыми, переходными и развивающимися экономиками.</w:t>
      </w:r>
    </w:p>
    <w:p w:rsidR="00801C73" w:rsidRDefault="00801C73" w:rsidP="00801C73"/>
    <w:p w:rsidR="00801C73" w:rsidRDefault="00801C73" w:rsidP="00801C73">
      <w:r>
        <w:t>Таблица 2.3 - Результаты теста Чоу на структурную однородность между группами стран Источник: составлено автором на основе результатов эконометрического моделирования в R Studio.</w:t>
      </w:r>
    </w:p>
    <w:p w:rsidR="00801C73" w:rsidRDefault="00801C73" w:rsidP="00801C73">
      <w:r>
        <w:t>((Выбор между моделями с фиксированными (FE) и случайными (RE) эффектами был сделан на основе теста Хаусмана и дополнительной теоретической аргументации. Формальный тест Хаусмана для группы развитых стран (χ² = 4,576; p = 0,87) и переходных экономик (χ² = 1,363; p = 0,998) указывает на допустимость RE-модели.⁸⁰)) В группе развивающихся экономик RE-модель не была идентифицирована из-за сингулярной матрицы - это связано с небольшим размером подвыборки: 144 наблюдения на 11 стран при 9 переменных. Тем не менее во всех трёх группах используется FE-модель. Во-первых, это обеспечивает сопоставимость результатов между группами. Во-вторых, страновая гетерогенность - качество институтов, географическое положение, историческая траектория развития - с высокой вероятностью коррелирует с уровнем цифровизации, что делает FE состоятельным, а RE несостоятельным. В-третьих, диагностика остатков показала чувствительность теста Хаусмана к гетероскедастичности, что может завышать p-value. В-четвёртых, в панельных исследованиях межстрановых различий в цифровизации модель с фиксированными эффектами является более надёжным выбором.</w:t>
      </w:r>
    </w:p>
    <w:p w:rsidR="00801C73" w:rsidRDefault="00801C73" w:rsidP="00801C73"/>
    <w:p w:rsidR="00801C73" w:rsidRDefault="00801C73" w:rsidP="00801C73">
      <w:r>
        <w:t>((Диагностика остатков проводилась отдельно для каждой группы стран. Тест Бройша-Пагана выявил гетероскедастичность в группах развитых экономик (BP = 87,210; p = 5,9 × 10⁻¹⁵) и переходных экономик (BP = 38,888; p = 1,21 × 10⁻⁵), тогда как в группе развивающихся стран гомоскедастичность не отвергается (BP = 11,790; p = 0,225). Тест Вулдриджа показал наличие серийной автокорреляции во всех трёх группах (p &lt; 2 × 10⁻¹⁶). Выявленная гетероскедастичность и автокорреляция обосновывают применение кластеризованных по странам стандартных ошибок HC1 во всех спецификациях модели.⁸¹)) Итоговые результаты оценки FE-моделей представлены в таблице 2.4.</w:t>
      </w:r>
    </w:p>
    <w:p w:rsidR="00801C73" w:rsidRDefault="00801C73" w:rsidP="00801C73">
      <w:r>
        <w:t>Таблица 2.4 - Результаты оценки FE-моделей по группам стран Источник: составлено автором на основе результатов эконометрического моделирования в R Studio.</w:t>
      </w:r>
    </w:p>
    <w:p w:rsidR="00801C73" w:rsidRDefault="00801C73" w:rsidP="00801C73"/>
    <w:p w:rsidR="00801C73" w:rsidRDefault="00801C73" w:rsidP="00801C73">
      <w:r>
        <w:t xml:space="preserve">Результаты FE-модели для группы развитых стран (22 страны, 330 наблюдений) показывают что цифровизация влияет как на общий уровень экономического роста, так и на реакцию экономики в кризисные периоды. Коэффициент при log_internet составил β = 0,2117 (p = 0,050) - это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Crisis_COVID равен β = -1,7942 (p = 0,002), что отражает значительное отрицательное воздействие пандемийного шока. При этом interaction term log_internet × Crisis_COVID положителен и статистически значим: β = </w:t>
      </w:r>
      <w:r>
        <w:lastRenderedPageBreak/>
        <w:t>0,3940 (p = 0,003) - это говорит о смягчающей роли цифровизации в период пандемии. Аналогично, interaction term log_internet × Crisis_Geo также значим: β = 0,3943 (p = 0,020). В развитых странах более высокий уровень интернет-проникновения был связан с меньшим негативным эффектом кризисов 2020 и 2022 годов.</w:t>
      </w:r>
    </w:p>
    <w:p w:rsidR="00801C73" w:rsidRDefault="00801C73" w:rsidP="00801C73"/>
    <w:p w:rsidR="00801C73" w:rsidRDefault="00801C73" w:rsidP="00801C73">
      <w:r>
        <w:t>Для группы переходных экономик (16 стран, 233 наблюдения) основной эффект цифровизации оказался наиболее выраженным: коэффициент при log_internet составил β = 0,3085 (p &lt; 0,001). Рост интернет-проникновения на 1% связан с увеличением ВВП на душу населения примерно на 0,31% при прочих равных условиях. Однако кризисные interaction terms статистически незначимы: β_covid = 0,1105 (p = 0,661), β_geo = -0,1252 (p = 0,456). Иными словами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коэффициента при геополитическом кризисе может быть связан со спецификой выборки - она включает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
    </w:p>
    <w:p w:rsidR="00801C73" w:rsidRDefault="00801C73" w:rsidP="00801C73"/>
    <w:p w:rsidR="00801C73" w:rsidRDefault="00801C73" w:rsidP="00801C73">
      <w:r>
        <w:t>Для группы развивающихся экономик включающей Узбекистан (11 стран, 144 наблюдения), основной эффект цифровизации также положителен и статистически значим: β = 0,1978 (p &lt; 0,001). Рост интернет-проникновения на 1% связан с увеличением ВВП на душу населения примерно на 0,20% при прочих равных условиях. При этом кризисные interaction terms незначимы: β_covid = 0,0184 (p = 0,697), β_geo = 0,0457 (p = 0,641). Такой результат показывает что при текущем уровне цифровой зрелости развивающихся экономик цифровизация уже поддерживает рост, но антикризисного эффекта пока не даёт. Для Узбекистана это означает конкретное: расширение цифрового доступа само по себе работает на рост, но для смягчения внешних шоков нужен более высокий уровень цифровой инфраструктуры, институциональной интеграции и реального использования технологий в бизнесе. Дополнительно стоит учитывать ограничение статистической мощности: 144 наблюдения на 11 стран при 9 переменных снижают вероятность выявления слабых эффектов.</w:t>
      </w:r>
    </w:p>
    <w:p w:rsidR="00801C73" w:rsidRDefault="00801C73" w:rsidP="00801C73">
      <w:r>
        <w:t>Визуальное сопоставление интернет-проникновения и ВВП на душу населения в кризисные годы представлено на рисунке 2.4. Рисунок дополняет результаты FE-моделей: развитые экономики находятся в зоне высоких значений обоих показателей, тогда как переходные и развивающиеся страны демонстрируют более неоднородную траекторию.</w:t>
      </w:r>
    </w:p>
    <w:p w:rsidR="00801C73" w:rsidRDefault="00801C73" w:rsidP="00801C73"/>
    <w:p w:rsidR="00801C73" w:rsidRDefault="00801C73" w:rsidP="00801C73">
      <w:r>
        <w:t>Рисунок 2.4 - Взаимосвязь между уровнем интернет-проникновения и ВВП на душу населения в кризисные годы по группам стран Источник: составлено автором на основе результатов эконометрического моделирования в R Studio.</w:t>
      </w:r>
    </w:p>
    <w:p w:rsidR="00801C73" w:rsidRDefault="00801C73" w:rsidP="00801C73"/>
    <w:p w:rsidR="00801C73" w:rsidRDefault="00801C73" w:rsidP="00801C73">
      <w:r>
        <w:t xml:space="preserve">Полученные коэффициенты позволяют построить условные прогнозные сценарии и сравнить потенциальный эффект дальнейшего роста интернет-проникновения между группами стран. Эти расчёты не являются полноценным макроэкономическим прогнозом - они основаны на предположении ceteris paribus и показывают лишь относительный вклад цифровизации в динамику ВВП на душу населения. Сводные прогнозные значения по трём группам стран на 2025-2030 годы </w:t>
      </w:r>
      <w:r>
        <w:lastRenderedPageBreak/>
        <w:t>представлены в таблице 2.5. Детальная интерпретация сценария для Узбекистана рассматривается в §3.3.</w:t>
      </w:r>
    </w:p>
    <w:p w:rsidR="00801C73" w:rsidRDefault="00801C73" w:rsidP="00801C73">
      <w:r>
        <w:t>Таблица 2.5 - Прогноз ВВП на душу населения по группам стран на 2025-2030 годы (FE-модели) Источник: составлено автором на основе результатов эконометрического моделирования в R Studio.</w:t>
      </w:r>
    </w:p>
    <w:p w:rsidR="00801C73" w:rsidRDefault="00801C73" w:rsidP="00801C73"/>
    <w:p w:rsidR="00801C73" w:rsidRDefault="00801C73" w:rsidP="00801C73">
      <w:r>
        <w:t>Проведённый эконометрический анализ на несбалансированной панели 49 стран за 2010-2024 годы (707 наблюдений) даёт несколько выводов. Основная гипотеза (H₁) подтверждается: коэффициент при log_internet положителен и статистически значим во всех трёх группах - β = 0,212 для развитых, β = 0,309 для переходных и β = 0,198 для развивающихся экономик. Вспомогательная гипотеза (H₂) также подтверждается - тест Чоу отвергает однородность коэффициентов между группами (p = 1,15 × 10⁻¹¹), а антикризисные interaction terms значимы только для развитых стран: β_covid = 0,394 (p = 0,003), β_geo = 0,394 (p = 0,020). Для переходных и развивающихся экономик такие эффекты статистически не подтверждаются. В развивающихся странах включая Узбекистан цифровизация пока выступает прежде всего фактором роста, но не выполняет функцию макроэкономического стабилизатора. Полученные результаты создают количественную основу для практических рекомендаций, рассматриваемых в параграфах 3.2 и 3.3.</w:t>
      </w:r>
    </w:p>
    <w:p w:rsidR="00801C73" w:rsidRDefault="00801C73" w:rsidP="00801C73"/>
    <w:p w:rsidR="00801C73" w:rsidRDefault="00801C73" w:rsidP="00801C73">
      <w:r>
        <w:t>Выводы по второй главе. Анализ показал что цифровизация повышает устойчивость национальных экономик, однако её эффект зависит от типа кризиса и уровня цифровой зрелости. В 2020 году Эстония, Республика Корея, Сингапур и Польша показали более мягкое падение ВВП по сравнению со средним по ЕС - это связано с развитием цифрового государства, онлайн-сервисов и механизмов адресной поддержки. Кризис 2022 года показал пределы цифровизации: энергетические и геополитические шоки не компенсируются цифровыми технологиями даже при высокой цифровой зрелости. Эконометрика на панели 49 стран подтвердила положительную связь между интернет-проникновением и ВВП на душу населения: β = 0,2117 для развитых экономик, β = 0,3085 для переходных и β = 0,1978 для развивающихся. Тест Чоу подтвердил структурные различия между группами (p = 1,151 × 10⁻¹¹). Антикризисный буферный эффект выявлен только у развитых стран: β_covid = 0,3940 (p = 0,003), β_geo = 0,3943 (p = 0,020). Цифровизация выступает фактором роста во всех группах, но функцию макроэкономического стабилизатора начинает выполнять только при высоком уровне цифровой зрелости. Для Узбекистана вывод конкретный: расширение интернет-проникновения усиливает рост, но для антикризисного эффекта нужна более глубокая цифровизация экономики и частного сектора.</w:t>
      </w:r>
    </w:p>
    <w:p w:rsidR="00FC09C1" w:rsidRDefault="00FC09C1" w:rsidP="00801C73"/>
    <w:p w:rsidR="00FC09C1" w:rsidRDefault="00FC09C1" w:rsidP="00FC09C1">
      <w:r>
        <w:t>ГЛАВА III. ИСПОЛЬЗОВАНИЕ МЕЖДУНАРОДНОГО ОПЫТА ЦИФРОВИЗАЦИИ В УСЛОВИЯХ РЕСПУБЛИКИ УЗБЕКИСТАН</w:t>
      </w:r>
    </w:p>
    <w:p w:rsidR="00FC09C1" w:rsidRDefault="00FC09C1" w:rsidP="00FC09C1"/>
    <w:p w:rsidR="00FC09C1" w:rsidRDefault="00FC09C1" w:rsidP="00FC09C1">
      <w:r>
        <w:t>3.1. Современное состояние цифровой трансформации экономики Узбекистана в рамках Стратегии «Цифровой Узбекистан - 2030»</w:t>
      </w:r>
    </w:p>
    <w:p w:rsidR="00FC09C1" w:rsidRDefault="00FC09C1" w:rsidP="00FC09C1"/>
    <w:p w:rsidR="00FC09C1" w:rsidRDefault="00FC09C1" w:rsidP="00FC09C1">
      <w:r>
        <w:lastRenderedPageBreak/>
        <w:t>Сравнительный анализ международного опыта из второй главы и модель пяти каналов влияния цифровизации на устойчивость из первой главы позволяют перейти к оценке текущего состояния цифровой трансформации Республики Узбекистан. Задача этого параграфа - не просто описать государственные программы, а охарактеризовать стартовую позицию национальной экономики по тем индикаторам которые использовались при анализе Эстонии, Республики Корея, Сингапура и Польши. Это обеспечивает методологическую сопоставимость и позволяет оценить возможности адаптации международного опыта к условиям Узбекистана.</w:t>
      </w:r>
    </w:p>
    <w:p w:rsidR="00FC09C1" w:rsidRDefault="00FC09C1" w:rsidP="00FC09C1"/>
    <w:p w:rsidR="00FC09C1" w:rsidRDefault="00FC09C1" w:rsidP="00FC09C1">
      <w:r>
        <w:t>((Стратегия «Цифровой Узбекистан - 2030», утверждённая Указом Президента Республики Узбекистан № УП-6079 от 5 октября 2020 года, определяет основные ориентиры цифровой трансформации национальной экономики.⁸²)) ((В её рамках в 2023-2024 годах реализовывались программы «Цифровое правительство» и «Цифровой регион», включавшие 300 приоритетных проектов, из них 112 - в сфере цифровизации государственного управления, 51 - в секторах реальной экономики и 137 - в области региональной цифровой трансформации.⁸³)) ((Стратегия также устанавливает ряд количественных ориентиров: увеличение доли цифровой экономики в ВВП не менее чем в 2,5 раза к 2026 году, расширение экспорта программного обеспечения в 10 раз - до 500 млн долларов США, а также вхождение Узбекистана в число 30 ведущих стран мира по EGDI к 2030 году.⁸⁴)) Эти ориентиры позволяют оценить насколько фактическая динамика цифровизации соответствует заявленным целям.</w:t>
      </w:r>
    </w:p>
    <w:p w:rsidR="00FC09C1" w:rsidRDefault="00FC09C1" w:rsidP="00FC09C1"/>
    <w:p w:rsidR="00FC09C1" w:rsidRDefault="00FC09C1" w:rsidP="00FC09C1">
      <w:r>
        <w:t>Оценка международного позиционирования Узбекистана показывает что страна заметно продвинулась по ряду композитных индексов рассмотренных во второй главе. ((По данным E-Government Survey ООН за 2024 год, Узбекистан занял 63-е место среди 193 стран со значением EGDI 0,7999, поднявшись с 69-й позиции в 2022 году, когда значение индекса составляло 0,7265, и впервые вошёл в группу стран с «очень высоким» уровнем развития электронного правительства.⁸⁵)) Тем самым целевой показатель EGDI ≥ 0,75, установленный Стратегией на 2025 год, был достигнут раньше срока. ((Одновременно Узбекистан поднялся на 37 позиций в GovTech Maturity Index Всемирного банка и впервые вошёл в высшую категорию «A».⁸⁶)) ((В Индексе готовности к искусственному интеллекту Oxford Insights страна улучшила позиции: с 87-го места в 2023 году до 70-го в 2024 году и 62-го в 2025 году.⁸⁷)) Вместе с тем разрыв с цифровыми лидерами сохраняется: по сравнению с Эстонией занявшей 2-е место в EGDI 2024, отставание Узбекистана составляет 0,1728 пункта индекса и 61 позицию рейтинга.</w:t>
      </w:r>
    </w:p>
    <w:p w:rsidR="00D3510B" w:rsidRDefault="00D3510B" w:rsidP="00D3510B">
      <w:r>
        <w:t xml:space="preserve">Состояние цифровой инфраструктуры - базовое условие для реализации пяти каналов влияния цифровизации на устойчивость экономики. В Узбекистане наблюдается расширение сетевой связности, однако по отдельным качественным параметрам - прежде всего скорости передачи данных и развитию фиксированного широкополосного доступа - сохраняется отставание. ((К началу 2023 года протяжённость волоконно-оптических линий связи в Узбекистане превысила 227 тыс. км.⁸⁸)) ((К 2024 году покрытие сетями 4G достигло 97% населения, тогда как покрытие сетями 5G составило лишь 18%.⁸⁹)) ((По данным Международного союза электросвязи, уровень проникновения интернета в Узбекистане в 2023 году достиг 89% населения против 83,9% годом ранее.⁹⁰)) ((При этом структура доступа остаётся преимущественно мобильной: подписка на активную мобильную широкополосную связь составила 107%, тогда как фиксированная широкополосная подписка - 30,3%.⁹¹)) ((Согласно Speedtest Global Index, к началу 2025 года медианная скорость загрузки в </w:t>
      </w:r>
      <w:r>
        <w:lastRenderedPageBreak/>
        <w:t>фиксированной сети достигла 79 Мбит/с, увеличившись на 43% за год, а в мобильной сети - 38 Мбит/с, увеличившись на 53%.⁹²)) В целом Узбекистан уже сформировал базовую цифровую инфраструктуру, но следующий этап требует повышения качества связи, расширения 5G-покрытия и развития фиксированного широкополосного доступа.</w:t>
      </w:r>
    </w:p>
    <w:p w:rsidR="00D3510B" w:rsidRDefault="00D3510B" w:rsidP="00D3510B"/>
    <w:p w:rsidR="00D3510B" w:rsidRDefault="00D3510B" w:rsidP="00D3510B">
      <w:r>
        <w:t>Оценка ИКТ-сектора важна для анализа пятого канала - устойчивости самого сектора как отдельного компонента национальной экономики. В случае Узбекистана этот сектор растёт быстро, хотя его доля в структуре экономики пока остаётся сравнительно небольшой. ((По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увеличившись на 6,5% в реальном выражении; при этом доля услуг информации и связи в валовой добавленной стоимости достигла 2,4%.⁹³)) Внутри сектора основная часть добавленной стоимости приходится на телекоммуникационные услуги, компьютерное программирование и консультационные услуги, тогда как хостинг, обработка данных и разработка программного обеспечения занимают меньшую долю. ((Темп роста сектора информации и связи в 2024 году составил 24,7% в реальном выражении, что значительно превысило общий темп роста ВВП.⁹⁴)) Это позволяет рассматривать ИКТ-сектор как один из наиболее динамичных элементов экономики. Вместе с тем сравнение со странами ОЭСР, где доля ВДС ИКТ-сектора в 2023 году в среднем составила 6,2%, показывает: Узбекистан пока находится на раннем этапе формирования цифровой экономики - высокие темпы роста сектора ещё не перешли в сопоставимую долю в ВДС.</w:t>
      </w:r>
    </w:p>
    <w:p w:rsidR="00D3510B" w:rsidRDefault="00D3510B" w:rsidP="00D3510B"/>
    <w:p w:rsidR="00D3510B" w:rsidRDefault="00D3510B" w:rsidP="00D3510B">
      <w:r>
        <w:t>Развитие IT Park Узбекистана отражает формирование институциональной базы для экспортно-ориентированного ИКТ-сектора. ((Созданный в 2019 году, к концу 2024 года IT Park объединял более 2 500 компаний-резидентов и около 11 тыс. работников.⁹⁵)) ((Экспорт ИКТ-услуг увеличился с 50 млн долларов США в 2015 году до 344 млн долларов США в 2023 году.⁹⁶)) ((Оценки за 2024 год различаются в зависимости от источника и методологии учёта: в одних источниках указывается 620 млн долларов США, в других - 1,15 млрд долларов США.⁹⁷)) Поэтому важнее учитывать не отдельную оценку, а общую динамику: экспорт ИКТ-услуг показывает устойчивый рост что подтверждает усиление роли IT Park как институционального центра цифровой экономики Узбекистана.</w:t>
      </w:r>
    </w:p>
    <w:p w:rsidR="00D3510B" w:rsidRDefault="00D3510B" w:rsidP="00D3510B"/>
    <w:p w:rsidR="00D3510B" w:rsidRDefault="00D3510B" w:rsidP="00D3510B">
      <w:r>
        <w:t>Цифровизация финансовой системы - одно из наиболее быстро развивающихся направлений цифровой трансформации Узбекистана. Она создаёт основу для канала фискальной трансмиссии. ((По данным отчёта Mastercard «Fintech Market Uzbekistan» за 2023 год, число пользователей удалённых банковских услуг увеличилось с примерно 8 млн человек в 2018 году до 30 млн человек в 2022 году.⁹⁸)) ((В 2020-2022 годах объём транзакций через системы QR-онлайн рос в среднем на 119% в год, а совокупная стоимость операций увеличилась примерно в 15 раз.⁹⁹)) ((К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POS-терминала.¹⁰⁰)) ((Совокупный объём транзакций через межбанковскую систему в 2024 году превысил 7 279 трлн сумов.¹⁰¹)) 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поддержки бизнеса и антикризисных мер - что во второй главе рассматривалось на примере Сингапура и Республики Корея.</w:t>
      </w:r>
    </w:p>
    <w:p w:rsidR="00D3510B" w:rsidRDefault="00D3510B" w:rsidP="00D3510B">
      <w:r w:rsidRPr="00D3510B">
        <w:lastRenderedPageBreak/>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инфраструктуры и цифровых финансов - это подтверждается международными индексами и ростом использования онлайн-сервисов. С другой стороны сохраняется отставание по доле ИКТ-сектора в валовой добавленной стоимости и по распространению продвинутых цифровых технологий среди предприятий. В этом смысле Узбекистан близок к польской модели «конвергенции с ограничениями» из §2.1: при активном развитии государственных цифровых сервисов сохраняется разрыв в цифровой зрелости частного сектора. Возможности сокращения этой асимметрии на основе адаптации международного опыта рассматриваются в следующем параграфе.</w:t>
      </w:r>
    </w:p>
    <w:p w:rsidR="00D3510B" w:rsidRDefault="00D3510B" w:rsidP="00D3510B">
      <w:r>
        <w:t>3.2. Адаптация международного опыта цифровой трансформации к условиям Республики Узбекистан</w:t>
      </w:r>
    </w:p>
    <w:p w:rsidR="00D3510B" w:rsidRDefault="00D3510B" w:rsidP="00D3510B"/>
    <w:p w:rsidR="00D3510B" w:rsidRDefault="00D3510B" w:rsidP="00D3510B">
      <w:r>
        <w:t>Результаты эконометрического анализа из параграфа 2.3 и сравнительный анализ четырёх стран-лидеров позволяют перейти к оценке того, какой международный опыт может быть адаптирован к условиям Узбекистана. В этом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
    </w:p>
    <w:p w:rsidR="00D3510B" w:rsidRDefault="00D3510B" w:rsidP="00D3510B"/>
    <w:p w:rsidR="00D3510B" w:rsidRDefault="00D3510B" w:rsidP="00D3510B">
      <w:r>
        <w:t>Отправной точкой является результат из §2.3: ((тест Чоу (F = 5,34; p = 1,15 × 10⁻¹¹) подтвердил статистически значимые различия между развитыми, переходными и развивающимися экономиками.)) ((Узбекистан, согласно классификации Всемирного банка lower-middle income¹⁰² и методологии ЮНКТАД¹⁰³, относится к группе развивающихся экономик, включающей 11 стран и 144 наблюдения.)) В этой группе коэффициент при основном регрессоре log_internet составил β = 0,198 (p &lt; 0,001) - это показывает положительную связь между интернет-проникновением и ВВП на душу населения: рост доли интернет-пользователей на 1% ассоциируется с увеличением ВВП на душу населения примерно на 0,20%.</w:t>
      </w:r>
    </w:p>
    <w:p w:rsidR="00D3510B" w:rsidRDefault="00D3510B" w:rsidP="00D3510B"/>
    <w:p w:rsidR="00D3510B" w:rsidRDefault="00D3510B" w:rsidP="00D3510B">
      <w:r>
        <w:t>Однако interaction terms в группе развивающихся экономик оказались статистически незначимыми: β_covid = 0,0184 (p = 0,697), β_geo = 0,0457 (p = 0,641). Это означает что при текущем уровне цифровой зрелости Узбекистана цифровые технологии поддерживают рост в обычных условиях, но пока не дают устойчивого буферного эффекта при внешних шоках. Стратегическая задача Узбекистана поэтому состоит не только в расширении цифрового доступа, но и в превращении цифровизации в полноценный инструмент антикризисной устойчивости.</w:t>
      </w:r>
    </w:p>
    <w:p w:rsidR="00D3510B" w:rsidRDefault="00D3510B" w:rsidP="00D3510B"/>
    <w:p w:rsidR="00D3510B" w:rsidRDefault="00D3510B" w:rsidP="00D3510B">
      <w:r>
        <w:t>В развитых экономиках (22 страны, 330 наблюдений) антикризисный эффект цифровизации оказался статистически значимым. Коэффициент при log_internet × Crisis_COVID составил β = 0,394 (p = 0,003), а при log_internet × Crisis_Geo - β = 0,394 (p = 0,020). 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этот результат задаёт стратегический ориентир: нужно достичь такого уровня цифровой зрелости при котором цифровые технологии смогут смягчать не только транзакционные ограничения, но и кризисные колебания экономической активности. Графическое сопоставление кризисных interaction terms по группам стран представлено на рисунке 3.1.</w:t>
      </w:r>
    </w:p>
    <w:p w:rsidR="00D3510B" w:rsidRDefault="00D3510B" w:rsidP="00D3510B">
      <w:r>
        <w:lastRenderedPageBreak/>
        <w:t>Рисунок 3.1 - Дифференциальная эластичность цифровизации в кризисные периоды по группам стран Источник: составлено автором на основе результатов эконометрического моделирования в R Studio.</w:t>
      </w:r>
    </w:p>
    <w:p w:rsidR="00D3510B" w:rsidRDefault="00D3510B" w:rsidP="00D3510B"/>
    <w:p w:rsidR="00D3510B" w:rsidRDefault="00D3510B" w:rsidP="00D3510B">
      <w:r>
        <w:t>Сравнение моделей цифровой трансформации из §2.1 позволяет выделить элементы международного опыта полезные для Узбекистана. ((Эстонская модель межведомственной интероперабельности X-Road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снижая административные издержки.¹⁰⁴)) ((Дополнительным преимуществом является открытая архитектура X-Road, что снижает барьеры технологического заимствования.¹⁰⁵))</w:t>
      </w:r>
    </w:p>
    <w:p w:rsidR="00D3510B" w:rsidRDefault="00D3510B" w:rsidP="00D3510B"/>
    <w:p w:rsidR="00D3510B" w:rsidRDefault="00D3510B" w:rsidP="00D3510B">
      <w:r>
        <w:t>Вместе с тем прямое копирование эстонской модели невозможно из-за разницы в масштабе. ((Население Эстонии составляет около 1,3 млн человек¹⁰⁶, тогда как население Узбекистана превышает 36 млн.¹⁰⁷)) Поэтому для Узбекистана важен не буквальный перенос X-Road,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развития и интернет-проникновения представлены на рисунке 3.2.</w:t>
      </w:r>
    </w:p>
    <w:p w:rsidR="00D3510B" w:rsidRDefault="00D3510B" w:rsidP="00D3510B">
      <w:r>
        <w:t>Рисунок 3.2 - Динамика ln(GDPpc) и ln(интернет-проникновения) по группам стран за 2010-2024 годы Источник: составлено автором на основе результатов эконометрического моделирования в R Studio.</w:t>
      </w:r>
    </w:p>
    <w:p w:rsidR="00D3510B" w:rsidRDefault="00D3510B" w:rsidP="00D3510B"/>
    <w:p w:rsidR="00D3510B" w:rsidRDefault="00D3510B" w:rsidP="00D3510B">
      <w:r>
        <w:t>((Корейская модель масштабного государственного инвестирования в цифровизацию релевантна для Узбекистана прежде всего с точки зрения институционального дизайна.¹⁰⁸)) Опыт Республики Корея показывает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 Вместе с тем прямое воспроизведение корейской модели ограничено масштабом финансирования: объём средств на развитие ведущих цифровых технологий составил 10,1 трлн вон, или около 8,5 млрд долларов США. Поэтому для Узбекистана целесообразно заимствовать не масштаб расходов, а сам принцип - привязку программ цифровизации к антикризисным бюджетным циклам.</w:t>
      </w:r>
    </w:p>
    <w:p w:rsidR="00D3510B" w:rsidRDefault="00D3510B" w:rsidP="00D3510B"/>
    <w:p w:rsidR="00D3510B" w:rsidRDefault="00D3510B" w:rsidP="00D3510B">
      <w:r>
        <w:t>((Польская модель имеет значение для Узбекистана в контексте преодоления асимметрии цифровой зрелости¹⁰⁹, выявленной в §3.1.)) Её ключевой урок в том что развитие цифрового государства должно сопровождаться целевыми мерами по цифровизации малого и среднего бизнеса - иначе возникает разрыв между государственными сервисами и частным сектором. ((В условиях Узбекистана такую функцию могут выполнять программы Азиатского банка развития¹¹⁰, Европейского банка реконструкции и развития¹¹¹ и Всемирного банка, уже участвующие в финансировании проектов цифровой инфраструктуры.))</w:t>
      </w:r>
    </w:p>
    <w:p w:rsidR="00D3510B" w:rsidRDefault="00D3510B" w:rsidP="00D3510B"/>
    <w:p w:rsidR="00D3510B" w:rsidRDefault="00D3510B" w:rsidP="00D3510B">
      <w:r>
        <w:t xml:space="preserve">Сингапурская модель наименее пригодна для прямого переноса в Узбекистан - Сингапур является городом-государством площадью 728 км², тогда как Узбекистан занимает 448 тыс. км² и имеет </w:t>
      </w:r>
      <w:r>
        <w:lastRenderedPageBreak/>
        <w:t>выраженную региональную дисперсию. Вместе с тем отдельные элементы сингапурского опыта - ((прежде всего система цифровой идентификации SingPass¹¹² и механизмы адресной фискальной помощи через цифровые каналы)) - могут быть адаптированы для крупных городов Узбекистана, включая Ташкент, Самарканд и Бухару.</w:t>
      </w:r>
    </w:p>
    <w:p w:rsidR="00D3510B" w:rsidRDefault="00D3510B" w:rsidP="00D3510B"/>
    <w:p w:rsidR="00D3510B" w:rsidRDefault="00D3510B" w:rsidP="00D3510B">
      <w:r>
        <w:t>((Синтез сравнительного и эконометрического анализа позволяет сформулировать общую рамку адаптации: для Узбекистана приоритетом должна стать не формальная максимизация композитных индексов цифровой зрелости, а развитие инфраструктуры канала фискальной трансмиссии - национальной системы цифровой идентификации, интегрированных межведомственных баз данных и цифровых платежей.¹¹³)) ((Именно этот канал, как показано в §2.2, обеспечил высокую скорость развёртывания антикризисных программ в Сингапуре и Республике Корея в период пандемии 2020 года.¹¹⁴))</w:t>
      </w:r>
    </w:p>
    <w:p w:rsidR="00D3510B" w:rsidRDefault="00D3510B" w:rsidP="00D3510B">
      <w:r>
        <w:t>3.3. Практические рекомендации по укреплению цифровой устойчивости экономики Республики Узбекистан и оценка ожидаемого эффекта</w:t>
      </w:r>
    </w:p>
    <w:p w:rsidR="00D3510B" w:rsidRDefault="00D3510B" w:rsidP="00D3510B"/>
    <w:p w:rsidR="00D3510B" w:rsidRDefault="00D3510B" w:rsidP="00D3510B">
      <w:r>
        <w:t>Практические рекомендации этого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(β = 0,198; p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(β_covid = 0,394; p = 0,003). Поэтому рекомендации имеют двухуровневую логику: первый уровень - усиление прямого эффекта цифровизации как фактора роста, второй - создание институциональных условий для перехода цифровизации к функции макроэкономического стабилизатора.</w:t>
      </w:r>
    </w:p>
    <w:p w:rsidR="00D3510B" w:rsidRDefault="00D3510B" w:rsidP="00D3510B"/>
    <w:p w:rsidR="00D3510B" w:rsidRDefault="00D3510B" w:rsidP="00D3510B">
      <w:r>
        <w:t>Первая рекомендация - дальнейшее расширение интернет-проникновения как основного показателя цифровизации использованного в модели. ((По данным Международного союза электросвязи, уровень проникновения интернета в Узбекистане в 2023 году достиг 89% населения.¹¹⁵)) Прогнозный сценарий на основе FE-модели для группы развивающихся экономик показывает количественный эффект дальнейшего роста: при достижении уровня интернет-проникновения 90% прогнозный ВВП на душу населения составит примерно 3 653 доллара США в постоянных ценах 2015 года, а при достижении 95% - около 3 693 долларов США. Соответствующий сценарий представлен на рисунке 3.3.</w:t>
      </w:r>
    </w:p>
    <w:p w:rsidR="00D3510B" w:rsidRDefault="00D3510B" w:rsidP="00D3510B">
      <w:r>
        <w:t>Рисунок 3.3 - Прогнозный сценарий ВВП на душу населения для Узбекистана при росте интернет-проникновения Источник: составлено автором на основе результатов эконометрического моделирования в R Studio.</w:t>
      </w:r>
    </w:p>
    <w:p w:rsidR="00D3510B" w:rsidRDefault="00D3510B" w:rsidP="00D3510B"/>
    <w:p w:rsidR="00D3510B" w:rsidRDefault="00D3510B" w:rsidP="00D3510B">
      <w:r>
        <w:t xml:space="preserve">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млрд долларов США. </w:t>
      </w:r>
      <w:r>
        <w:lastRenderedPageBreak/>
        <w:t>При этом дополнительный эффект перехода от 90% к 95% интернет-проникновения составляет около 40 долларов США на душу населения, или примерно 1,4 млрд долларов США в масштабе экономики. Эти оценки условны и основаны на предположении ceteris paribus; более точная оценка доверительных интервалов для FE-прогнозов требует bootstrap-процедуры, что выходит за рамки этой работы. Детальные прогнозные значения по годам представлены в таблице 3.1.</w:t>
      </w:r>
    </w:p>
    <w:p w:rsidR="00D3510B" w:rsidRDefault="00D3510B" w:rsidP="00D3510B"/>
    <w:p w:rsidR="00D3510B" w:rsidRDefault="00D3510B" w:rsidP="00D3510B">
      <w:r>
        <w:t>Таблица 3.1 - Прогноз ВВП на душу населения для Узбекистана на 2025-2030 годы (FE-модель, ceteris paribus) Источник: составлено автором на основе результатов эконометрического моделирования в R Studio.</w:t>
      </w:r>
    </w:p>
    <w:p w:rsidR="00D3510B" w:rsidRDefault="00D3510B" w:rsidP="00D3510B"/>
    <w:p w:rsidR="00D3510B" w:rsidRDefault="00D3510B" w:rsidP="00D3510B">
      <w:r>
        <w:t>Сравнение трёх сценариев роста интернет-проникновения и связанной с ними динамики ВВП на душу населения представлено на рисунке 3.4.</w:t>
      </w:r>
    </w:p>
    <w:p w:rsidR="00D3510B" w:rsidRDefault="00D3510B" w:rsidP="00D3510B">
      <w:r>
        <w:t>Рисунок 3.4 - Прогноз ВВП на душу населения для Узбекистана по трём сценариям на 2025-2030 годы Источник: составлено автором на основе результатов эконометрического моделирования в R Studio.</w:t>
      </w:r>
    </w:p>
    <w:p w:rsidR="00D3510B" w:rsidRDefault="00D3510B" w:rsidP="00D3510B"/>
    <w:p w:rsidR="00D3510B" w:rsidRDefault="00D3510B" w:rsidP="00D3510B">
      <w:r>
        <w:t>Вторая рекомендация - преодоление асимметрии цифровой зрелости выявленной в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(β_hightech = -0,0013; p = 0,835), тогда как в группе развитых стран его вклад положителен и значим (β_hightech = 0,0067; p = 0,027). Это указывает на то что цифровизация предприятий в Узбекистане пока не достигла уровня при котором она транслируется в структурную диверсификацию экспорта. ((В практическом плане рекомендуется расширение программ IT Park Uzbekistan¹¹⁶ в направлении поддержки цифровизации традиционных отраслей - текстильной промышленности, агропромышленного комплекса, горнодобычи - а не только экспортно-ориентированного ИТ-сектора.))</w:t>
      </w:r>
    </w:p>
    <w:p w:rsidR="00D3510B" w:rsidRDefault="00D3510B" w:rsidP="00D3510B"/>
    <w:p w:rsidR="00D3510B" w:rsidRDefault="00D3510B" w:rsidP="00D3510B">
      <w:r>
        <w:t>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наличием трёх базовых элементов: национальной системы цифровой идентификации, интегрированных межведомственных баз данных и инфраструктуры мгновенных цифровых платежей. В Узбекистане первый элемент уже формируется - система MyID; второй находится на ранней стадии; ((третий демонстрирует быстрый рост: объём QR-транзакций увеличивался на 119% в год в 2020-2022 годах.¹¹⁷)) ((Рекомендуется ускоренное завершение интеграции MyID с межведомственными базами данных по модели эстонской X-Road¹¹⁸ - это создаст технологическую основу для адресного и быстрого развёртывания антикризисных программ при будущих внешних шоках.))</w:t>
      </w:r>
    </w:p>
    <w:p w:rsidR="00D3510B" w:rsidRDefault="00D3510B" w:rsidP="00D3510B"/>
    <w:p w:rsidR="00D3510B" w:rsidRDefault="00D3510B" w:rsidP="00D3510B">
      <w:r>
        <w:t xml:space="preserve">Четвёртая рекомендация - учёт типа кризиса при проектировании цифровой устойчивости. Эконометрический анализ показал различие между двумя видами шоков: при пандемии COVID-19 </w:t>
      </w:r>
      <w:r>
        <w:lastRenderedPageBreak/>
        <w:t>цифровизация дала статистически значимый буферный эффект в группе развитых стран (p = 0,003), тогда как при геополитическом кризисе 2022 года её эффект оказался менее универсальным. Для группы переходных экономик коэффициент interaction term при геополитическом кризисе отрицателен, но статистически незначим (β = -0,1252; p = 0,456) -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стоит рассматривать прежде всего как инструмент противодействия шокам мобильности и информационной асимметрии - пандемиям, логистическим сбоям и административным ограничениям - но не как замену политике энергетической безопасности и диверсификации внешней торговли.</w:t>
      </w:r>
    </w:p>
    <w:p w:rsidR="00D3510B" w:rsidRDefault="00D3510B" w:rsidP="00D3510B"/>
    <w:p w:rsidR="00D3510B" w:rsidRDefault="00D3510B" w:rsidP="00D3510B">
      <w:r>
        <w:t>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эффектов цифровизации в кризисные периоды. Поэтому незначимость interaction terms может объясняться не только отсутствием антикризисного эффекта, но и ограниченным объёмом данных. ((В связи с этим рекомендуется организация систематического мониторинга показателей цифровизации и экономической устойчивости Узбекистана в рамках Стратегии «Цифровой Узбекистан - 2030»¹¹⁹ с периодической повторной оценкой эконометрической модели по мере накопления данных.)) Включение Узбекистана в международные панельные базы по цифровизации повысит сопоставимость результатов и позволит точнее отслеживать его сближение с группой переходных экономик, где основной эффект цифровизации на рост выражен сильнее (β = 0,309; p &lt; 0,001).</w:t>
      </w:r>
    </w:p>
    <w:p w:rsidR="00D3510B" w:rsidRDefault="00D3510B" w:rsidP="00D3510B"/>
    <w:p w:rsidR="00D3510B" w:rsidRDefault="00D3510B" w:rsidP="00D3510B">
      <w:r>
        <w:t>Обобщение пяти рекомендаций позволяет определить последовательность приоритетов. На первом этапе (2025-2027 годы) - завершить формирование инфраструктуры фискальной трансмиссии: интегрировать MyID с межведомственными базами данных, расширить инфраструктуру цифровых платежей и довести интернет-проникновение до 90%. ((На втором этапе (2027-2030 годы) основное внимание должно быть направлено на цифровизацию частного сектора и сокращение разрыва между государственными онлайн-сервисами и цифровой зрелостью предприятий через целевые программы для малого и среднего бизнеса.)) На третьем этапе, после 2030 года, приоритет - 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развитых стран. ((Указанная последовательность согласуется с целевыми показателями Стратегии «Цифровой Узбекистан - 2030»¹²⁰ и опирается на количественные результаты настоящего исследования.))</w:t>
      </w:r>
    </w:p>
    <w:p w:rsidR="00D3510B" w:rsidRDefault="00D3510B" w:rsidP="00D3510B"/>
    <w:p w:rsidR="00D3510B" w:rsidRDefault="00D3510B" w:rsidP="00D3510B">
      <w:r>
        <w:t xml:space="preserve">Выводы по третьей главе. 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Вместе с тем сохраняется структурная асимметрия: при активном развитии государственных цифровых сервисов доля услуг информации и связи в ВДС составляет лишь 2,4% -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роста (β = 0,1978; p &lt; 0,001), однако пока не достигла уровня при котором она выполняет функцию антикризисного стабилизатора. Для адаптации наиболее применимы: эстонская X-Road как модель межведомственной </w:t>
      </w:r>
      <w:r>
        <w:lastRenderedPageBreak/>
        <w:t>интероперабельности, корейская привязка цифровизации к антикризисным программам, польская поддержка цифровизации МСБ и сингапурские решения в сфере цифровой идентификации. Рекомендации предполагают поэтапный подход: в 2025-2027 годах - развитие MyID, межведомственной интеграции, цифровых платежей и доведение интернет-проникновения до 90%; в 2027-2030 годах - цифровизация традиционных отраслей и частного сектора; после 2030 года - достижение уровня цифровой зрелости при котором цифровизация выполняет функцию не только фактора роста, но и макроэкономического стабилизатора.</w:t>
      </w:r>
    </w:p>
    <w:p w:rsidR="00D3510B" w:rsidRDefault="00D3510B" w:rsidP="00D3510B">
      <w:r>
        <w:t>ЗАКЛЮЧЕНИЕ</w:t>
      </w:r>
    </w:p>
    <w:p w:rsidR="00D3510B" w:rsidRDefault="00D3510B" w:rsidP="00D3510B"/>
    <w:p w:rsidR="00D3510B" w:rsidRDefault="00D3510B" w:rsidP="00D3510B">
      <w:r>
        <w:t>Эта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 В работе рассматривался вопрос о том является ли цифровизация статистически значимым фактором экономической устойчивости и при каких условиях её влияние проявляется наиболее заметно. Ответ был получен на основе сочетания теоретического анализа, сравнительного изучения международного опыта и эконометрического моделирования.</w:t>
      </w:r>
    </w:p>
    <w:p w:rsidR="00D3510B" w:rsidRDefault="00D3510B" w:rsidP="00D3510B"/>
    <w:p w:rsidR="00D3510B" w:rsidRDefault="00D3510B" w:rsidP="00D3510B">
      <w:r>
        <w:t>Теоретическая рамка первой главы опирается на подходы к экономической уязвимости и устойчивости из работ Л. Бригульо и соавторов, аналитические материалы ОЭСР, а также трактовки цифровой экономики Всемирного банка и других международных организаций. В работе систематизирована пятиканальная модель влияния цифровизации на устойчивость национальных экономик: непрерывность государственных функций, фискальная трансмиссия,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в том что устойчивость экономики формируется не только в момент кризиса, а заранее - через качество институтов, уровень инфраструктурного развития, цифровую готовность и способность быстро адаптироваться к внешним шокам.</w:t>
      </w:r>
    </w:p>
    <w:p w:rsidR="00D3510B" w:rsidRDefault="00D3510B" w:rsidP="00D3510B">
      <w:r>
        <w:t>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компенсировать ограничения физической мобильности. Вместе с тем кризис 2022 года выявил пределы этого эффекта: энергетические, ценовые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несмотря на развитые цифровые сервисы, столкнулись с высоким инфляционным давлением связанным с энергетическими и внешнеторговыми факторами. Это подтвердило необходимость раздельного учёта кризисов 2020 и 2022 годов в эконометрической модели.</w:t>
      </w:r>
    </w:p>
    <w:p w:rsidR="00D3510B" w:rsidRDefault="00D3510B" w:rsidP="00D3510B"/>
    <w:p w:rsidR="00D3510B" w:rsidRDefault="00D3510B" w:rsidP="00D3510B">
      <w:r>
        <w:t xml:space="preserve">Основной эмпирический результат работы получен в §2.3 на несбалансированной панели 49 стран за 2010-2024 годы (707 наблюдений). Тест Чоу (F = 5,3377; p = 1,151 × 10⁻¹¹) подтвердил структурную неоднородность выборки и обосновал раздельный анализ трёх групп стран. Основная гипотеза H₁ подтверждена: коэффициент при log_internet положителен и статистически значим во всех группах - β </w:t>
      </w:r>
      <w:r>
        <w:lastRenderedPageBreak/>
        <w:t>= 0,2117 для развитых экономик, β = 0,3085 для переходных и β = 0,1978 для развивающихся. Вспомогательная гипотеза H₂ также получила подтверждение: антикризисный буферный эффект, выраженный через interaction terms, статистически выявлен только в группе развитых стран (β_covid = 0,394; p = 0,003; β_geo = 0,394; p = 0,020). В переходных и развивающихся экономиках аналогичные эффекты статистически не подтверждаются.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w:t>
      </w:r>
      <w:r w:rsidRPr="00D3510B">
        <w:t xml:space="preserve"> </w:t>
      </w:r>
      <w:r>
        <w:t>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EGDI со значением 0,7999, уровень интернет-проникновения достиг 89%, а покрытие 4G - 97% населения. С другой стороны сохраняется отставание по глубине цифровизации частного сектора: доля услуг информации и связи в ВДС составляет 2,4%, что ниже среднего уровня стран ОЭСР. Эконометрические результаты показывают что при текущем уровне развития цифровизация в Узбекистане уже поддерживает экономический рост: рост интернет-проникновения на 1% связан с увеличением ВВП на душу населения примерно на 0,20% при прочих равных условиях. Однако антикризисная буферная функция для группы развивающихся экономик включая Узбекистан, пока статистически не идентифицируется.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 или примерно 1,4 млрд долларов США в масштабе экономики.</w:t>
      </w:r>
    </w:p>
    <w:p w:rsidR="00D3510B" w:rsidRDefault="00D3510B" w:rsidP="00D3510B"/>
    <w:p w:rsidR="00D3510B" w:rsidRDefault="00D3510B" w:rsidP="00D3510B">
      <w:r>
        <w:t>Сформулированные практические рекомендации образуют поэтапную программу цифрового развития с горизонтом до 2030 года и после. На первом этапе в 2025-2027 годах приоритет - развитие инфраструктуры фискальной трансмиссии: MyID, межведомственной интеграции, цифровых платежей и расширения интернет-проникновения. На втором этапе в 2027-2030 годах ключевая задача - преодоление асимметрии цифровой зрелости через цифровизацию традиционных отраслей, малого и среднего бизнеса, а также расширение использования цифровых технологий в частном секторе. После 2030 года стратегический ориентир - 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при этом должна быть выборочной: эстонская X-Road - ориентир для межведомственной интероперабельности, опыт Республики Корея - пример привязки цифровизации к антикризисным программам, польская модель - основа для поддержки цифровизации МСБ, а отдельные элементы сингапурской системы цифровой идентификации - ориентир для развития единого доступа к государственным и финансовым сервисам.ого уровня цифровой зрелости.</w:t>
      </w:r>
    </w:p>
    <w:p w:rsidR="00D3510B" w:rsidRPr="00D3510B" w:rsidRDefault="00D3510B" w:rsidP="00D3510B">
      <w:r w:rsidRPr="00D3510B">
        <w:t xml:space="preserve">Научная новизна исследования состоит в трёх аспектах. Во-первых, в работе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с ростом наблюдается во всех группах, но стабилизирующий эффект статистически выявляется только в развитых экономиках. В-третьих, для Республики Узбекистан предложены прогнозные сценарии позволяющие связать целевые ориентиры Стратегии «Цифровой Узбекистан - 2030» с количественными эконометрическими оценками. Вместе с тем исследование имеет ряд ограничений: использование </w:t>
      </w:r>
      <w:r w:rsidRPr="00D3510B">
        <w:lastRenderedPageBreak/>
        <w:t>одного основного индикатора цифровизации, упрощённая идентификация кризисных периодов и ограниченный размер подвыборки развивающихся экономик. Эти ограничения определяют направления дальнейших исследований - расширение набора цифровых индикаторов, применение методов IV/GMM и проведение отраслевого анализа цифровизации экономики Узбекистана.</w:t>
      </w:r>
    </w:p>
    <w:p w:rsidR="00D3510B" w:rsidRDefault="00D3510B" w:rsidP="00D3510B">
      <w:bookmarkStart w:id="0" w:name="_GoBack"/>
      <w:bookmarkEnd w:id="0"/>
    </w:p>
    <w:p w:rsidR="00D3510B" w:rsidRPr="00801C73" w:rsidRDefault="00D3510B" w:rsidP="00D3510B"/>
    <w:sectPr w:rsidR="00D3510B" w:rsidRPr="00801C73" w:rsidSect="007547C5">
      <w:footerReference w:type="default" r:id="rId7"/>
      <w:pgSz w:w="12240" w:h="15840"/>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8E1" w:rsidRDefault="00A938E1" w:rsidP="00DD46F9">
      <w:pPr>
        <w:spacing w:after="0" w:line="240" w:lineRule="auto"/>
      </w:pPr>
      <w:r>
        <w:separator/>
      </w:r>
    </w:p>
  </w:endnote>
  <w:endnote w:type="continuationSeparator" w:id="0">
    <w:p w:rsidR="00A938E1" w:rsidRDefault="00A938E1" w:rsidP="00DD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792662935"/>
      <w:docPartObj>
        <w:docPartGallery w:val="Page Numbers (Bottom of Page)"/>
        <w:docPartUnique/>
      </w:docPartObj>
    </w:sdtPr>
    <w:sdtEndPr/>
    <w:sdtContent>
      <w:p w:rsidR="004A65CB" w:rsidRPr="007547C5" w:rsidRDefault="004A65CB">
        <w:pPr>
          <w:pStyle w:val="af2"/>
          <w:jc w:val="center"/>
          <w:rPr>
            <w:rFonts w:ascii="Times New Roman" w:hAnsi="Times New Roman" w:cs="Times New Roman"/>
            <w:sz w:val="28"/>
            <w:szCs w:val="28"/>
          </w:rPr>
        </w:pPr>
        <w:r w:rsidRPr="007547C5">
          <w:rPr>
            <w:rFonts w:ascii="Times New Roman" w:hAnsi="Times New Roman" w:cs="Times New Roman"/>
            <w:sz w:val="28"/>
            <w:szCs w:val="28"/>
          </w:rPr>
          <w:fldChar w:fldCharType="begin"/>
        </w:r>
        <w:r w:rsidRPr="007547C5">
          <w:rPr>
            <w:rFonts w:ascii="Times New Roman" w:hAnsi="Times New Roman" w:cs="Times New Roman"/>
            <w:sz w:val="28"/>
            <w:szCs w:val="28"/>
          </w:rPr>
          <w:instrText>PAGE   \* MERGEFORMAT</w:instrText>
        </w:r>
        <w:r w:rsidRPr="007547C5">
          <w:rPr>
            <w:rFonts w:ascii="Times New Roman" w:hAnsi="Times New Roman" w:cs="Times New Roman"/>
            <w:sz w:val="28"/>
            <w:szCs w:val="28"/>
          </w:rPr>
          <w:fldChar w:fldCharType="separate"/>
        </w:r>
        <w:r w:rsidR="00D3510B" w:rsidRPr="00D3510B">
          <w:rPr>
            <w:rFonts w:ascii="Times New Roman" w:hAnsi="Times New Roman" w:cs="Times New Roman"/>
            <w:noProof/>
            <w:sz w:val="28"/>
            <w:szCs w:val="28"/>
            <w:lang w:val="ru-RU"/>
          </w:rPr>
          <w:t>32</w:t>
        </w:r>
        <w:r w:rsidRPr="007547C5">
          <w:rPr>
            <w:rFonts w:ascii="Times New Roman" w:hAnsi="Times New Roman" w:cs="Times New Roman"/>
            <w:sz w:val="28"/>
            <w:szCs w:val="28"/>
          </w:rPr>
          <w:fldChar w:fldCharType="end"/>
        </w:r>
      </w:p>
    </w:sdtContent>
  </w:sdt>
  <w:p w:rsidR="004A65CB" w:rsidRDefault="004A65CB">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8E1" w:rsidRDefault="00A938E1" w:rsidP="00DD46F9">
      <w:pPr>
        <w:spacing w:after="0" w:line="240" w:lineRule="auto"/>
      </w:pPr>
      <w:r>
        <w:separator/>
      </w:r>
    </w:p>
  </w:footnote>
  <w:footnote w:type="continuationSeparator" w:id="0">
    <w:p w:rsidR="00A938E1" w:rsidRDefault="00A938E1" w:rsidP="00DD4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32F2"/>
    <w:multiLevelType w:val="hybridMultilevel"/>
    <w:tmpl w:val="3D8EFB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A5123"/>
    <w:multiLevelType w:val="hybridMultilevel"/>
    <w:tmpl w:val="0C6E254C"/>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 w15:restartNumberingAfterBreak="0">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7B37"/>
    <w:multiLevelType w:val="hybridMultilevel"/>
    <w:tmpl w:val="6F964FB2"/>
    <w:lvl w:ilvl="0" w:tplc="F8160BAE">
      <w:start w:val="1"/>
      <w:numFmt w:val="upperRoman"/>
      <w:lvlText w:val="%1."/>
      <w:lvlJc w:val="left"/>
      <w:pPr>
        <w:ind w:left="1384" w:hanging="249"/>
      </w:pPr>
      <w:rPr>
        <w:rFonts w:ascii="Times New Roman" w:eastAsia="Times New Roman" w:hAnsi="Times New Roman" w:cs="Times New Roman"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5" w15:restartNumberingAfterBreak="0">
    <w:nsid w:val="100E21B6"/>
    <w:multiLevelType w:val="hybridMultilevel"/>
    <w:tmpl w:val="B5680992"/>
    <w:lvl w:ilvl="0" w:tplc="999689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3B6278"/>
    <w:multiLevelType w:val="hybridMultilevel"/>
    <w:tmpl w:val="DD802258"/>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9" w15:restartNumberingAfterBreak="0">
    <w:nsid w:val="1CA92590"/>
    <w:multiLevelType w:val="multilevel"/>
    <w:tmpl w:val="D610ADE2"/>
    <w:lvl w:ilvl="0">
      <w:start w:val="3"/>
      <w:numFmt w:val="decimal"/>
      <w:lvlText w:val="%1"/>
      <w:lvlJc w:val="left"/>
      <w:pPr>
        <w:ind w:left="927" w:hanging="141"/>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2"/>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920" w:hanging="490"/>
      </w:pPr>
      <w:rPr>
        <w:rFonts w:hint="default"/>
        <w:lang w:val="ru-RU" w:eastAsia="en-US" w:bidi="ar-SA"/>
      </w:rPr>
    </w:lvl>
    <w:lvl w:ilvl="3">
      <w:numFmt w:val="bullet"/>
      <w:lvlText w:val="•"/>
      <w:lvlJc w:val="left"/>
      <w:pPr>
        <w:ind w:left="2920" w:hanging="490"/>
      </w:pPr>
      <w:rPr>
        <w:rFonts w:hint="default"/>
        <w:lang w:val="ru-RU" w:eastAsia="en-US" w:bidi="ar-SA"/>
      </w:rPr>
    </w:lvl>
    <w:lvl w:ilvl="4">
      <w:numFmt w:val="bullet"/>
      <w:lvlText w:val="•"/>
      <w:lvlJc w:val="left"/>
      <w:pPr>
        <w:ind w:left="3921" w:hanging="490"/>
      </w:pPr>
      <w:rPr>
        <w:rFonts w:hint="default"/>
        <w:lang w:val="ru-RU" w:eastAsia="en-US" w:bidi="ar-SA"/>
      </w:rPr>
    </w:lvl>
    <w:lvl w:ilvl="5">
      <w:numFmt w:val="bullet"/>
      <w:lvlText w:val="•"/>
      <w:lvlJc w:val="left"/>
      <w:pPr>
        <w:ind w:left="4921" w:hanging="490"/>
      </w:pPr>
      <w:rPr>
        <w:rFonts w:hint="default"/>
        <w:lang w:val="ru-RU" w:eastAsia="en-US" w:bidi="ar-SA"/>
      </w:rPr>
    </w:lvl>
    <w:lvl w:ilvl="6">
      <w:numFmt w:val="bullet"/>
      <w:lvlText w:val="•"/>
      <w:lvlJc w:val="left"/>
      <w:pPr>
        <w:ind w:left="5921" w:hanging="490"/>
      </w:pPr>
      <w:rPr>
        <w:rFonts w:hint="default"/>
        <w:lang w:val="ru-RU" w:eastAsia="en-US" w:bidi="ar-SA"/>
      </w:rPr>
    </w:lvl>
    <w:lvl w:ilvl="7">
      <w:numFmt w:val="bullet"/>
      <w:lvlText w:val="•"/>
      <w:lvlJc w:val="left"/>
      <w:pPr>
        <w:ind w:left="6922" w:hanging="490"/>
      </w:pPr>
      <w:rPr>
        <w:rFonts w:hint="default"/>
        <w:lang w:val="ru-RU" w:eastAsia="en-US" w:bidi="ar-SA"/>
      </w:rPr>
    </w:lvl>
    <w:lvl w:ilvl="8">
      <w:numFmt w:val="bullet"/>
      <w:lvlText w:val="•"/>
      <w:lvlJc w:val="left"/>
      <w:pPr>
        <w:ind w:left="7922" w:hanging="490"/>
      </w:pPr>
      <w:rPr>
        <w:rFonts w:hint="default"/>
        <w:lang w:val="ru-RU" w:eastAsia="en-US" w:bidi="ar-SA"/>
      </w:rPr>
    </w:lvl>
  </w:abstractNum>
  <w:abstractNum w:abstractNumId="10" w15:restartNumberingAfterBreak="0">
    <w:nsid w:val="25735355"/>
    <w:multiLevelType w:val="hybridMultilevel"/>
    <w:tmpl w:val="2CBC83C8"/>
    <w:lvl w:ilvl="0" w:tplc="0419000F">
      <w:start w:val="1"/>
      <w:numFmt w:val="decimal"/>
      <w:lvlText w:val="%1."/>
      <w:lvlJc w:val="left"/>
      <w:pPr>
        <w:ind w:left="720" w:hanging="360"/>
      </w:pPr>
    </w:lvl>
    <w:lvl w:ilvl="1" w:tplc="3404ECB2">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123C15"/>
    <w:multiLevelType w:val="hybridMultilevel"/>
    <w:tmpl w:val="A8A09C92"/>
    <w:lvl w:ilvl="0" w:tplc="8E6433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05126"/>
    <w:multiLevelType w:val="hybridMultilevel"/>
    <w:tmpl w:val="132AB640"/>
    <w:lvl w:ilvl="0" w:tplc="2DAEE154">
      <w:numFmt w:val="bullet"/>
      <w:lvlText w:val=""/>
      <w:lvlJc w:val="left"/>
      <w:pPr>
        <w:ind w:left="1495" w:hanging="360"/>
      </w:pPr>
      <w:rPr>
        <w:rFonts w:ascii="Symbol" w:eastAsiaTheme="minorHAnsi" w:hAnsi="Symbol" w:cstheme="minorBidi"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 w15:restartNumberingAfterBreak="0">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50E90"/>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5" w15:restartNumberingAfterBreak="0">
    <w:nsid w:val="4B6934A0"/>
    <w:multiLevelType w:val="hybridMultilevel"/>
    <w:tmpl w:val="4364CF56"/>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6" w15:restartNumberingAfterBreak="0">
    <w:nsid w:val="55FB539D"/>
    <w:multiLevelType w:val="hybridMultilevel"/>
    <w:tmpl w:val="941A382C"/>
    <w:lvl w:ilvl="0" w:tplc="B274AB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518B9"/>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8" w15:restartNumberingAfterBreak="0">
    <w:nsid w:val="65472A54"/>
    <w:multiLevelType w:val="hybridMultilevel"/>
    <w:tmpl w:val="67FCB45C"/>
    <w:lvl w:ilvl="0" w:tplc="04190013">
      <w:start w:val="1"/>
      <w:numFmt w:val="upperRoman"/>
      <w:lvlText w:val="%1."/>
      <w:lvlJc w:val="righ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19" w15:restartNumberingAfterBreak="0">
    <w:nsid w:val="6A156B0B"/>
    <w:multiLevelType w:val="hybridMultilevel"/>
    <w:tmpl w:val="9B28C532"/>
    <w:lvl w:ilvl="0" w:tplc="0419000F">
      <w:start w:val="1"/>
      <w:numFmt w:val="decimal"/>
      <w:lvlText w:val="%1."/>
      <w:lvlJc w:val="left"/>
      <w:pPr>
        <w:ind w:left="1384" w:hanging="249"/>
      </w:pPr>
      <w:rPr>
        <w:rFonts w:hint="default"/>
        <w:b/>
        <w:bCs/>
        <w:i w:val="0"/>
        <w:iCs w:val="0"/>
        <w:spacing w:val="0"/>
        <w:w w:val="99"/>
        <w:sz w:val="28"/>
        <w:szCs w:val="28"/>
        <w:lang w:val="ru-RU" w:eastAsia="en-US" w:bidi="ar-SA"/>
      </w:rPr>
    </w:lvl>
    <w:lvl w:ilvl="1" w:tplc="97728D16">
      <w:start w:val="1"/>
      <w:numFmt w:val="decimal"/>
      <w:lvlText w:val="%2."/>
      <w:lvlJc w:val="left"/>
      <w:pPr>
        <w:ind w:left="427" w:hanging="587"/>
      </w:pPr>
      <w:rPr>
        <w:rFonts w:ascii="Times New Roman" w:eastAsia="Times New Roman" w:hAnsi="Times New Roman" w:cs="Times New Roman" w:hint="default"/>
        <w:b w:val="0"/>
        <w:bCs w:val="0"/>
        <w:i w:val="0"/>
        <w:iCs w:val="0"/>
        <w:spacing w:val="0"/>
        <w:w w:val="99"/>
        <w:sz w:val="28"/>
        <w:szCs w:val="28"/>
        <w:lang w:val="ru-RU" w:eastAsia="en-US" w:bidi="ar-SA"/>
      </w:rPr>
    </w:lvl>
    <w:lvl w:ilvl="2" w:tplc="03E48BB2">
      <w:numFmt w:val="bullet"/>
      <w:lvlText w:val="•"/>
      <w:lvlJc w:val="left"/>
      <w:pPr>
        <w:ind w:left="2329" w:hanging="587"/>
      </w:pPr>
      <w:rPr>
        <w:rFonts w:hint="default"/>
        <w:lang w:val="ru-RU" w:eastAsia="en-US" w:bidi="ar-SA"/>
      </w:rPr>
    </w:lvl>
    <w:lvl w:ilvl="3" w:tplc="C8DAE192">
      <w:numFmt w:val="bullet"/>
      <w:lvlText w:val="•"/>
      <w:lvlJc w:val="left"/>
      <w:pPr>
        <w:ind w:left="3278" w:hanging="587"/>
      </w:pPr>
      <w:rPr>
        <w:rFonts w:hint="default"/>
        <w:lang w:val="ru-RU" w:eastAsia="en-US" w:bidi="ar-SA"/>
      </w:rPr>
    </w:lvl>
    <w:lvl w:ilvl="4" w:tplc="1DB066F0">
      <w:numFmt w:val="bullet"/>
      <w:lvlText w:val="•"/>
      <w:lvlJc w:val="left"/>
      <w:pPr>
        <w:ind w:left="4227" w:hanging="587"/>
      </w:pPr>
      <w:rPr>
        <w:rFonts w:hint="default"/>
        <w:lang w:val="ru-RU" w:eastAsia="en-US" w:bidi="ar-SA"/>
      </w:rPr>
    </w:lvl>
    <w:lvl w:ilvl="5" w:tplc="8FC27EEA">
      <w:numFmt w:val="bullet"/>
      <w:lvlText w:val="•"/>
      <w:lvlJc w:val="left"/>
      <w:pPr>
        <w:ind w:left="5177" w:hanging="587"/>
      </w:pPr>
      <w:rPr>
        <w:rFonts w:hint="default"/>
        <w:lang w:val="ru-RU" w:eastAsia="en-US" w:bidi="ar-SA"/>
      </w:rPr>
    </w:lvl>
    <w:lvl w:ilvl="6" w:tplc="478A0AE4">
      <w:numFmt w:val="bullet"/>
      <w:lvlText w:val="•"/>
      <w:lvlJc w:val="left"/>
      <w:pPr>
        <w:ind w:left="6126" w:hanging="587"/>
      </w:pPr>
      <w:rPr>
        <w:rFonts w:hint="default"/>
        <w:lang w:val="ru-RU" w:eastAsia="en-US" w:bidi="ar-SA"/>
      </w:rPr>
    </w:lvl>
    <w:lvl w:ilvl="7" w:tplc="392A8448">
      <w:numFmt w:val="bullet"/>
      <w:lvlText w:val="•"/>
      <w:lvlJc w:val="left"/>
      <w:pPr>
        <w:ind w:left="7075" w:hanging="587"/>
      </w:pPr>
      <w:rPr>
        <w:rFonts w:hint="default"/>
        <w:lang w:val="ru-RU" w:eastAsia="en-US" w:bidi="ar-SA"/>
      </w:rPr>
    </w:lvl>
    <w:lvl w:ilvl="8" w:tplc="243EA46E">
      <w:numFmt w:val="bullet"/>
      <w:lvlText w:val="•"/>
      <w:lvlJc w:val="left"/>
      <w:pPr>
        <w:ind w:left="8024" w:hanging="587"/>
      </w:pPr>
      <w:rPr>
        <w:rFonts w:hint="default"/>
        <w:lang w:val="ru-RU" w:eastAsia="en-US" w:bidi="ar-SA"/>
      </w:rPr>
    </w:lvl>
  </w:abstractNum>
  <w:abstractNum w:abstractNumId="20" w15:restartNumberingAfterBreak="0">
    <w:nsid w:val="6CA42489"/>
    <w:multiLevelType w:val="multilevel"/>
    <w:tmpl w:val="8D1CFB7A"/>
    <w:lvl w:ilvl="0">
      <w:start w:val="2"/>
      <w:numFmt w:val="decimal"/>
      <w:lvlText w:val="%1"/>
      <w:lvlJc w:val="left"/>
      <w:pPr>
        <w:ind w:left="787" w:hanging="490"/>
      </w:pPr>
      <w:rPr>
        <w:rFonts w:hint="default"/>
        <w:lang w:val="ru-RU" w:eastAsia="en-US" w:bidi="ar-SA"/>
      </w:rPr>
    </w:lvl>
    <w:lvl w:ilvl="1">
      <w:start w:val="1"/>
      <w:numFmt w:val="decimal"/>
      <w:lvlText w:val="%1.%2."/>
      <w:lvlJc w:val="left"/>
      <w:pPr>
        <w:ind w:left="787"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2608" w:hanging="490"/>
      </w:pPr>
      <w:rPr>
        <w:rFonts w:hint="default"/>
        <w:lang w:val="ru-RU" w:eastAsia="en-US" w:bidi="ar-SA"/>
      </w:rPr>
    </w:lvl>
    <w:lvl w:ilvl="3">
      <w:numFmt w:val="bullet"/>
      <w:lvlText w:val="•"/>
      <w:lvlJc w:val="left"/>
      <w:pPr>
        <w:ind w:left="3523" w:hanging="490"/>
      </w:pPr>
      <w:rPr>
        <w:rFonts w:hint="default"/>
        <w:lang w:val="ru-RU" w:eastAsia="en-US" w:bidi="ar-SA"/>
      </w:rPr>
    </w:lvl>
    <w:lvl w:ilvl="4">
      <w:numFmt w:val="bullet"/>
      <w:lvlText w:val="•"/>
      <w:lvlJc w:val="left"/>
      <w:pPr>
        <w:ind w:left="4437" w:hanging="490"/>
      </w:pPr>
      <w:rPr>
        <w:rFonts w:hint="default"/>
        <w:lang w:val="ru-RU" w:eastAsia="en-US" w:bidi="ar-SA"/>
      </w:rPr>
    </w:lvl>
    <w:lvl w:ilvl="5">
      <w:numFmt w:val="bullet"/>
      <w:lvlText w:val="•"/>
      <w:lvlJc w:val="left"/>
      <w:pPr>
        <w:ind w:left="5351" w:hanging="490"/>
      </w:pPr>
      <w:rPr>
        <w:rFonts w:hint="default"/>
        <w:lang w:val="ru-RU" w:eastAsia="en-US" w:bidi="ar-SA"/>
      </w:rPr>
    </w:lvl>
    <w:lvl w:ilvl="6">
      <w:numFmt w:val="bullet"/>
      <w:lvlText w:val="•"/>
      <w:lvlJc w:val="left"/>
      <w:pPr>
        <w:ind w:left="6266" w:hanging="490"/>
      </w:pPr>
      <w:rPr>
        <w:rFonts w:hint="default"/>
        <w:lang w:val="ru-RU" w:eastAsia="en-US" w:bidi="ar-SA"/>
      </w:rPr>
    </w:lvl>
    <w:lvl w:ilvl="7">
      <w:numFmt w:val="bullet"/>
      <w:lvlText w:val="•"/>
      <w:lvlJc w:val="left"/>
      <w:pPr>
        <w:ind w:left="7180" w:hanging="490"/>
      </w:pPr>
      <w:rPr>
        <w:rFonts w:hint="default"/>
        <w:lang w:val="ru-RU" w:eastAsia="en-US" w:bidi="ar-SA"/>
      </w:rPr>
    </w:lvl>
    <w:lvl w:ilvl="8">
      <w:numFmt w:val="bullet"/>
      <w:lvlText w:val="•"/>
      <w:lvlJc w:val="left"/>
      <w:pPr>
        <w:ind w:left="8094" w:hanging="490"/>
      </w:pPr>
      <w:rPr>
        <w:rFonts w:hint="default"/>
        <w:lang w:val="ru-RU" w:eastAsia="en-US" w:bidi="ar-SA"/>
      </w:rPr>
    </w:lvl>
  </w:abstractNum>
  <w:abstractNum w:abstractNumId="21" w15:restartNumberingAfterBreak="0">
    <w:nsid w:val="7164649C"/>
    <w:multiLevelType w:val="multilevel"/>
    <w:tmpl w:val="F3F838B4"/>
    <w:lvl w:ilvl="0">
      <w:start w:val="1"/>
      <w:numFmt w:val="decimal"/>
      <w:lvlText w:val="%1"/>
      <w:lvlJc w:val="left"/>
      <w:pPr>
        <w:ind w:left="1276" w:hanging="490"/>
      </w:pPr>
      <w:rPr>
        <w:rFonts w:hint="default"/>
        <w:lang w:val="ru-RU" w:eastAsia="en-US" w:bidi="ar-SA"/>
      </w:rPr>
    </w:lvl>
    <w:lvl w:ilvl="1">
      <w:start w:val="1"/>
      <w:numFmt w:val="decimal"/>
      <w:lvlText w:val="%1.%2."/>
      <w:lvlJc w:val="left"/>
      <w:pPr>
        <w:ind w:left="1276" w:hanging="49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3008" w:hanging="490"/>
      </w:pPr>
      <w:rPr>
        <w:rFonts w:hint="default"/>
        <w:lang w:val="ru-RU" w:eastAsia="en-US" w:bidi="ar-SA"/>
      </w:rPr>
    </w:lvl>
    <w:lvl w:ilvl="3">
      <w:numFmt w:val="bullet"/>
      <w:lvlText w:val="•"/>
      <w:lvlJc w:val="left"/>
      <w:pPr>
        <w:ind w:left="3873" w:hanging="490"/>
      </w:pPr>
      <w:rPr>
        <w:rFonts w:hint="default"/>
        <w:lang w:val="ru-RU" w:eastAsia="en-US" w:bidi="ar-SA"/>
      </w:rPr>
    </w:lvl>
    <w:lvl w:ilvl="4">
      <w:numFmt w:val="bullet"/>
      <w:lvlText w:val="•"/>
      <w:lvlJc w:val="left"/>
      <w:pPr>
        <w:ind w:left="4737" w:hanging="490"/>
      </w:pPr>
      <w:rPr>
        <w:rFonts w:hint="default"/>
        <w:lang w:val="ru-RU" w:eastAsia="en-US" w:bidi="ar-SA"/>
      </w:rPr>
    </w:lvl>
    <w:lvl w:ilvl="5">
      <w:numFmt w:val="bullet"/>
      <w:lvlText w:val="•"/>
      <w:lvlJc w:val="left"/>
      <w:pPr>
        <w:ind w:left="5601" w:hanging="490"/>
      </w:pPr>
      <w:rPr>
        <w:rFonts w:hint="default"/>
        <w:lang w:val="ru-RU" w:eastAsia="en-US" w:bidi="ar-SA"/>
      </w:rPr>
    </w:lvl>
    <w:lvl w:ilvl="6">
      <w:numFmt w:val="bullet"/>
      <w:lvlText w:val="•"/>
      <w:lvlJc w:val="left"/>
      <w:pPr>
        <w:ind w:left="6466" w:hanging="490"/>
      </w:pPr>
      <w:rPr>
        <w:rFonts w:hint="default"/>
        <w:lang w:val="ru-RU" w:eastAsia="en-US" w:bidi="ar-SA"/>
      </w:rPr>
    </w:lvl>
    <w:lvl w:ilvl="7">
      <w:numFmt w:val="bullet"/>
      <w:lvlText w:val="•"/>
      <w:lvlJc w:val="left"/>
      <w:pPr>
        <w:ind w:left="7330" w:hanging="490"/>
      </w:pPr>
      <w:rPr>
        <w:rFonts w:hint="default"/>
        <w:lang w:val="ru-RU" w:eastAsia="en-US" w:bidi="ar-SA"/>
      </w:rPr>
    </w:lvl>
    <w:lvl w:ilvl="8">
      <w:numFmt w:val="bullet"/>
      <w:lvlText w:val="•"/>
      <w:lvlJc w:val="left"/>
      <w:pPr>
        <w:ind w:left="8194" w:hanging="490"/>
      </w:pPr>
      <w:rPr>
        <w:rFonts w:hint="default"/>
        <w:lang w:val="ru-RU" w:eastAsia="en-US" w:bidi="ar-SA"/>
      </w:rPr>
    </w:lvl>
  </w:abstractNum>
  <w:num w:numId="1">
    <w:abstractNumId w:val="4"/>
  </w:num>
  <w:num w:numId="2">
    <w:abstractNumId w:val="1"/>
  </w:num>
  <w:num w:numId="3">
    <w:abstractNumId w:val="9"/>
  </w:num>
  <w:num w:numId="4">
    <w:abstractNumId w:val="20"/>
  </w:num>
  <w:num w:numId="5">
    <w:abstractNumId w:val="21"/>
  </w:num>
  <w:num w:numId="6">
    <w:abstractNumId w:val="10"/>
  </w:num>
  <w:num w:numId="7">
    <w:abstractNumId w:val="11"/>
  </w:num>
  <w:num w:numId="8">
    <w:abstractNumId w:val="19"/>
  </w:num>
  <w:num w:numId="9">
    <w:abstractNumId w:val="8"/>
  </w:num>
  <w:num w:numId="10">
    <w:abstractNumId w:val="17"/>
  </w:num>
  <w:num w:numId="11">
    <w:abstractNumId w:val="18"/>
  </w:num>
  <w:num w:numId="12">
    <w:abstractNumId w:val="14"/>
  </w:num>
  <w:num w:numId="13">
    <w:abstractNumId w:val="3"/>
  </w:num>
  <w:num w:numId="14">
    <w:abstractNumId w:val="12"/>
  </w:num>
  <w:num w:numId="15">
    <w:abstractNumId w:val="5"/>
  </w:num>
  <w:num w:numId="16">
    <w:abstractNumId w:val="16"/>
  </w:num>
  <w:num w:numId="17">
    <w:abstractNumId w:val="0"/>
  </w:num>
  <w:num w:numId="18">
    <w:abstractNumId w:val="15"/>
  </w:num>
  <w:num w:numId="19">
    <w:abstractNumId w:val="2"/>
  </w:num>
  <w:num w:numId="20">
    <w:abstractNumId w:val="7"/>
  </w:num>
  <w:num w:numId="21">
    <w:abstractNumId w:val="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6A"/>
    <w:rsid w:val="000003E2"/>
    <w:rsid w:val="00002D47"/>
    <w:rsid w:val="00024780"/>
    <w:rsid w:val="000262BA"/>
    <w:rsid w:val="000276B0"/>
    <w:rsid w:val="0005378B"/>
    <w:rsid w:val="00083864"/>
    <w:rsid w:val="00085E0F"/>
    <w:rsid w:val="000A2239"/>
    <w:rsid w:val="000A3326"/>
    <w:rsid w:val="000A48DB"/>
    <w:rsid w:val="000C3C44"/>
    <w:rsid w:val="000D5E04"/>
    <w:rsid w:val="000D7A66"/>
    <w:rsid w:val="0010192C"/>
    <w:rsid w:val="00116C2C"/>
    <w:rsid w:val="00131B45"/>
    <w:rsid w:val="0013468A"/>
    <w:rsid w:val="0015125F"/>
    <w:rsid w:val="001807B0"/>
    <w:rsid w:val="001B128D"/>
    <w:rsid w:val="001B5EA7"/>
    <w:rsid w:val="001B7733"/>
    <w:rsid w:val="001C4B96"/>
    <w:rsid w:val="001D2E15"/>
    <w:rsid w:val="001E2F07"/>
    <w:rsid w:val="001F3C81"/>
    <w:rsid w:val="001F447D"/>
    <w:rsid w:val="00222E68"/>
    <w:rsid w:val="00224235"/>
    <w:rsid w:val="002373AE"/>
    <w:rsid w:val="00257FDA"/>
    <w:rsid w:val="00261D30"/>
    <w:rsid w:val="002922C5"/>
    <w:rsid w:val="002961B0"/>
    <w:rsid w:val="002A59ED"/>
    <w:rsid w:val="002B4F82"/>
    <w:rsid w:val="002B7CE4"/>
    <w:rsid w:val="002E05B5"/>
    <w:rsid w:val="00301CCB"/>
    <w:rsid w:val="003131EB"/>
    <w:rsid w:val="00331406"/>
    <w:rsid w:val="00341045"/>
    <w:rsid w:val="00350E39"/>
    <w:rsid w:val="00351318"/>
    <w:rsid w:val="00360F76"/>
    <w:rsid w:val="00364140"/>
    <w:rsid w:val="00376026"/>
    <w:rsid w:val="003767BF"/>
    <w:rsid w:val="00381C3C"/>
    <w:rsid w:val="00385653"/>
    <w:rsid w:val="0038629A"/>
    <w:rsid w:val="003B16C6"/>
    <w:rsid w:val="003C7851"/>
    <w:rsid w:val="003D17DF"/>
    <w:rsid w:val="003D2605"/>
    <w:rsid w:val="0040793A"/>
    <w:rsid w:val="00411251"/>
    <w:rsid w:val="00414AB4"/>
    <w:rsid w:val="004223F4"/>
    <w:rsid w:val="00430093"/>
    <w:rsid w:val="00433B68"/>
    <w:rsid w:val="00446213"/>
    <w:rsid w:val="004613CC"/>
    <w:rsid w:val="0046583F"/>
    <w:rsid w:val="0047567A"/>
    <w:rsid w:val="00477050"/>
    <w:rsid w:val="0047729D"/>
    <w:rsid w:val="0048197C"/>
    <w:rsid w:val="0048225B"/>
    <w:rsid w:val="004829CE"/>
    <w:rsid w:val="004874E7"/>
    <w:rsid w:val="004912A2"/>
    <w:rsid w:val="004A43EE"/>
    <w:rsid w:val="004A65CB"/>
    <w:rsid w:val="004D0EAB"/>
    <w:rsid w:val="004D6702"/>
    <w:rsid w:val="004D6A0C"/>
    <w:rsid w:val="004F5F16"/>
    <w:rsid w:val="004F7546"/>
    <w:rsid w:val="00523D0D"/>
    <w:rsid w:val="0053233C"/>
    <w:rsid w:val="00541DC1"/>
    <w:rsid w:val="005423CF"/>
    <w:rsid w:val="00543270"/>
    <w:rsid w:val="005458A7"/>
    <w:rsid w:val="00547FF4"/>
    <w:rsid w:val="0055079B"/>
    <w:rsid w:val="0055121C"/>
    <w:rsid w:val="00553B51"/>
    <w:rsid w:val="0055444C"/>
    <w:rsid w:val="005669D6"/>
    <w:rsid w:val="00581D3C"/>
    <w:rsid w:val="005B37CB"/>
    <w:rsid w:val="005B772F"/>
    <w:rsid w:val="005E0AFD"/>
    <w:rsid w:val="0061343A"/>
    <w:rsid w:val="00641F35"/>
    <w:rsid w:val="006525DC"/>
    <w:rsid w:val="006564C7"/>
    <w:rsid w:val="00656C68"/>
    <w:rsid w:val="006600E8"/>
    <w:rsid w:val="006779B3"/>
    <w:rsid w:val="0068011A"/>
    <w:rsid w:val="006C39C0"/>
    <w:rsid w:val="006D401A"/>
    <w:rsid w:val="006D5545"/>
    <w:rsid w:val="006D63C5"/>
    <w:rsid w:val="006E5771"/>
    <w:rsid w:val="006E5A5E"/>
    <w:rsid w:val="00705D6C"/>
    <w:rsid w:val="00710971"/>
    <w:rsid w:val="00712F9A"/>
    <w:rsid w:val="0073665F"/>
    <w:rsid w:val="00743705"/>
    <w:rsid w:val="00751C81"/>
    <w:rsid w:val="007547C5"/>
    <w:rsid w:val="007553E7"/>
    <w:rsid w:val="00764BAA"/>
    <w:rsid w:val="007B02EF"/>
    <w:rsid w:val="007C199C"/>
    <w:rsid w:val="007C4420"/>
    <w:rsid w:val="007C5847"/>
    <w:rsid w:val="007C68E9"/>
    <w:rsid w:val="007D13A7"/>
    <w:rsid w:val="007E11A7"/>
    <w:rsid w:val="007E151E"/>
    <w:rsid w:val="007E259D"/>
    <w:rsid w:val="007E2BCB"/>
    <w:rsid w:val="00801C73"/>
    <w:rsid w:val="008119FC"/>
    <w:rsid w:val="00821DA2"/>
    <w:rsid w:val="00822CCF"/>
    <w:rsid w:val="00826550"/>
    <w:rsid w:val="0084029A"/>
    <w:rsid w:val="00863A31"/>
    <w:rsid w:val="008708C2"/>
    <w:rsid w:val="00870CF9"/>
    <w:rsid w:val="008723B3"/>
    <w:rsid w:val="00874DFE"/>
    <w:rsid w:val="00877A82"/>
    <w:rsid w:val="00882915"/>
    <w:rsid w:val="0088760D"/>
    <w:rsid w:val="00893341"/>
    <w:rsid w:val="008A1904"/>
    <w:rsid w:val="008B0496"/>
    <w:rsid w:val="008C03F6"/>
    <w:rsid w:val="008C216A"/>
    <w:rsid w:val="008D43FB"/>
    <w:rsid w:val="008E1172"/>
    <w:rsid w:val="009043ED"/>
    <w:rsid w:val="009204E2"/>
    <w:rsid w:val="00920550"/>
    <w:rsid w:val="00927DE3"/>
    <w:rsid w:val="00931986"/>
    <w:rsid w:val="00932820"/>
    <w:rsid w:val="009366F2"/>
    <w:rsid w:val="009450DC"/>
    <w:rsid w:val="009504F6"/>
    <w:rsid w:val="0096353A"/>
    <w:rsid w:val="009679C3"/>
    <w:rsid w:val="00982091"/>
    <w:rsid w:val="009943C6"/>
    <w:rsid w:val="009A48DB"/>
    <w:rsid w:val="009A4F59"/>
    <w:rsid w:val="009A66BA"/>
    <w:rsid w:val="009B28D9"/>
    <w:rsid w:val="009B6D8B"/>
    <w:rsid w:val="009C4BB1"/>
    <w:rsid w:val="009D407C"/>
    <w:rsid w:val="009F1C91"/>
    <w:rsid w:val="009F3563"/>
    <w:rsid w:val="00A14051"/>
    <w:rsid w:val="00A257A6"/>
    <w:rsid w:val="00A328CA"/>
    <w:rsid w:val="00A32D3E"/>
    <w:rsid w:val="00A4706B"/>
    <w:rsid w:val="00A513D6"/>
    <w:rsid w:val="00A654D5"/>
    <w:rsid w:val="00A820E4"/>
    <w:rsid w:val="00A82666"/>
    <w:rsid w:val="00A879C5"/>
    <w:rsid w:val="00A938E1"/>
    <w:rsid w:val="00A95FD3"/>
    <w:rsid w:val="00A96E0B"/>
    <w:rsid w:val="00AA3F52"/>
    <w:rsid w:val="00AA5A32"/>
    <w:rsid w:val="00AA6689"/>
    <w:rsid w:val="00AB3C61"/>
    <w:rsid w:val="00AB6598"/>
    <w:rsid w:val="00AC4B45"/>
    <w:rsid w:val="00AC7038"/>
    <w:rsid w:val="00AF419D"/>
    <w:rsid w:val="00B006AC"/>
    <w:rsid w:val="00B02B8F"/>
    <w:rsid w:val="00B433DA"/>
    <w:rsid w:val="00B732CA"/>
    <w:rsid w:val="00B80191"/>
    <w:rsid w:val="00B84CB6"/>
    <w:rsid w:val="00B915AA"/>
    <w:rsid w:val="00B919BE"/>
    <w:rsid w:val="00B965A8"/>
    <w:rsid w:val="00BA44CB"/>
    <w:rsid w:val="00BC7A5B"/>
    <w:rsid w:val="00BD0E91"/>
    <w:rsid w:val="00BD1FC4"/>
    <w:rsid w:val="00BD25F1"/>
    <w:rsid w:val="00BD3CFF"/>
    <w:rsid w:val="00BE2257"/>
    <w:rsid w:val="00BF7492"/>
    <w:rsid w:val="00C070D6"/>
    <w:rsid w:val="00C105E6"/>
    <w:rsid w:val="00C13A70"/>
    <w:rsid w:val="00C16044"/>
    <w:rsid w:val="00C22526"/>
    <w:rsid w:val="00C25DA2"/>
    <w:rsid w:val="00C4351F"/>
    <w:rsid w:val="00C4631A"/>
    <w:rsid w:val="00C52E90"/>
    <w:rsid w:val="00C750C6"/>
    <w:rsid w:val="00C846B7"/>
    <w:rsid w:val="00CA12D6"/>
    <w:rsid w:val="00CB5949"/>
    <w:rsid w:val="00CC43AD"/>
    <w:rsid w:val="00D0296B"/>
    <w:rsid w:val="00D04346"/>
    <w:rsid w:val="00D104B6"/>
    <w:rsid w:val="00D11876"/>
    <w:rsid w:val="00D12F6D"/>
    <w:rsid w:val="00D32FFA"/>
    <w:rsid w:val="00D3510B"/>
    <w:rsid w:val="00D437FE"/>
    <w:rsid w:val="00D577DC"/>
    <w:rsid w:val="00D62BC7"/>
    <w:rsid w:val="00D779A8"/>
    <w:rsid w:val="00D81BBA"/>
    <w:rsid w:val="00D82521"/>
    <w:rsid w:val="00D837B4"/>
    <w:rsid w:val="00DA3006"/>
    <w:rsid w:val="00DB02A2"/>
    <w:rsid w:val="00DD46F9"/>
    <w:rsid w:val="00DD75A8"/>
    <w:rsid w:val="00DE6433"/>
    <w:rsid w:val="00E13BFF"/>
    <w:rsid w:val="00E3397A"/>
    <w:rsid w:val="00E513A6"/>
    <w:rsid w:val="00E76BF6"/>
    <w:rsid w:val="00E95F17"/>
    <w:rsid w:val="00E965F0"/>
    <w:rsid w:val="00EA4045"/>
    <w:rsid w:val="00EA5ACA"/>
    <w:rsid w:val="00EB0EF0"/>
    <w:rsid w:val="00EB5131"/>
    <w:rsid w:val="00EC025C"/>
    <w:rsid w:val="00EC26AE"/>
    <w:rsid w:val="00EC28F9"/>
    <w:rsid w:val="00EC35CC"/>
    <w:rsid w:val="00ED263A"/>
    <w:rsid w:val="00F134DD"/>
    <w:rsid w:val="00F2188E"/>
    <w:rsid w:val="00F232FC"/>
    <w:rsid w:val="00F3522F"/>
    <w:rsid w:val="00F43C03"/>
    <w:rsid w:val="00F54756"/>
    <w:rsid w:val="00F64487"/>
    <w:rsid w:val="00F65165"/>
    <w:rsid w:val="00F66BB8"/>
    <w:rsid w:val="00F71F25"/>
    <w:rsid w:val="00F753D0"/>
    <w:rsid w:val="00F76507"/>
    <w:rsid w:val="00F87FD9"/>
    <w:rsid w:val="00FC0440"/>
    <w:rsid w:val="00FC09C1"/>
    <w:rsid w:val="00FC1342"/>
    <w:rsid w:val="00FD1075"/>
    <w:rsid w:val="00FE2801"/>
    <w:rsid w:val="00FF1289"/>
    <w:rsid w:val="00FF5CF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E0E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43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265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1807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807B0"/>
    <w:rPr>
      <w:rFonts w:ascii="Times New Roman" w:eastAsia="Times New Roman" w:hAnsi="Times New Roman" w:cs="Times New Roman"/>
      <w:b/>
      <w:bCs/>
      <w:sz w:val="27"/>
      <w:szCs w:val="27"/>
    </w:rPr>
  </w:style>
  <w:style w:type="paragraph" w:customStyle="1" w:styleId="font-claude-response-body">
    <w:name w:val="font-claude-response-body"/>
    <w:basedOn w:val="a"/>
    <w:rsid w:val="001807B0"/>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807B0"/>
    <w:rPr>
      <w:b/>
      <w:bCs/>
    </w:rPr>
  </w:style>
  <w:style w:type="character" w:styleId="a4">
    <w:name w:val="Emphasis"/>
    <w:basedOn w:val="a0"/>
    <w:uiPriority w:val="20"/>
    <w:qFormat/>
    <w:rsid w:val="001807B0"/>
    <w:rPr>
      <w:i/>
      <w:iCs/>
    </w:rPr>
  </w:style>
  <w:style w:type="character" w:customStyle="1" w:styleId="20">
    <w:name w:val="Заголовок 2 Знак"/>
    <w:basedOn w:val="a0"/>
    <w:link w:val="2"/>
    <w:uiPriority w:val="9"/>
    <w:rsid w:val="00826550"/>
    <w:rPr>
      <w:rFonts w:asciiTheme="majorHAnsi" w:eastAsiaTheme="majorEastAsia" w:hAnsiTheme="majorHAnsi" w:cstheme="majorBidi"/>
      <w:color w:val="2E74B5" w:themeColor="accent1" w:themeShade="BF"/>
      <w:sz w:val="26"/>
      <w:szCs w:val="26"/>
    </w:rPr>
  </w:style>
  <w:style w:type="character" w:styleId="a5">
    <w:name w:val="footnote reference"/>
    <w:uiPriority w:val="99"/>
    <w:semiHidden/>
    <w:unhideWhenUsed/>
    <w:rsid w:val="00DD46F9"/>
    <w:rPr>
      <w:vertAlign w:val="superscript"/>
    </w:rPr>
  </w:style>
  <w:style w:type="character" w:styleId="a6">
    <w:name w:val="Hyperlink"/>
    <w:basedOn w:val="a0"/>
    <w:uiPriority w:val="99"/>
    <w:unhideWhenUsed/>
    <w:rsid w:val="00FC0440"/>
    <w:rPr>
      <w:color w:val="0000FF"/>
      <w:u w:val="single"/>
    </w:rPr>
  </w:style>
  <w:style w:type="paragraph" w:styleId="a7">
    <w:name w:val="Normal (Web)"/>
    <w:basedOn w:val="a"/>
    <w:uiPriority w:val="99"/>
    <w:unhideWhenUsed/>
    <w:rsid w:val="0047567A"/>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footnote text"/>
    <w:basedOn w:val="a"/>
    <w:link w:val="a9"/>
    <w:uiPriority w:val="99"/>
    <w:semiHidden/>
    <w:unhideWhenUsed/>
    <w:rsid w:val="008723B3"/>
    <w:pPr>
      <w:spacing w:after="0" w:line="240" w:lineRule="auto"/>
    </w:pPr>
    <w:rPr>
      <w:sz w:val="20"/>
      <w:szCs w:val="20"/>
    </w:rPr>
  </w:style>
  <w:style w:type="character" w:customStyle="1" w:styleId="a9">
    <w:name w:val="Текст сноски Знак"/>
    <w:basedOn w:val="a0"/>
    <w:link w:val="a8"/>
    <w:uiPriority w:val="99"/>
    <w:semiHidden/>
    <w:rsid w:val="008723B3"/>
    <w:rPr>
      <w:sz w:val="20"/>
      <w:szCs w:val="20"/>
    </w:rPr>
  </w:style>
  <w:style w:type="character" w:customStyle="1" w:styleId="10">
    <w:name w:val="Заголовок 1 Знак"/>
    <w:basedOn w:val="a0"/>
    <w:link w:val="1"/>
    <w:uiPriority w:val="9"/>
    <w:rsid w:val="00F43C03"/>
    <w:rPr>
      <w:rFonts w:asciiTheme="majorHAnsi" w:eastAsiaTheme="majorEastAsia" w:hAnsiTheme="majorHAnsi" w:cstheme="majorBidi"/>
      <w:color w:val="2E74B5" w:themeColor="accent1" w:themeShade="BF"/>
      <w:sz w:val="32"/>
      <w:szCs w:val="32"/>
    </w:rPr>
  </w:style>
  <w:style w:type="character" w:styleId="HTML">
    <w:name w:val="HTML Code"/>
    <w:basedOn w:val="a0"/>
    <w:uiPriority w:val="99"/>
    <w:semiHidden/>
    <w:unhideWhenUsed/>
    <w:rsid w:val="00821DA2"/>
    <w:rPr>
      <w:rFonts w:ascii="Courier New" w:eastAsia="Times New Roman" w:hAnsi="Courier New" w:cs="Courier New"/>
      <w:sz w:val="20"/>
      <w:szCs w:val="20"/>
    </w:rPr>
  </w:style>
  <w:style w:type="character" w:styleId="aa">
    <w:name w:val="FollowedHyperlink"/>
    <w:basedOn w:val="a0"/>
    <w:uiPriority w:val="99"/>
    <w:semiHidden/>
    <w:unhideWhenUsed/>
    <w:rsid w:val="00C105E6"/>
    <w:rPr>
      <w:color w:val="954F72" w:themeColor="followedHyperlink"/>
      <w:u w:val="single"/>
    </w:rPr>
  </w:style>
  <w:style w:type="paragraph" w:styleId="ab">
    <w:name w:val="endnote text"/>
    <w:basedOn w:val="a"/>
    <w:link w:val="ac"/>
    <w:uiPriority w:val="99"/>
    <w:semiHidden/>
    <w:unhideWhenUsed/>
    <w:rsid w:val="00414AB4"/>
    <w:pPr>
      <w:spacing w:after="0" w:line="240" w:lineRule="auto"/>
    </w:pPr>
    <w:rPr>
      <w:sz w:val="20"/>
      <w:szCs w:val="20"/>
    </w:rPr>
  </w:style>
  <w:style w:type="character" w:customStyle="1" w:styleId="ac">
    <w:name w:val="Текст концевой сноски Знак"/>
    <w:basedOn w:val="a0"/>
    <w:link w:val="ab"/>
    <w:uiPriority w:val="99"/>
    <w:semiHidden/>
    <w:rsid w:val="00414AB4"/>
    <w:rPr>
      <w:sz w:val="20"/>
      <w:szCs w:val="20"/>
    </w:rPr>
  </w:style>
  <w:style w:type="character" w:styleId="ad">
    <w:name w:val="endnote reference"/>
    <w:basedOn w:val="a0"/>
    <w:uiPriority w:val="99"/>
    <w:semiHidden/>
    <w:unhideWhenUsed/>
    <w:rsid w:val="00414AB4"/>
    <w:rPr>
      <w:vertAlign w:val="superscript"/>
    </w:rPr>
  </w:style>
  <w:style w:type="paragraph" w:styleId="ae">
    <w:name w:val="List Paragraph"/>
    <w:basedOn w:val="a"/>
    <w:uiPriority w:val="34"/>
    <w:qFormat/>
    <w:rsid w:val="00FC1342"/>
    <w:pPr>
      <w:ind w:left="720"/>
      <w:contextualSpacing/>
    </w:pPr>
  </w:style>
  <w:style w:type="paragraph" w:styleId="11">
    <w:name w:val="toc 1"/>
    <w:basedOn w:val="a"/>
    <w:uiPriority w:val="39"/>
    <w:qFormat/>
    <w:rsid w:val="007E2BCB"/>
    <w:pPr>
      <w:widowControl w:val="0"/>
      <w:autoSpaceDE w:val="0"/>
      <w:autoSpaceDN w:val="0"/>
      <w:spacing w:before="122" w:after="0" w:line="240" w:lineRule="auto"/>
      <w:ind w:left="426"/>
    </w:pPr>
    <w:rPr>
      <w:rFonts w:ascii="Times New Roman" w:eastAsia="Times New Roman" w:hAnsi="Times New Roman" w:cs="Times New Roman"/>
      <w:b/>
      <w:bCs/>
      <w:sz w:val="28"/>
      <w:szCs w:val="28"/>
      <w:lang w:val="ru-RU"/>
    </w:rPr>
  </w:style>
  <w:style w:type="paragraph" w:styleId="21">
    <w:name w:val="toc 2"/>
    <w:basedOn w:val="a"/>
    <w:uiPriority w:val="39"/>
    <w:qFormat/>
    <w:rsid w:val="007E2BCB"/>
    <w:pPr>
      <w:widowControl w:val="0"/>
      <w:autoSpaceDE w:val="0"/>
      <w:autoSpaceDN w:val="0"/>
      <w:spacing w:before="117" w:after="0" w:line="240" w:lineRule="auto"/>
      <w:ind w:left="786" w:right="466"/>
    </w:pPr>
    <w:rPr>
      <w:rFonts w:ascii="Times New Roman" w:eastAsia="Times New Roman" w:hAnsi="Times New Roman" w:cs="Times New Roman"/>
      <w:sz w:val="28"/>
      <w:szCs w:val="28"/>
      <w:lang w:val="ru-RU"/>
    </w:rPr>
  </w:style>
  <w:style w:type="paragraph" w:styleId="31">
    <w:name w:val="toc 3"/>
    <w:basedOn w:val="a"/>
    <w:next w:val="a"/>
    <w:autoRedefine/>
    <w:uiPriority w:val="39"/>
    <w:unhideWhenUsed/>
    <w:rsid w:val="00982091"/>
    <w:pPr>
      <w:spacing w:after="100"/>
      <w:ind w:left="440"/>
    </w:pPr>
  </w:style>
  <w:style w:type="paragraph" w:styleId="af">
    <w:name w:val="TOC Heading"/>
    <w:basedOn w:val="1"/>
    <w:next w:val="a"/>
    <w:uiPriority w:val="39"/>
    <w:unhideWhenUsed/>
    <w:qFormat/>
    <w:rsid w:val="00982091"/>
    <w:pPr>
      <w:outlineLvl w:val="9"/>
    </w:pPr>
  </w:style>
  <w:style w:type="paragraph" w:styleId="af0">
    <w:name w:val="header"/>
    <w:basedOn w:val="a"/>
    <w:link w:val="af1"/>
    <w:uiPriority w:val="99"/>
    <w:unhideWhenUsed/>
    <w:rsid w:val="00411251"/>
    <w:pPr>
      <w:tabs>
        <w:tab w:val="center" w:pos="4844"/>
        <w:tab w:val="right" w:pos="9689"/>
      </w:tabs>
      <w:spacing w:after="0" w:line="240" w:lineRule="auto"/>
    </w:pPr>
  </w:style>
  <w:style w:type="character" w:customStyle="1" w:styleId="af1">
    <w:name w:val="Верхний колонтитул Знак"/>
    <w:basedOn w:val="a0"/>
    <w:link w:val="af0"/>
    <w:uiPriority w:val="99"/>
    <w:rsid w:val="00411251"/>
  </w:style>
  <w:style w:type="paragraph" w:styleId="af2">
    <w:name w:val="footer"/>
    <w:basedOn w:val="a"/>
    <w:link w:val="af3"/>
    <w:uiPriority w:val="99"/>
    <w:unhideWhenUsed/>
    <w:rsid w:val="00411251"/>
    <w:pPr>
      <w:tabs>
        <w:tab w:val="center" w:pos="4844"/>
        <w:tab w:val="right" w:pos="9689"/>
      </w:tabs>
      <w:spacing w:after="0" w:line="240" w:lineRule="auto"/>
    </w:pPr>
  </w:style>
  <w:style w:type="character" w:customStyle="1" w:styleId="af3">
    <w:name w:val="Нижний колонтитул Знак"/>
    <w:basedOn w:val="a0"/>
    <w:link w:val="af2"/>
    <w:uiPriority w:val="99"/>
    <w:rsid w:val="00411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5939">
      <w:bodyDiv w:val="1"/>
      <w:marLeft w:val="0"/>
      <w:marRight w:val="0"/>
      <w:marTop w:val="0"/>
      <w:marBottom w:val="0"/>
      <w:divBdr>
        <w:top w:val="none" w:sz="0" w:space="0" w:color="auto"/>
        <w:left w:val="none" w:sz="0" w:space="0" w:color="auto"/>
        <w:bottom w:val="none" w:sz="0" w:space="0" w:color="auto"/>
        <w:right w:val="none" w:sz="0" w:space="0" w:color="auto"/>
      </w:divBdr>
    </w:div>
    <w:div w:id="20322800">
      <w:bodyDiv w:val="1"/>
      <w:marLeft w:val="0"/>
      <w:marRight w:val="0"/>
      <w:marTop w:val="0"/>
      <w:marBottom w:val="0"/>
      <w:divBdr>
        <w:top w:val="none" w:sz="0" w:space="0" w:color="auto"/>
        <w:left w:val="none" w:sz="0" w:space="0" w:color="auto"/>
        <w:bottom w:val="none" w:sz="0" w:space="0" w:color="auto"/>
        <w:right w:val="none" w:sz="0" w:space="0" w:color="auto"/>
      </w:divBdr>
    </w:div>
    <w:div w:id="60174864">
      <w:bodyDiv w:val="1"/>
      <w:marLeft w:val="0"/>
      <w:marRight w:val="0"/>
      <w:marTop w:val="0"/>
      <w:marBottom w:val="0"/>
      <w:divBdr>
        <w:top w:val="none" w:sz="0" w:space="0" w:color="auto"/>
        <w:left w:val="none" w:sz="0" w:space="0" w:color="auto"/>
        <w:bottom w:val="none" w:sz="0" w:space="0" w:color="auto"/>
        <w:right w:val="none" w:sz="0" w:space="0" w:color="auto"/>
      </w:divBdr>
    </w:div>
    <w:div w:id="96415170">
      <w:bodyDiv w:val="1"/>
      <w:marLeft w:val="0"/>
      <w:marRight w:val="0"/>
      <w:marTop w:val="0"/>
      <w:marBottom w:val="0"/>
      <w:divBdr>
        <w:top w:val="none" w:sz="0" w:space="0" w:color="auto"/>
        <w:left w:val="none" w:sz="0" w:space="0" w:color="auto"/>
        <w:bottom w:val="none" w:sz="0" w:space="0" w:color="auto"/>
        <w:right w:val="none" w:sz="0" w:space="0" w:color="auto"/>
      </w:divBdr>
    </w:div>
    <w:div w:id="209344165">
      <w:bodyDiv w:val="1"/>
      <w:marLeft w:val="0"/>
      <w:marRight w:val="0"/>
      <w:marTop w:val="0"/>
      <w:marBottom w:val="0"/>
      <w:divBdr>
        <w:top w:val="none" w:sz="0" w:space="0" w:color="auto"/>
        <w:left w:val="none" w:sz="0" w:space="0" w:color="auto"/>
        <w:bottom w:val="none" w:sz="0" w:space="0" w:color="auto"/>
        <w:right w:val="none" w:sz="0" w:space="0" w:color="auto"/>
      </w:divBdr>
    </w:div>
    <w:div w:id="238952750">
      <w:bodyDiv w:val="1"/>
      <w:marLeft w:val="0"/>
      <w:marRight w:val="0"/>
      <w:marTop w:val="0"/>
      <w:marBottom w:val="0"/>
      <w:divBdr>
        <w:top w:val="none" w:sz="0" w:space="0" w:color="auto"/>
        <w:left w:val="none" w:sz="0" w:space="0" w:color="auto"/>
        <w:bottom w:val="none" w:sz="0" w:space="0" w:color="auto"/>
        <w:right w:val="none" w:sz="0" w:space="0" w:color="auto"/>
      </w:divBdr>
    </w:div>
    <w:div w:id="289821936">
      <w:bodyDiv w:val="1"/>
      <w:marLeft w:val="0"/>
      <w:marRight w:val="0"/>
      <w:marTop w:val="0"/>
      <w:marBottom w:val="0"/>
      <w:divBdr>
        <w:top w:val="none" w:sz="0" w:space="0" w:color="auto"/>
        <w:left w:val="none" w:sz="0" w:space="0" w:color="auto"/>
        <w:bottom w:val="none" w:sz="0" w:space="0" w:color="auto"/>
        <w:right w:val="none" w:sz="0" w:space="0" w:color="auto"/>
      </w:divBdr>
    </w:div>
    <w:div w:id="359401963">
      <w:bodyDiv w:val="1"/>
      <w:marLeft w:val="0"/>
      <w:marRight w:val="0"/>
      <w:marTop w:val="0"/>
      <w:marBottom w:val="0"/>
      <w:divBdr>
        <w:top w:val="none" w:sz="0" w:space="0" w:color="auto"/>
        <w:left w:val="none" w:sz="0" w:space="0" w:color="auto"/>
        <w:bottom w:val="none" w:sz="0" w:space="0" w:color="auto"/>
        <w:right w:val="none" w:sz="0" w:space="0" w:color="auto"/>
      </w:divBdr>
    </w:div>
    <w:div w:id="368146113">
      <w:bodyDiv w:val="1"/>
      <w:marLeft w:val="0"/>
      <w:marRight w:val="0"/>
      <w:marTop w:val="0"/>
      <w:marBottom w:val="0"/>
      <w:divBdr>
        <w:top w:val="none" w:sz="0" w:space="0" w:color="auto"/>
        <w:left w:val="none" w:sz="0" w:space="0" w:color="auto"/>
        <w:bottom w:val="none" w:sz="0" w:space="0" w:color="auto"/>
        <w:right w:val="none" w:sz="0" w:space="0" w:color="auto"/>
      </w:divBdr>
    </w:div>
    <w:div w:id="396633738">
      <w:bodyDiv w:val="1"/>
      <w:marLeft w:val="0"/>
      <w:marRight w:val="0"/>
      <w:marTop w:val="0"/>
      <w:marBottom w:val="0"/>
      <w:divBdr>
        <w:top w:val="none" w:sz="0" w:space="0" w:color="auto"/>
        <w:left w:val="none" w:sz="0" w:space="0" w:color="auto"/>
        <w:bottom w:val="none" w:sz="0" w:space="0" w:color="auto"/>
        <w:right w:val="none" w:sz="0" w:space="0" w:color="auto"/>
      </w:divBdr>
    </w:div>
    <w:div w:id="459157168">
      <w:bodyDiv w:val="1"/>
      <w:marLeft w:val="0"/>
      <w:marRight w:val="0"/>
      <w:marTop w:val="0"/>
      <w:marBottom w:val="0"/>
      <w:divBdr>
        <w:top w:val="none" w:sz="0" w:space="0" w:color="auto"/>
        <w:left w:val="none" w:sz="0" w:space="0" w:color="auto"/>
        <w:bottom w:val="none" w:sz="0" w:space="0" w:color="auto"/>
        <w:right w:val="none" w:sz="0" w:space="0" w:color="auto"/>
      </w:divBdr>
    </w:div>
    <w:div w:id="531453186">
      <w:bodyDiv w:val="1"/>
      <w:marLeft w:val="0"/>
      <w:marRight w:val="0"/>
      <w:marTop w:val="0"/>
      <w:marBottom w:val="0"/>
      <w:divBdr>
        <w:top w:val="none" w:sz="0" w:space="0" w:color="auto"/>
        <w:left w:val="none" w:sz="0" w:space="0" w:color="auto"/>
        <w:bottom w:val="none" w:sz="0" w:space="0" w:color="auto"/>
        <w:right w:val="none" w:sz="0" w:space="0" w:color="auto"/>
      </w:divBdr>
    </w:div>
    <w:div w:id="536357895">
      <w:bodyDiv w:val="1"/>
      <w:marLeft w:val="0"/>
      <w:marRight w:val="0"/>
      <w:marTop w:val="0"/>
      <w:marBottom w:val="0"/>
      <w:divBdr>
        <w:top w:val="none" w:sz="0" w:space="0" w:color="auto"/>
        <w:left w:val="none" w:sz="0" w:space="0" w:color="auto"/>
        <w:bottom w:val="none" w:sz="0" w:space="0" w:color="auto"/>
        <w:right w:val="none" w:sz="0" w:space="0" w:color="auto"/>
      </w:divBdr>
    </w:div>
    <w:div w:id="565191983">
      <w:bodyDiv w:val="1"/>
      <w:marLeft w:val="0"/>
      <w:marRight w:val="0"/>
      <w:marTop w:val="0"/>
      <w:marBottom w:val="0"/>
      <w:divBdr>
        <w:top w:val="none" w:sz="0" w:space="0" w:color="auto"/>
        <w:left w:val="none" w:sz="0" w:space="0" w:color="auto"/>
        <w:bottom w:val="none" w:sz="0" w:space="0" w:color="auto"/>
        <w:right w:val="none" w:sz="0" w:space="0" w:color="auto"/>
      </w:divBdr>
    </w:div>
    <w:div w:id="587230033">
      <w:bodyDiv w:val="1"/>
      <w:marLeft w:val="0"/>
      <w:marRight w:val="0"/>
      <w:marTop w:val="0"/>
      <w:marBottom w:val="0"/>
      <w:divBdr>
        <w:top w:val="none" w:sz="0" w:space="0" w:color="auto"/>
        <w:left w:val="none" w:sz="0" w:space="0" w:color="auto"/>
        <w:bottom w:val="none" w:sz="0" w:space="0" w:color="auto"/>
        <w:right w:val="none" w:sz="0" w:space="0" w:color="auto"/>
      </w:divBdr>
    </w:div>
    <w:div w:id="631910095">
      <w:bodyDiv w:val="1"/>
      <w:marLeft w:val="0"/>
      <w:marRight w:val="0"/>
      <w:marTop w:val="0"/>
      <w:marBottom w:val="0"/>
      <w:divBdr>
        <w:top w:val="none" w:sz="0" w:space="0" w:color="auto"/>
        <w:left w:val="none" w:sz="0" w:space="0" w:color="auto"/>
        <w:bottom w:val="none" w:sz="0" w:space="0" w:color="auto"/>
        <w:right w:val="none" w:sz="0" w:space="0" w:color="auto"/>
      </w:divBdr>
    </w:div>
    <w:div w:id="636649418">
      <w:bodyDiv w:val="1"/>
      <w:marLeft w:val="0"/>
      <w:marRight w:val="0"/>
      <w:marTop w:val="0"/>
      <w:marBottom w:val="0"/>
      <w:divBdr>
        <w:top w:val="none" w:sz="0" w:space="0" w:color="auto"/>
        <w:left w:val="none" w:sz="0" w:space="0" w:color="auto"/>
        <w:bottom w:val="none" w:sz="0" w:space="0" w:color="auto"/>
        <w:right w:val="none" w:sz="0" w:space="0" w:color="auto"/>
      </w:divBdr>
    </w:div>
    <w:div w:id="641740471">
      <w:bodyDiv w:val="1"/>
      <w:marLeft w:val="0"/>
      <w:marRight w:val="0"/>
      <w:marTop w:val="0"/>
      <w:marBottom w:val="0"/>
      <w:divBdr>
        <w:top w:val="none" w:sz="0" w:space="0" w:color="auto"/>
        <w:left w:val="none" w:sz="0" w:space="0" w:color="auto"/>
        <w:bottom w:val="none" w:sz="0" w:space="0" w:color="auto"/>
        <w:right w:val="none" w:sz="0" w:space="0" w:color="auto"/>
      </w:divBdr>
    </w:div>
    <w:div w:id="687103366">
      <w:bodyDiv w:val="1"/>
      <w:marLeft w:val="0"/>
      <w:marRight w:val="0"/>
      <w:marTop w:val="0"/>
      <w:marBottom w:val="0"/>
      <w:divBdr>
        <w:top w:val="none" w:sz="0" w:space="0" w:color="auto"/>
        <w:left w:val="none" w:sz="0" w:space="0" w:color="auto"/>
        <w:bottom w:val="none" w:sz="0" w:space="0" w:color="auto"/>
        <w:right w:val="none" w:sz="0" w:space="0" w:color="auto"/>
      </w:divBdr>
    </w:div>
    <w:div w:id="728769349">
      <w:bodyDiv w:val="1"/>
      <w:marLeft w:val="0"/>
      <w:marRight w:val="0"/>
      <w:marTop w:val="0"/>
      <w:marBottom w:val="0"/>
      <w:divBdr>
        <w:top w:val="none" w:sz="0" w:space="0" w:color="auto"/>
        <w:left w:val="none" w:sz="0" w:space="0" w:color="auto"/>
        <w:bottom w:val="none" w:sz="0" w:space="0" w:color="auto"/>
        <w:right w:val="none" w:sz="0" w:space="0" w:color="auto"/>
      </w:divBdr>
    </w:div>
    <w:div w:id="748387798">
      <w:bodyDiv w:val="1"/>
      <w:marLeft w:val="0"/>
      <w:marRight w:val="0"/>
      <w:marTop w:val="0"/>
      <w:marBottom w:val="0"/>
      <w:divBdr>
        <w:top w:val="none" w:sz="0" w:space="0" w:color="auto"/>
        <w:left w:val="none" w:sz="0" w:space="0" w:color="auto"/>
        <w:bottom w:val="none" w:sz="0" w:space="0" w:color="auto"/>
        <w:right w:val="none" w:sz="0" w:space="0" w:color="auto"/>
      </w:divBdr>
    </w:div>
    <w:div w:id="749037588">
      <w:bodyDiv w:val="1"/>
      <w:marLeft w:val="0"/>
      <w:marRight w:val="0"/>
      <w:marTop w:val="0"/>
      <w:marBottom w:val="0"/>
      <w:divBdr>
        <w:top w:val="none" w:sz="0" w:space="0" w:color="auto"/>
        <w:left w:val="none" w:sz="0" w:space="0" w:color="auto"/>
        <w:bottom w:val="none" w:sz="0" w:space="0" w:color="auto"/>
        <w:right w:val="none" w:sz="0" w:space="0" w:color="auto"/>
      </w:divBdr>
    </w:div>
    <w:div w:id="786197347">
      <w:bodyDiv w:val="1"/>
      <w:marLeft w:val="0"/>
      <w:marRight w:val="0"/>
      <w:marTop w:val="0"/>
      <w:marBottom w:val="0"/>
      <w:divBdr>
        <w:top w:val="none" w:sz="0" w:space="0" w:color="auto"/>
        <w:left w:val="none" w:sz="0" w:space="0" w:color="auto"/>
        <w:bottom w:val="none" w:sz="0" w:space="0" w:color="auto"/>
        <w:right w:val="none" w:sz="0" w:space="0" w:color="auto"/>
      </w:divBdr>
    </w:div>
    <w:div w:id="815415472">
      <w:bodyDiv w:val="1"/>
      <w:marLeft w:val="0"/>
      <w:marRight w:val="0"/>
      <w:marTop w:val="0"/>
      <w:marBottom w:val="0"/>
      <w:divBdr>
        <w:top w:val="none" w:sz="0" w:space="0" w:color="auto"/>
        <w:left w:val="none" w:sz="0" w:space="0" w:color="auto"/>
        <w:bottom w:val="none" w:sz="0" w:space="0" w:color="auto"/>
        <w:right w:val="none" w:sz="0" w:space="0" w:color="auto"/>
      </w:divBdr>
    </w:div>
    <w:div w:id="827593122">
      <w:bodyDiv w:val="1"/>
      <w:marLeft w:val="0"/>
      <w:marRight w:val="0"/>
      <w:marTop w:val="0"/>
      <w:marBottom w:val="0"/>
      <w:divBdr>
        <w:top w:val="none" w:sz="0" w:space="0" w:color="auto"/>
        <w:left w:val="none" w:sz="0" w:space="0" w:color="auto"/>
        <w:bottom w:val="none" w:sz="0" w:space="0" w:color="auto"/>
        <w:right w:val="none" w:sz="0" w:space="0" w:color="auto"/>
      </w:divBdr>
      <w:divsChild>
        <w:div w:id="1913391901">
          <w:marLeft w:val="0"/>
          <w:marRight w:val="0"/>
          <w:marTop w:val="0"/>
          <w:marBottom w:val="0"/>
          <w:divBdr>
            <w:top w:val="none" w:sz="0" w:space="0" w:color="auto"/>
            <w:left w:val="none" w:sz="0" w:space="0" w:color="auto"/>
            <w:bottom w:val="none" w:sz="0" w:space="0" w:color="auto"/>
            <w:right w:val="none" w:sz="0" w:space="0" w:color="auto"/>
          </w:divBdr>
        </w:div>
        <w:div w:id="1601572346">
          <w:marLeft w:val="0"/>
          <w:marRight w:val="0"/>
          <w:marTop w:val="0"/>
          <w:marBottom w:val="0"/>
          <w:divBdr>
            <w:top w:val="none" w:sz="0" w:space="0" w:color="auto"/>
            <w:left w:val="none" w:sz="0" w:space="0" w:color="auto"/>
            <w:bottom w:val="none" w:sz="0" w:space="0" w:color="auto"/>
            <w:right w:val="none" w:sz="0" w:space="0" w:color="auto"/>
          </w:divBdr>
        </w:div>
        <w:div w:id="1295908994">
          <w:marLeft w:val="0"/>
          <w:marRight w:val="0"/>
          <w:marTop w:val="240"/>
          <w:marBottom w:val="120"/>
          <w:divBdr>
            <w:top w:val="none" w:sz="0" w:space="0" w:color="auto"/>
            <w:left w:val="none" w:sz="0" w:space="0" w:color="auto"/>
            <w:bottom w:val="none" w:sz="0" w:space="0" w:color="auto"/>
            <w:right w:val="none" w:sz="0" w:space="0" w:color="auto"/>
          </w:divBdr>
          <w:divsChild>
            <w:div w:id="1036584095">
              <w:marLeft w:val="0"/>
              <w:marRight w:val="0"/>
              <w:marTop w:val="0"/>
              <w:marBottom w:val="0"/>
              <w:divBdr>
                <w:top w:val="none" w:sz="0" w:space="0" w:color="auto"/>
                <w:left w:val="none" w:sz="0" w:space="0" w:color="auto"/>
                <w:bottom w:val="none" w:sz="0" w:space="0" w:color="auto"/>
                <w:right w:val="none" w:sz="0" w:space="0" w:color="auto"/>
              </w:divBdr>
            </w:div>
          </w:divsChild>
        </w:div>
        <w:div w:id="1867937324">
          <w:marLeft w:val="0"/>
          <w:marRight w:val="0"/>
          <w:marTop w:val="0"/>
          <w:marBottom w:val="150"/>
          <w:divBdr>
            <w:top w:val="none" w:sz="0" w:space="0" w:color="auto"/>
            <w:left w:val="none" w:sz="0" w:space="0" w:color="auto"/>
            <w:bottom w:val="none" w:sz="0" w:space="0" w:color="auto"/>
            <w:right w:val="none" w:sz="0" w:space="0" w:color="auto"/>
          </w:divBdr>
          <w:divsChild>
            <w:div w:id="1898468377">
              <w:marLeft w:val="0"/>
              <w:marRight w:val="0"/>
              <w:marTop w:val="0"/>
              <w:marBottom w:val="0"/>
              <w:divBdr>
                <w:top w:val="none" w:sz="0" w:space="0" w:color="auto"/>
                <w:left w:val="none" w:sz="0" w:space="0" w:color="auto"/>
                <w:bottom w:val="none" w:sz="0" w:space="0" w:color="auto"/>
                <w:right w:val="none" w:sz="0" w:space="0" w:color="auto"/>
              </w:divBdr>
            </w:div>
          </w:divsChild>
        </w:div>
        <w:div w:id="583153075">
          <w:marLeft w:val="0"/>
          <w:marRight w:val="0"/>
          <w:marTop w:val="0"/>
          <w:marBottom w:val="150"/>
          <w:divBdr>
            <w:top w:val="none" w:sz="0" w:space="0" w:color="auto"/>
            <w:left w:val="none" w:sz="0" w:space="0" w:color="auto"/>
            <w:bottom w:val="none" w:sz="0" w:space="0" w:color="auto"/>
            <w:right w:val="none" w:sz="0" w:space="0" w:color="auto"/>
          </w:divBdr>
          <w:divsChild>
            <w:div w:id="8780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6206">
      <w:bodyDiv w:val="1"/>
      <w:marLeft w:val="0"/>
      <w:marRight w:val="0"/>
      <w:marTop w:val="0"/>
      <w:marBottom w:val="0"/>
      <w:divBdr>
        <w:top w:val="none" w:sz="0" w:space="0" w:color="auto"/>
        <w:left w:val="none" w:sz="0" w:space="0" w:color="auto"/>
        <w:bottom w:val="none" w:sz="0" w:space="0" w:color="auto"/>
        <w:right w:val="none" w:sz="0" w:space="0" w:color="auto"/>
      </w:divBdr>
    </w:div>
    <w:div w:id="1061489535">
      <w:bodyDiv w:val="1"/>
      <w:marLeft w:val="0"/>
      <w:marRight w:val="0"/>
      <w:marTop w:val="0"/>
      <w:marBottom w:val="0"/>
      <w:divBdr>
        <w:top w:val="none" w:sz="0" w:space="0" w:color="auto"/>
        <w:left w:val="none" w:sz="0" w:space="0" w:color="auto"/>
        <w:bottom w:val="none" w:sz="0" w:space="0" w:color="auto"/>
        <w:right w:val="none" w:sz="0" w:space="0" w:color="auto"/>
      </w:divBdr>
    </w:div>
    <w:div w:id="1085616844">
      <w:bodyDiv w:val="1"/>
      <w:marLeft w:val="0"/>
      <w:marRight w:val="0"/>
      <w:marTop w:val="0"/>
      <w:marBottom w:val="0"/>
      <w:divBdr>
        <w:top w:val="none" w:sz="0" w:space="0" w:color="auto"/>
        <w:left w:val="none" w:sz="0" w:space="0" w:color="auto"/>
        <w:bottom w:val="none" w:sz="0" w:space="0" w:color="auto"/>
        <w:right w:val="none" w:sz="0" w:space="0" w:color="auto"/>
      </w:divBdr>
    </w:div>
    <w:div w:id="1115639228">
      <w:bodyDiv w:val="1"/>
      <w:marLeft w:val="0"/>
      <w:marRight w:val="0"/>
      <w:marTop w:val="0"/>
      <w:marBottom w:val="0"/>
      <w:divBdr>
        <w:top w:val="none" w:sz="0" w:space="0" w:color="auto"/>
        <w:left w:val="none" w:sz="0" w:space="0" w:color="auto"/>
        <w:bottom w:val="none" w:sz="0" w:space="0" w:color="auto"/>
        <w:right w:val="none" w:sz="0" w:space="0" w:color="auto"/>
      </w:divBdr>
    </w:div>
    <w:div w:id="1155759293">
      <w:bodyDiv w:val="1"/>
      <w:marLeft w:val="0"/>
      <w:marRight w:val="0"/>
      <w:marTop w:val="0"/>
      <w:marBottom w:val="0"/>
      <w:divBdr>
        <w:top w:val="none" w:sz="0" w:space="0" w:color="auto"/>
        <w:left w:val="none" w:sz="0" w:space="0" w:color="auto"/>
        <w:bottom w:val="none" w:sz="0" w:space="0" w:color="auto"/>
        <w:right w:val="none" w:sz="0" w:space="0" w:color="auto"/>
      </w:divBdr>
    </w:div>
    <w:div w:id="1178159873">
      <w:bodyDiv w:val="1"/>
      <w:marLeft w:val="0"/>
      <w:marRight w:val="0"/>
      <w:marTop w:val="0"/>
      <w:marBottom w:val="0"/>
      <w:divBdr>
        <w:top w:val="none" w:sz="0" w:space="0" w:color="auto"/>
        <w:left w:val="none" w:sz="0" w:space="0" w:color="auto"/>
        <w:bottom w:val="none" w:sz="0" w:space="0" w:color="auto"/>
        <w:right w:val="none" w:sz="0" w:space="0" w:color="auto"/>
      </w:divBdr>
    </w:div>
    <w:div w:id="1196430060">
      <w:bodyDiv w:val="1"/>
      <w:marLeft w:val="0"/>
      <w:marRight w:val="0"/>
      <w:marTop w:val="0"/>
      <w:marBottom w:val="0"/>
      <w:divBdr>
        <w:top w:val="none" w:sz="0" w:space="0" w:color="auto"/>
        <w:left w:val="none" w:sz="0" w:space="0" w:color="auto"/>
        <w:bottom w:val="none" w:sz="0" w:space="0" w:color="auto"/>
        <w:right w:val="none" w:sz="0" w:space="0" w:color="auto"/>
      </w:divBdr>
    </w:div>
    <w:div w:id="1306471598">
      <w:bodyDiv w:val="1"/>
      <w:marLeft w:val="0"/>
      <w:marRight w:val="0"/>
      <w:marTop w:val="0"/>
      <w:marBottom w:val="0"/>
      <w:divBdr>
        <w:top w:val="none" w:sz="0" w:space="0" w:color="auto"/>
        <w:left w:val="none" w:sz="0" w:space="0" w:color="auto"/>
        <w:bottom w:val="none" w:sz="0" w:space="0" w:color="auto"/>
        <w:right w:val="none" w:sz="0" w:space="0" w:color="auto"/>
      </w:divBdr>
    </w:div>
    <w:div w:id="1394088323">
      <w:bodyDiv w:val="1"/>
      <w:marLeft w:val="0"/>
      <w:marRight w:val="0"/>
      <w:marTop w:val="0"/>
      <w:marBottom w:val="0"/>
      <w:divBdr>
        <w:top w:val="none" w:sz="0" w:space="0" w:color="auto"/>
        <w:left w:val="none" w:sz="0" w:space="0" w:color="auto"/>
        <w:bottom w:val="none" w:sz="0" w:space="0" w:color="auto"/>
        <w:right w:val="none" w:sz="0" w:space="0" w:color="auto"/>
      </w:divBdr>
    </w:div>
    <w:div w:id="1400401704">
      <w:bodyDiv w:val="1"/>
      <w:marLeft w:val="0"/>
      <w:marRight w:val="0"/>
      <w:marTop w:val="0"/>
      <w:marBottom w:val="0"/>
      <w:divBdr>
        <w:top w:val="none" w:sz="0" w:space="0" w:color="auto"/>
        <w:left w:val="none" w:sz="0" w:space="0" w:color="auto"/>
        <w:bottom w:val="none" w:sz="0" w:space="0" w:color="auto"/>
        <w:right w:val="none" w:sz="0" w:space="0" w:color="auto"/>
      </w:divBdr>
    </w:div>
    <w:div w:id="1419904362">
      <w:bodyDiv w:val="1"/>
      <w:marLeft w:val="0"/>
      <w:marRight w:val="0"/>
      <w:marTop w:val="0"/>
      <w:marBottom w:val="0"/>
      <w:divBdr>
        <w:top w:val="none" w:sz="0" w:space="0" w:color="auto"/>
        <w:left w:val="none" w:sz="0" w:space="0" w:color="auto"/>
        <w:bottom w:val="none" w:sz="0" w:space="0" w:color="auto"/>
        <w:right w:val="none" w:sz="0" w:space="0" w:color="auto"/>
      </w:divBdr>
    </w:div>
    <w:div w:id="1452439282">
      <w:bodyDiv w:val="1"/>
      <w:marLeft w:val="0"/>
      <w:marRight w:val="0"/>
      <w:marTop w:val="0"/>
      <w:marBottom w:val="0"/>
      <w:divBdr>
        <w:top w:val="none" w:sz="0" w:space="0" w:color="auto"/>
        <w:left w:val="none" w:sz="0" w:space="0" w:color="auto"/>
        <w:bottom w:val="none" w:sz="0" w:space="0" w:color="auto"/>
        <w:right w:val="none" w:sz="0" w:space="0" w:color="auto"/>
      </w:divBdr>
    </w:div>
    <w:div w:id="1460152093">
      <w:bodyDiv w:val="1"/>
      <w:marLeft w:val="0"/>
      <w:marRight w:val="0"/>
      <w:marTop w:val="0"/>
      <w:marBottom w:val="0"/>
      <w:divBdr>
        <w:top w:val="none" w:sz="0" w:space="0" w:color="auto"/>
        <w:left w:val="none" w:sz="0" w:space="0" w:color="auto"/>
        <w:bottom w:val="none" w:sz="0" w:space="0" w:color="auto"/>
        <w:right w:val="none" w:sz="0" w:space="0" w:color="auto"/>
      </w:divBdr>
    </w:div>
    <w:div w:id="1537043979">
      <w:bodyDiv w:val="1"/>
      <w:marLeft w:val="0"/>
      <w:marRight w:val="0"/>
      <w:marTop w:val="0"/>
      <w:marBottom w:val="0"/>
      <w:divBdr>
        <w:top w:val="none" w:sz="0" w:space="0" w:color="auto"/>
        <w:left w:val="none" w:sz="0" w:space="0" w:color="auto"/>
        <w:bottom w:val="none" w:sz="0" w:space="0" w:color="auto"/>
        <w:right w:val="none" w:sz="0" w:space="0" w:color="auto"/>
      </w:divBdr>
    </w:div>
    <w:div w:id="1542210955">
      <w:bodyDiv w:val="1"/>
      <w:marLeft w:val="0"/>
      <w:marRight w:val="0"/>
      <w:marTop w:val="0"/>
      <w:marBottom w:val="0"/>
      <w:divBdr>
        <w:top w:val="none" w:sz="0" w:space="0" w:color="auto"/>
        <w:left w:val="none" w:sz="0" w:space="0" w:color="auto"/>
        <w:bottom w:val="none" w:sz="0" w:space="0" w:color="auto"/>
        <w:right w:val="none" w:sz="0" w:space="0" w:color="auto"/>
      </w:divBdr>
    </w:div>
    <w:div w:id="1564027158">
      <w:bodyDiv w:val="1"/>
      <w:marLeft w:val="0"/>
      <w:marRight w:val="0"/>
      <w:marTop w:val="0"/>
      <w:marBottom w:val="0"/>
      <w:divBdr>
        <w:top w:val="none" w:sz="0" w:space="0" w:color="auto"/>
        <w:left w:val="none" w:sz="0" w:space="0" w:color="auto"/>
        <w:bottom w:val="none" w:sz="0" w:space="0" w:color="auto"/>
        <w:right w:val="none" w:sz="0" w:space="0" w:color="auto"/>
      </w:divBdr>
    </w:div>
    <w:div w:id="1579828308">
      <w:bodyDiv w:val="1"/>
      <w:marLeft w:val="0"/>
      <w:marRight w:val="0"/>
      <w:marTop w:val="0"/>
      <w:marBottom w:val="0"/>
      <w:divBdr>
        <w:top w:val="none" w:sz="0" w:space="0" w:color="auto"/>
        <w:left w:val="none" w:sz="0" w:space="0" w:color="auto"/>
        <w:bottom w:val="none" w:sz="0" w:space="0" w:color="auto"/>
        <w:right w:val="none" w:sz="0" w:space="0" w:color="auto"/>
      </w:divBdr>
    </w:div>
    <w:div w:id="1599682216">
      <w:bodyDiv w:val="1"/>
      <w:marLeft w:val="0"/>
      <w:marRight w:val="0"/>
      <w:marTop w:val="0"/>
      <w:marBottom w:val="0"/>
      <w:divBdr>
        <w:top w:val="none" w:sz="0" w:space="0" w:color="auto"/>
        <w:left w:val="none" w:sz="0" w:space="0" w:color="auto"/>
        <w:bottom w:val="none" w:sz="0" w:space="0" w:color="auto"/>
        <w:right w:val="none" w:sz="0" w:space="0" w:color="auto"/>
      </w:divBdr>
    </w:div>
    <w:div w:id="1652172145">
      <w:bodyDiv w:val="1"/>
      <w:marLeft w:val="0"/>
      <w:marRight w:val="0"/>
      <w:marTop w:val="0"/>
      <w:marBottom w:val="0"/>
      <w:divBdr>
        <w:top w:val="none" w:sz="0" w:space="0" w:color="auto"/>
        <w:left w:val="none" w:sz="0" w:space="0" w:color="auto"/>
        <w:bottom w:val="none" w:sz="0" w:space="0" w:color="auto"/>
        <w:right w:val="none" w:sz="0" w:space="0" w:color="auto"/>
      </w:divBdr>
    </w:div>
    <w:div w:id="1855995839">
      <w:bodyDiv w:val="1"/>
      <w:marLeft w:val="0"/>
      <w:marRight w:val="0"/>
      <w:marTop w:val="0"/>
      <w:marBottom w:val="0"/>
      <w:divBdr>
        <w:top w:val="none" w:sz="0" w:space="0" w:color="auto"/>
        <w:left w:val="none" w:sz="0" w:space="0" w:color="auto"/>
        <w:bottom w:val="none" w:sz="0" w:space="0" w:color="auto"/>
        <w:right w:val="none" w:sz="0" w:space="0" w:color="auto"/>
      </w:divBdr>
    </w:div>
    <w:div w:id="1889796744">
      <w:bodyDiv w:val="1"/>
      <w:marLeft w:val="0"/>
      <w:marRight w:val="0"/>
      <w:marTop w:val="0"/>
      <w:marBottom w:val="0"/>
      <w:divBdr>
        <w:top w:val="none" w:sz="0" w:space="0" w:color="auto"/>
        <w:left w:val="none" w:sz="0" w:space="0" w:color="auto"/>
        <w:bottom w:val="none" w:sz="0" w:space="0" w:color="auto"/>
        <w:right w:val="none" w:sz="0" w:space="0" w:color="auto"/>
      </w:divBdr>
    </w:div>
    <w:div w:id="1906069630">
      <w:bodyDiv w:val="1"/>
      <w:marLeft w:val="0"/>
      <w:marRight w:val="0"/>
      <w:marTop w:val="0"/>
      <w:marBottom w:val="0"/>
      <w:divBdr>
        <w:top w:val="none" w:sz="0" w:space="0" w:color="auto"/>
        <w:left w:val="none" w:sz="0" w:space="0" w:color="auto"/>
        <w:bottom w:val="none" w:sz="0" w:space="0" w:color="auto"/>
        <w:right w:val="none" w:sz="0" w:space="0" w:color="auto"/>
      </w:divBdr>
    </w:div>
    <w:div w:id="1936209403">
      <w:bodyDiv w:val="1"/>
      <w:marLeft w:val="0"/>
      <w:marRight w:val="0"/>
      <w:marTop w:val="0"/>
      <w:marBottom w:val="0"/>
      <w:divBdr>
        <w:top w:val="none" w:sz="0" w:space="0" w:color="auto"/>
        <w:left w:val="none" w:sz="0" w:space="0" w:color="auto"/>
        <w:bottom w:val="none" w:sz="0" w:space="0" w:color="auto"/>
        <w:right w:val="none" w:sz="0" w:space="0" w:color="auto"/>
      </w:divBdr>
    </w:div>
    <w:div w:id="1961918372">
      <w:bodyDiv w:val="1"/>
      <w:marLeft w:val="0"/>
      <w:marRight w:val="0"/>
      <w:marTop w:val="0"/>
      <w:marBottom w:val="0"/>
      <w:divBdr>
        <w:top w:val="none" w:sz="0" w:space="0" w:color="auto"/>
        <w:left w:val="none" w:sz="0" w:space="0" w:color="auto"/>
        <w:bottom w:val="none" w:sz="0" w:space="0" w:color="auto"/>
        <w:right w:val="none" w:sz="0" w:space="0" w:color="auto"/>
      </w:divBdr>
    </w:div>
    <w:div w:id="201957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15161</Words>
  <Characters>86418</Characters>
  <Application>Microsoft Office Word</Application>
  <DocSecurity>0</DocSecurity>
  <Lines>720</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2026-06-03T10:49:00Z</dcterms:created>
  <dcterms:modified xsi:type="dcterms:W3CDTF">2026-06-04T13:39:00Z</dcterms:modified>
</cp:coreProperties>
</file>