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E068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Три волны глобальных кризисов - 2008-2009, 2020-2021 и 2022 годов - обнажили одну устойчивую закономерность: одинаковый по силе внешний удар даёт разные траектории восстановления даже у стран со схожим уровнем развития. Фискальные и монетарные инструменты объясняют многое, но явно не всё. ((Так, по оценкам Организации экономического сотрудничества и развития, страны ОЭСР, столкнувшиеся с банковским кризисом в 2008-2009 годах, восстанавливались в среднем около 12 кварталов, тогда как страны без банковского кризиса - около 4 кварталов.[^1])) Разрыв в три раза при сопоставимой макроэкономической политике - достаточно сильный аргумент в пользу того, что устойчивость экономики определяется не только реакцией на шок, но и тем, что было выстроено до него.</w:t>
      </w:r>
    </w:p>
    <w:p w14:paraId="6A139CE4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Цифровизация в контексте четвёртой промышленной революции всё чаще рассматривается как один из таких структурных факторов. ((Опыт пандемии COVID-19[^2] показал, что развитая цифровая инфраструктура, цифровое государство и онлайн-сервисы позволяют поддерживать непрерывность государственных функций, ускорять фискальную трансмиссию и смягчать падение деловой активности.)) Но называть эту связь изученной пока рано. Через какие конкретно механизмы цифровые технологии влияют на отдельные компоненты макроэкономической устойчивости - в литературе нет достаточно системного ответа.</w:t>
      </w:r>
    </w:p>
    <w:p w14:paraId="0D76CFFE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 xml:space="preserve">((Особую значимость данная проблематика приобретает для Республики Узбекистан, реализующей программу цифровой трансформации в рамках Стратегии «Цифровой Узбекистан - 2030».[^3])) Для национальной экономики здесь важно не просто перенять чужие решения, а разобраться, какие именно направления цифровизации реально работают на повышение устойчивости к внешним шокам. В отечественной литературе именно этот вопрос - связь между количественными показателями цифрового развития и траекториями восстановления в кризисный период 2020-2022 годов -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практически не проработан. Отсюда и научная, и практическая значимость темы.</w:t>
      </w:r>
    </w:p>
    <w:p w14:paraId="2215F733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Степень изученности проблемы.</w:t>
      </w:r>
      <w:r w:rsidRPr="0064064A">
        <w:rPr>
          <w:rFonts w:ascii="Times New Roman" w:hAnsi="Times New Roman" w:cs="Times New Roman"/>
          <w:sz w:val="28"/>
          <w:szCs w:val="28"/>
        </w:rPr>
        <w:t xml:space="preserve"> Теоретическая база экономической устойчивости во многом опирается на работы Л. Бригульо, Г. Кордины, Н. Фарругия и С. Веллы - там проводится принципиальное разграничение между структурной уязвимостью экономики и её способностью противостоять шокам. ((Эмпирические аспекты влияния макроэкономической политики на устойчивость представлены в исследованиях А. Кальдера-Санчес, О. Рёна, М. Хермансена[^4] и других авторов в рамках аналитической программы ОЭСР.)) Вопросы цифровой трансформации национальных экономик раскрываются в докладах ОЭСР, Всемирного банка и Европейской комиссии, а влияние цифровизации на поведение фирм в кризисных условиях - в работах М. Ойкономоу, Н. Пьерри и Й. Тиммера. Проблема в том, что оба направления - устойчивость и цифровизация - в большинстве работ существуют параллельно, не пересекаясь. Комплексного анализа каналов, через которые цифровые технологии воздействуют на макроэкономическую устойчивость именно в условиях глобальных кризисов, до сих пор недостаточно. Этот пробел и стал отправной точкой настоящей работы.</w:t>
      </w:r>
    </w:p>
    <w:p w14:paraId="21F93739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64064A">
        <w:rPr>
          <w:rFonts w:ascii="Times New Roman" w:hAnsi="Times New Roman" w:cs="Times New Roman"/>
          <w:sz w:val="28"/>
          <w:szCs w:val="28"/>
        </w:rPr>
        <w:t xml:space="preserve"> - процесс цифровой трансформации национальных экономик и формирование их устойчивости к глобальным экзогенным шокам.</w:t>
      </w:r>
    </w:p>
    <w:p w14:paraId="70C84A57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64064A">
        <w:rPr>
          <w:rFonts w:ascii="Times New Roman" w:hAnsi="Times New Roman" w:cs="Times New Roman"/>
          <w:sz w:val="28"/>
          <w:szCs w:val="28"/>
        </w:rPr>
        <w:t xml:space="preserve"> - механизмы и каналы воздействия цифровых технологий на макроэкономическую устойчивость национальных экономик в условиях глобальных кризисов 2020-2022 годов.</w:t>
      </w:r>
    </w:p>
    <w:p w14:paraId="4ED8D421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64064A">
        <w:rPr>
          <w:rFonts w:ascii="Times New Roman" w:hAnsi="Times New Roman" w:cs="Times New Roman"/>
          <w:sz w:val="28"/>
          <w:szCs w:val="28"/>
        </w:rPr>
        <w:t xml:space="preserve"> - выявить и эмпирически обосновать каналы влияния цифровизации на устойчивость национальных экономик к глобальным кризисам, а также разработать рекомендации по адаптации международного опыта цифровой трансформации к условиям Республики Узбекистан.</w:t>
      </w:r>
    </w:p>
    <w:p w14:paraId="6F4EDECF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 исследования.</w:t>
      </w:r>
      <w:r w:rsidRPr="0064064A">
        <w:rPr>
          <w:rFonts w:ascii="Times New Roman" w:hAnsi="Times New Roman" w:cs="Times New Roman"/>
          <w:sz w:val="28"/>
          <w:szCs w:val="28"/>
        </w:rPr>
        <w:t xml:space="preserve"> Для достижения поставленной цели необходимо решить следующие задачи:</w:t>
      </w:r>
    </w:p>
    <w:p w14:paraId="3FC6AFD3" w14:textId="77777777" w:rsidR="0064064A" w:rsidRPr="0064064A" w:rsidRDefault="0064064A" w:rsidP="0064064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Раскрыть теоретико-методологические основы цифровизации экономики, выделить её основные направления и систематизировать каналы воздействия на макроэкономическую устойчивость.</w:t>
      </w:r>
    </w:p>
    <w:p w14:paraId="4453F89C" w14:textId="77777777" w:rsidR="0064064A" w:rsidRPr="0064064A" w:rsidRDefault="0064064A" w:rsidP="0064064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Проанализировать теоретические подходы к категории устойчивости национальных экономик к экзогенным шокам и определить её ключевые компоненты.</w:t>
      </w:r>
    </w:p>
    <w:p w14:paraId="64755309" w14:textId="77777777" w:rsidR="0064064A" w:rsidRPr="0064064A" w:rsidRDefault="0064064A" w:rsidP="0064064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Провести сравнительный анализ моделей цифровой трансформации Эстонии, Республики Корея, Сингапура и Польши и оценить их реакцию на глобальные кризисы 2020-2022 годов в контексте уровня цифровой зрелости.</w:t>
      </w:r>
    </w:p>
    <w:p w14:paraId="03FF5C5C" w14:textId="77777777" w:rsidR="0064064A" w:rsidRPr="0064064A" w:rsidRDefault="0064064A" w:rsidP="0064064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Построить эконометрическую модель на основе панельных данных, позволяющую оценить связь между показателями цифровизации и индикаторами устойчивости национальных экономик, и интерпретировать полученные результаты.</w:t>
      </w:r>
    </w:p>
    <w:p w14:paraId="7686F1F6" w14:textId="77777777" w:rsidR="0064064A" w:rsidRPr="0064064A" w:rsidRDefault="0064064A" w:rsidP="0064064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Оценить современное состояние цифровой трансформации экономики Узбекистана в рамках Стратегии «Цифровой Узбекистан - 2030» и определить возможности адаптации международного опыта.</w:t>
      </w:r>
    </w:p>
    <w:p w14:paraId="31FD6194" w14:textId="77777777" w:rsidR="0064064A" w:rsidRPr="0064064A" w:rsidRDefault="0064064A" w:rsidP="0064064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Разработать практические рекомендации по укреплению цифровой инфраструктуры как фактора антикризисной устойчивости национальной экономики Республики Узбекистан.</w:t>
      </w:r>
    </w:p>
    <w:p w14:paraId="6095444E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3483451C">
          <v:rect id="_x0000_i1795" style="width:0;height:1.5pt" o:hralign="center" o:hrstd="t" o:hr="t" fillcolor="#a0a0a0" stroked="f"/>
        </w:pict>
      </w:r>
    </w:p>
    <w:p w14:paraId="596A407F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Основные результаты исследования.</w:t>
      </w:r>
      <w:r w:rsidRPr="0064064A">
        <w:rPr>
          <w:rFonts w:ascii="Times New Roman" w:hAnsi="Times New Roman" w:cs="Times New Roman"/>
          <w:sz w:val="28"/>
          <w:szCs w:val="28"/>
        </w:rPr>
        <w:t xml:space="preserve"> В работе систематизированы каналы, через которые цифровые технологии влияют на устойчивость национальных экономик в период глобальных кризисов. Ключевые из них - непрерывность государственных функций, фискальная трансмиссия, адаптация частного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сектора, сдвиг структуры спроса в пользу цифровых услуг, а также устойчивость самого ИКТ-сектора. Отдельно проведён сравнительный анализ моделей цифровой трансформации Эстонии, Республики Корея, Сингапура и Польши - с учётом их институциональных особенностей и того, как каждая из этих экономик прошла кризисы 2020-2022 годов. На основе панельных данных в среде RStudio построена эконометрическая модель, связывающая показатели цифровой зрелости с индикаторами макроэкономической устойчивости.</w:t>
      </w:r>
    </w:p>
    <w:p w14:paraId="5C393202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2AFF064F">
          <v:rect id="_x0000_i1796" style="width:0;height:1.5pt" o:hralign="center" o:hrstd="t" o:hr="t" fillcolor="#a0a0a0" stroked="f"/>
        </w:pict>
      </w:r>
    </w:p>
    <w:p w14:paraId="194069D2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 исследования.</w:t>
      </w:r>
      <w:r w:rsidRPr="0064064A">
        <w:rPr>
          <w:rFonts w:ascii="Times New Roman" w:hAnsi="Times New Roman" w:cs="Times New Roman"/>
          <w:sz w:val="28"/>
          <w:szCs w:val="28"/>
        </w:rPr>
        <w:t xml:space="preserve"> Полученные результаты могут использоваться при уточнении стратегических документов цифровой трансформации Республики Узбекистан, включая Стратегию «Цифровой Узбекистан - 2030», а также при разработке мер по повышению устойчивости национальной экономики в кризисных условиях. Обобщённый международный опыт и сформулированные рекомендации адресованы прежде всего государственным органам в сфере цифрового развития, а также научным и образовательным организациям, работающим на пересечении международной экономики, цифровой трансформации и устойчивого развития.</w:t>
      </w:r>
    </w:p>
    <w:p w14:paraId="572850C4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14A1D4F3">
          <v:rect id="_x0000_i1797" style="width:0;height:1.5pt" o:hralign="center" o:hrstd="t" o:hr="t" fillcolor="#a0a0a0" stroked="f"/>
        </w:pict>
      </w:r>
    </w:p>
    <w:p w14:paraId="40AF40E0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Методология исследования.</w:t>
      </w:r>
      <w:r w:rsidRPr="0064064A">
        <w:rPr>
          <w:rFonts w:ascii="Times New Roman" w:hAnsi="Times New Roman" w:cs="Times New Roman"/>
          <w:sz w:val="28"/>
          <w:szCs w:val="28"/>
        </w:rPr>
        <w:t xml:space="preserve"> Методологической основой выступает системный подход - цифровизация и устойчивость рассматриваются как взаимосвязанные характеристики национальной экономики, а не как отдельные явления. В работе используются методы сравнительного анализа, корреляционно-регрессионного моделирования на панельных данных и графической визуализации. Эконометрический анализ выполнен в среде RStudio с применением пакета plm. Эмпирическую базу составляют данные ОЭСР, МВФ, Всемирного банка, Европейской комиссии и ООН. ((В сравнительном анализе используются международные индексы цифровой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зрелости, включая E-Government[^5] Development Index, Network Readiness Index и Digital Economy and Society Index.)) ((В эконометрической модели основным индикатором цифровизации выступает доля интернет-пользователей в численности населения по базе World Development Indicators[^6], что обеспечивает сопоставимость данных по выборке из 49 стран за 2010-2024 годы.)) Помимо этого, в работе используются нормативно-правовые акты и стратегические документы Республики Узбекистан.</w:t>
      </w:r>
    </w:p>
    <w:p w14:paraId="1E58AAC4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1F73365C">
          <v:rect id="_x0000_i1798" style="width:0;height:1.5pt" o:hralign="center" o:hrstd="t" o:hr="t" fillcolor="#a0a0a0" stroked="f"/>
        </w:pict>
      </w:r>
    </w:p>
    <w:p w14:paraId="4A9BEF6E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Структура работы.</w:t>
      </w:r>
      <w:r w:rsidRPr="0064064A">
        <w:rPr>
          <w:rFonts w:ascii="Times New Roman" w:hAnsi="Times New Roman" w:cs="Times New Roman"/>
          <w:sz w:val="28"/>
          <w:szCs w:val="28"/>
        </w:rPr>
        <w:t xml:space="preserve"> Выпускная квалификационная работа состоит из введения, трёх глав, разделённых на девять параграфов, заключения, списка использованных источников и приложений.</w:t>
      </w:r>
    </w:p>
    <w:p w14:paraId="5B3D1AB6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В первой главе</w:t>
      </w:r>
      <w:r w:rsidRPr="0064064A">
        <w:rPr>
          <w:rFonts w:ascii="Times New Roman" w:hAnsi="Times New Roman" w:cs="Times New Roman"/>
          <w:sz w:val="28"/>
          <w:szCs w:val="28"/>
        </w:rPr>
        <w:t xml:space="preserve"> «Теоретико-методологические основы цифровизации экономики и устойчивости стран к глобальным кризисам» раскрываются сущность и основные направления цифровизации современной экономики, рассматриваются теоретические подходы к категории устойчивости национальных экономик к экзогенным шокам, а также систематизируются каналы воздействия цифровых технологий на макроэкономическую стабильность.</w:t>
      </w:r>
    </w:p>
    <w:p w14:paraId="5236AA75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Во второй главе</w:t>
      </w:r>
      <w:r w:rsidRPr="0064064A">
        <w:rPr>
          <w:rFonts w:ascii="Times New Roman" w:hAnsi="Times New Roman" w:cs="Times New Roman"/>
          <w:sz w:val="28"/>
          <w:szCs w:val="28"/>
        </w:rPr>
        <w:t xml:space="preserve"> «Международный опыт цифровизации экономики и эконометрический анализ её влияния на устойчивость стран к глобальным кризисам» проводится сравнительный анализ моделей цифровой трансформации Эстонии, Республики Корея, Сингапура и Польши, оценивается реакция этих экономик на глобальные кризисы 2020-2022 годов, а также выполняется эконометрический анализ влияния цифровизации на устойчивость национальных экономик на основе панельных данных.</w:t>
      </w:r>
    </w:p>
    <w:p w14:paraId="229FF709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В третьей главе</w:t>
      </w:r>
      <w:r w:rsidRPr="0064064A">
        <w:rPr>
          <w:rFonts w:ascii="Times New Roman" w:hAnsi="Times New Roman" w:cs="Times New Roman"/>
          <w:sz w:val="28"/>
          <w:szCs w:val="28"/>
        </w:rPr>
        <w:t xml:space="preserve"> «Использование международного опыта цифровизации в условиях Республики Узбекистан» рассматривается текущее состояние цифровой трансформации экономики Узбекистана в рамках Стратегии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«Цифровой Узбекистан - 2030», оцениваются возможности адаптации международного опыта и формулируются практические рекомендации по укреплению цифровой устойчивости национальной экономики.</w:t>
      </w:r>
    </w:p>
    <w:p w14:paraId="6DD4E650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В заключении</w:t>
      </w:r>
      <w:r w:rsidRPr="0064064A">
        <w:rPr>
          <w:rFonts w:ascii="Times New Roman" w:hAnsi="Times New Roman" w:cs="Times New Roman"/>
          <w:sz w:val="28"/>
          <w:szCs w:val="28"/>
        </w:rPr>
        <w:t xml:space="preserve"> обобщаются основные результаты исследования, формулируются выводы и практические рекомендации.</w:t>
      </w:r>
    </w:p>
    <w:p w14:paraId="1B94874C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47A0F1CF">
          <v:rect id="_x0000_i1799" style="width:0;height:1.5pt" o:hralign="center" o:hrstd="t" o:hr="t" fillcolor="#a0a0a0" stroked="f"/>
        </w:pict>
      </w:r>
    </w:p>
    <w:p w14:paraId="2C172861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Понятие «цифровизация экономики» в научной литературе трактуется неоднозначно - этот процесс охватывает не только внедрение технологий, но и более глубокие изменения: в экономических связях, управлении и организации хозяйственной деятельности. ((В аналитических документах Организации экономического сотрудничества и развития цифровизация рассматривается одновременно как процесс распространения цифровых технологий и как структурный сдвиг, влияющий на производство, потребление и регулирование экономической активности.[^7])) В этой работе цифровизация экономики понимается как встраивание цифровых технологий и данных в производственные, обменные и распределительные процессы национальной экономики - в результате меняется её отраслевая структура, модели государственного управления и формы взаимодействия экономических агентов.</w:t>
      </w:r>
    </w:p>
    <w:p w14:paraId="0F74ECCE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046974CF">
          <v:rect id="_x0000_i1800" style="width:0;height:1.5pt" o:hralign="center" o:hrstd="t" o:hr="t" fillcolor="#a0a0a0" stroked="f"/>
        </w:pict>
      </w:r>
    </w:p>
    <w:p w14:paraId="13AD4CF7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 xml:space="preserve">Важно разграничивать цифровизацию экономики как широкий процесс и информационно-коммуникационный сектор как её технологическую основу. ((Согласно классификации ОЭСР, основанной на международном стандарте ISIC Rev.4, ИКТ-сектор включает производство компьютеров, электронных и оптических изделий, телекоммуникации, а также деятельность в области информационных технологий и информационных услуг.[^8])) При этом цифровая экономика не ограничивается ИКТ-сектором - она охватывает и распространение цифровых технологий в традиционные отрасли: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промышленность, торговлю, финансы и государственное управление. Именно через такое распространение цифровизация начинает влиять на более широкие показатели - ВВП на душу населения и производительность труда.</w:t>
      </w:r>
    </w:p>
    <w:p w14:paraId="7A6E670F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5CB2DE2C">
          <v:rect id="_x0000_i1801" style="width:0;height:1.5pt" o:hralign="center" o:hrstd="t" o:hr="t" fillcolor="#a0a0a0" stroked="f"/>
        </w:pict>
      </w:r>
    </w:p>
    <w:p w14:paraId="7874A7A7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Эмпирические данные показывают: ИКТ-сектор стабильно растёт быстрее экономики в целом. По оценкам ОЭСР, основанным на nowcasting-модели, в течение 2013-2023 годов ИКТ-сектор стран ОЭСР рос примерно в три раза быстрее совокупной экономики. В 2023 году средний темп роста ИКТ-сектора в странах ОЭСР достиг 7,6%, причём в десяти странах - включая Великобританию, Бельгию, Германию и США - рост превысил 9%. ((Доля валовой добавленной стоимости, генерируемой ИКТ-сектором в странах ОЭСР, увеличилась с 3,9% в 2010 году до 5,4% в 2019 году, а к 2023 году достигла около 6,2%.[^9])) Динамика доли ИКТ-сектора в валовой добавленной стоимости стран ОЭСР представлена на рисунке 1.1.</w:t>
      </w:r>
    </w:p>
    <w:p w14:paraId="2E509F97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Рисунок 1.1. Динамика доли ИКТ-сектора в валовой добавленной стоимости стран ОЭСР, 2010-2023 гг., %</w:t>
      </w:r>
    </w:p>
    <w:p w14:paraId="66072950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64064A">
        <w:rPr>
          <w:rFonts w:ascii="Times New Roman" w:hAnsi="Times New Roman" w:cs="Times New Roman"/>
          <w:i/>
          <w:iCs/>
          <w:sz w:val="28"/>
          <w:szCs w:val="28"/>
        </w:rPr>
        <w:t>Источник</w:t>
      </w:r>
      <w:r w:rsidRPr="0064064A">
        <w:rPr>
          <w:rFonts w:ascii="Times New Roman" w:hAnsi="Times New Roman" w:cs="Times New Roman"/>
          <w:i/>
          <w:iCs/>
          <w:sz w:val="28"/>
          <w:szCs w:val="28"/>
          <w:lang w:val="en-CA"/>
        </w:rPr>
        <w:t xml:space="preserve">: </w:t>
      </w:r>
      <w:r w:rsidRPr="0064064A">
        <w:rPr>
          <w:rFonts w:ascii="Times New Roman" w:hAnsi="Times New Roman" w:cs="Times New Roman"/>
          <w:i/>
          <w:iCs/>
          <w:sz w:val="28"/>
          <w:szCs w:val="28"/>
        </w:rPr>
        <w:t>составлено</w:t>
      </w:r>
      <w:r w:rsidRPr="0064064A">
        <w:rPr>
          <w:rFonts w:ascii="Times New Roman" w:hAnsi="Times New Roman" w:cs="Times New Roman"/>
          <w:i/>
          <w:iCs/>
          <w:sz w:val="28"/>
          <w:szCs w:val="28"/>
          <w:lang w:val="en-CA"/>
        </w:rPr>
        <w:t xml:space="preserve"> </w:t>
      </w:r>
      <w:r w:rsidRPr="0064064A">
        <w:rPr>
          <w:rFonts w:ascii="Times New Roman" w:hAnsi="Times New Roman" w:cs="Times New Roman"/>
          <w:i/>
          <w:iCs/>
          <w:sz w:val="28"/>
          <w:szCs w:val="28"/>
        </w:rPr>
        <w:t>автором</w:t>
      </w:r>
      <w:r w:rsidRPr="0064064A">
        <w:rPr>
          <w:rFonts w:ascii="Times New Roman" w:hAnsi="Times New Roman" w:cs="Times New Roman"/>
          <w:i/>
          <w:iCs/>
          <w:sz w:val="28"/>
          <w:szCs w:val="28"/>
          <w:lang w:val="en-CA"/>
        </w:rPr>
        <w:t xml:space="preserve"> </w:t>
      </w:r>
      <w:r w:rsidRPr="0064064A">
        <w:rPr>
          <w:rFonts w:ascii="Times New Roman" w:hAnsi="Times New Roman" w:cs="Times New Roman"/>
          <w:i/>
          <w:iCs/>
          <w:sz w:val="28"/>
          <w:szCs w:val="28"/>
        </w:rPr>
        <w:t>по</w:t>
      </w:r>
      <w:r w:rsidRPr="0064064A">
        <w:rPr>
          <w:rFonts w:ascii="Times New Roman" w:hAnsi="Times New Roman" w:cs="Times New Roman"/>
          <w:i/>
          <w:iCs/>
          <w:sz w:val="28"/>
          <w:szCs w:val="28"/>
          <w:lang w:val="en-CA"/>
        </w:rPr>
        <w:t xml:space="preserve"> </w:t>
      </w:r>
      <w:r w:rsidRPr="0064064A">
        <w:rPr>
          <w:rFonts w:ascii="Times New Roman" w:hAnsi="Times New Roman" w:cs="Times New Roman"/>
          <w:i/>
          <w:iCs/>
          <w:sz w:val="28"/>
          <w:szCs w:val="28"/>
        </w:rPr>
        <w:t>данным</w:t>
      </w:r>
      <w:r w:rsidRPr="0064064A">
        <w:rPr>
          <w:rFonts w:ascii="Times New Roman" w:hAnsi="Times New Roman" w:cs="Times New Roman"/>
          <w:i/>
          <w:iCs/>
          <w:sz w:val="28"/>
          <w:szCs w:val="28"/>
          <w:lang w:val="en-CA"/>
        </w:rPr>
        <w:t xml:space="preserve"> OECD Digital Economy Outlook 2024 </w:t>
      </w:r>
      <w:r w:rsidRPr="0064064A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64064A">
        <w:rPr>
          <w:rFonts w:ascii="Times New Roman" w:hAnsi="Times New Roman" w:cs="Times New Roman"/>
          <w:i/>
          <w:iCs/>
          <w:sz w:val="28"/>
          <w:szCs w:val="28"/>
          <w:lang w:val="en-CA"/>
        </w:rPr>
        <w:t xml:space="preserve"> OECD STAN Industrial Analysis Database.</w:t>
      </w:r>
    </w:p>
    <w:p w14:paraId="3BC8CA83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550227EF">
          <v:rect id="_x0000_i1802" style="width:0;height:1.5pt" o:hralign="center" o:hrstd="t" o:hr="t" fillcolor="#a0a0a0" stroked="f"/>
        </w:pict>
      </w:r>
    </w:p>
    <w:p w14:paraId="210DE560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 xml:space="preserve">До формирования единого монетарного показателя цифровой экономики международные сравнения чаще опираются на промежуточные индикаторы: долю ИКТ-сектора в ВВП, уровень проникновения цифровых технологий среди населения и предприятий, а также композитные индексы цифровой зрелости - Digital Economy and Society Index, E-Government Development Index и Network Readiness Index.[^10] Измерить цифровую экономику одним показателем сложно - она включает и самостоятельный ИКТ-сектор, и цифровые технологии в других отраслях. Поэтому в сравнительном и эконометрическом анализе лучше использовать несколько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взаимодополняющих индикаторов, а не один универсальный. Это позволяет точнее отразить разные стороны цифровизации и не упрощать исследуемый процесс сверх меры.</w:t>
      </w:r>
    </w:p>
    <w:p w14:paraId="2D2548ED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4EC2CF85">
          <v:rect id="_x0000_i1803" style="width:0;height:1.5pt" o:hralign="center" o:hrstd="t" o:hr="t" fillcolor="#a0a0a0" stroked="f"/>
        </w:pict>
      </w:r>
    </w:p>
    <w:p w14:paraId="0A6B76A8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Содержание цифровизации можно раскрыть через несколько основных направлений, каждое из которых по-своему влияет на развитие национальной экономики. На основе аналитических документов ОЭСР и Европейской комиссии в работе выделяются пять таких направлений, представленных на рисунке 1.2.</w:t>
      </w:r>
    </w:p>
    <w:p w14:paraId="57B3B43E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Рисунок 1.2 - Основные направления цифровизации экономики</w:t>
      </w:r>
    </w:p>
    <w:p w14:paraId="1351F305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i/>
          <w:iCs/>
          <w:sz w:val="28"/>
          <w:szCs w:val="28"/>
        </w:rPr>
        <w:t>Источник: составлено автором на основе OECD Digital Economy Outlook 2024 и аналитических материалов Европейской комиссии.</w:t>
      </w:r>
    </w:p>
    <w:p w14:paraId="49E4B340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5294025A">
          <v:rect id="_x0000_i1804" style="width:0;height:1.5pt" o:hralign="center" o:hrstd="t" o:hr="t" fillcolor="#a0a0a0" stroked="f"/>
        </w:pict>
      </w:r>
    </w:p>
    <w:p w14:paraId="65BD6D13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Первое направление - развитие цифровой инфраструктуры. Под этим понимается совокупность сетей фиксированной и мобильной связи, центров обработки данных, спутниковых систем, а также инфраструктуры цифровой идентификации и обмена данными. Расширение сетей 5G, развитие беспроводных технологий нового поколения и интеграция наземной и спутниковой связи формируют физическую основу цифровой экономики - без неё остальные направления цифровизации попросту не работают. ((Такая инфраструктура создаёт мультипликативный эффект - она стимулирует электронную коммерцию, удалённую занятость и цифровые государственные сервисы.[^11]))</w:t>
      </w:r>
    </w:p>
    <w:p w14:paraId="2F0E4F0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132B2B70">
          <v:rect id="_x0000_i1805" style="width:0;height:1.5pt" o:hralign="center" o:hrstd="t" o:hr="t" fillcolor="#a0a0a0" stroked="f"/>
        </w:pict>
      </w:r>
    </w:p>
    <w:p w14:paraId="52FB0401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Второе направление - распространение цифровых технологий среди предприятий. Речь идёт об использовании облачных вычислений, интернета вещей, аналитики больших данных и искусственного интеллекта в бизнес-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секторе. ((По данным ОЭСР за 2023 год, в среднем по странам ОЭСР облачными вычислениями пользовались 49% предприятий, технологиями интернета вещей - 27%, аналитикой больших данных - 14% по данным за 2022 год, а искусственным интеллектом - 8%.[^12])) Цифры показывают очевидное: более доступные и уже освоенные технологии внедряются быстрее, тогда как сложные решения требуют серьёзной организационной, кадровой и технологической подготовки. ((Исследования ОЭСР также показывают, что облачные вычисления распространяются примерно в три раза быстрее аналитики больших данных: переход доли предприятий-пользователей с 5% до 50% занимает около 12 лет для облачных технологий и около 36 лет для аналитики больших данных.[^13]))</w:t>
      </w:r>
    </w:p>
    <w:p w14:paraId="02D57E3F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7A2E1B03">
          <v:rect id="_x0000_i1806" style="width:0;height:1.5pt" o:hralign="center" o:hrstd="t" o:hr="t" fillcolor="#a0a0a0" stroked="f"/>
        </w:pict>
      </w:r>
    </w:p>
    <w:p w14:paraId="5358EF3B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Третье направление - цифровая трансформация государственного управления. Она включает развитие систем электронной идентификации, межведомственного обмена данными и цифровых услуг для граждан и бизнеса. Цифровое государство важно не только как часть технологического развития - в кризисных условиях оно помогает сохранять выполнение ключевых государственных функций, что напрямую влияет на устойчивость экономики. ((По оценкам ОЭСР, готовность к цифровизации стала одним из ключевых факторов адаптации государства и бизнеса в период пандемии COVID-19. Это подтверждается примерами Вьетнама, Казахстана и Швейцарии, где цифровые платформы использовались для онлайн-госуслуг, экстренной поддержки населения и быстрого предоставления государственных кредитов.[^14]))</w:t>
      </w:r>
    </w:p>
    <w:p w14:paraId="15DE9B0E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55CF2C30">
          <v:rect id="_x0000_i1807" style="width:0;height:1.5pt" o:hralign="center" o:hrstd="t" o:hr="t" fillcolor="#a0a0a0" stroked="f"/>
        </w:pict>
      </w:r>
    </w:p>
    <w:p w14:paraId="17EF32CB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 xml:space="preserve">Четвёртое направление - цифровизация финансовой системы. Сюда входят электронные платежи, цифровой банкинг, финансовые технологии и цифровая идентификация. Для макроэкономической устойчивости цифровые финансы важны по двум причинам: они расширяют доступ к ликвидности и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снижают транзакционные издержки - особенно когда физические каналы финансового обслуживания ограничены. Кроме того, цифровые платёжные системы усиливают фискальную трансмиссию - государственная поддержка доходит до конечных получателей быстрее и с меньшими административными затратами.</w:t>
      </w:r>
    </w:p>
    <w:p w14:paraId="4E7C4CE5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07DF0F13">
          <v:rect id="_x0000_i1808" style="width:0;height:1.5pt" o:hralign="center" o:hrstd="t" o:hr="t" fillcolor="#a0a0a0" stroked="f"/>
        </w:pict>
      </w:r>
    </w:p>
    <w:p w14:paraId="119EBB0C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Пятое направление - цифровая трансформация работы с данными. По мере того как данные становятся самостоятельным экономическим ресурсом, государства выстраивают правила их сбора, хранения, обмена и использования, а также разрабатывают национальные стратегии управления данными. ((ОЭСР подчёркивает, что доступ к данным определяет возможности применения искусственного интеллекта и продвинутой аналитики, поэтому становится фактором конкурентоспособности не только отдельных компаний, но и национальных экономик.[^15]))</w:t>
      </w:r>
    </w:p>
    <w:p w14:paraId="66363A72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((Параллельно с подходом Бригульо в исследованиях ОЭСР устойчивость рассматривается через три взаимосвязанные функции экономической политики: предотвращение накопления уязвимостей, ограничение глубины шока и ускорение восстановления.[^20])) В работе А. Кальдера-Санчес, М. Расмуссена и О. Рёна показано, что на устойчивость влияют разные направления макроэкономической и структурной политики - фискальная, денежно-кредитная, финансовая и трудовая. Ключевая идея здесь в том, что одни и те же меры могут одновременно снижать уязвимость экономики, смягчать последствия кризиса и ускорять восстановление. Но между этими задачами нередко возникают компромиссы - и это требует более сбалансированного подхода к политике.</w:t>
      </w:r>
    </w:p>
    <w:p w14:paraId="496D096C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536EF910">
          <v:rect id="_x0000_i1809" style="width:0;height:1.5pt" o:hralign="center" o:hrstd="t" o:hr="t" fillcolor="#a0a0a0" stroked="f"/>
        </w:pict>
      </w:r>
    </w:p>
    <w:p w14:paraId="770F3E30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 xml:space="preserve">((Согласно оценкам ОЭСР, меры экономической политики могут давать неоднозначный эффект: например, фискальные резервы расширяют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возможности стимулирования в период спада, тогда как жёсткое регулирование рынка труда может смягчать первоначальный удар по занятости, но замедлять последующее восстановление.[^21])) Устойчивость экономики зависит поэтому не только от набора антикризисных инструментов, но и от того, насколько политика учитывает возможные компромиссы между смягчением кризисного удара и скоростью последующего восстановления.</w:t>
      </w:r>
    </w:p>
    <w:p w14:paraId="1ED19BFE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6355C7D5">
          <v:rect id="_x0000_i1810" style="width:0;height:1.5pt" o:hralign="center" o:hrstd="t" o:hr="t" fillcolor="#a0a0a0" stroked="f"/>
        </w:pict>
      </w:r>
    </w:p>
    <w:p w14:paraId="6A5A301E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Эмпирическое направление теории устойчивости получило развитие в исследовании Кальдера-Санчес, де Серра, Гори, Хермансена и Рёна - там были рассмотрены серьёзные рецессии и финансовые кризисы в 100 странах за период 1970-2014 годов. В этой работе серьёзная рецессия определяется как существенное снижение ВВП на душу населения, превышающее медианный уровень по выборке. ((Глобальный финансовый кризис 2008-2009 годов был определён как один из наиболее распространённых и дорогостоящих кризисных эпизодов, поскольку в ряде развитых экономик потери выпуска превысили 10% ВВП.[^22]))</w:t>
      </w:r>
    </w:p>
    <w:p w14:paraId="20F4EEB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6CE01B3B">
          <v:rect id="_x0000_i1811" style="width:0;height:1.5pt" o:hralign="center" o:hrstd="t" o:hr="t" fillcolor="#a0a0a0" stroked="f"/>
        </w:pict>
      </w:r>
    </w:p>
    <w:p w14:paraId="6F772AC3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((Важным результатом указанного исследования является вывод о том, что продолжительность рецессий зависит от вовлечённости банковского сектора: в странах ОЭСР, столкнувшихся с банковским кризисом, средний интервал «пик - дно» составил около 12 кварталов, тогда как в странах без банковского кризиса - около 4 кварталов, а в отдельных странах вне ОЭСР - около 3 кварталов.[^23])) Иными словами, финансовая составляющая кризиса способна заметно удлинять период восстановления - и это нужно учитывать при разработке антикризисной политики.</w:t>
      </w:r>
    </w:p>
    <w:p w14:paraId="49B068D6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6C819301">
          <v:rect id="_x0000_i1812" style="width:0;height:1.5pt" o:hralign="center" o:hrstd="t" o:hr="t" fillcolor="#a0a0a0" stroked="f"/>
        </w:pict>
      </w:r>
    </w:p>
    <w:p w14:paraId="0FB2A619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lastRenderedPageBreak/>
        <w:t>((В теории устойчивости важное место занимают индикаторы раннего предупреждения. Согласно методологии Хермансена и Рёна, к наиболее информативным относятся рост частного кредитования, отклонения цен на жильё от долгосрочного тренда, дисбалансы текущего счёта и глобальные показатели кредитного цикла.[^24])) Для этого исследования такой подход важен тем, что показывает: устойчивость экономики можно оценивать через систему количественных показателей - которые затем используются в сравнительном и эконометрическом анализе.</w:t>
      </w:r>
    </w:p>
    <w:p w14:paraId="539AC414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41F16ED8">
          <v:rect id="_x0000_i1813" style="width:0;height:1.5pt" o:hralign="center" o:hrstd="t" o:hr="t" fillcolor="#a0a0a0" stroked="f"/>
        </w:pict>
      </w:r>
    </w:p>
    <w:p w14:paraId="7361198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Возможная правка предложений со сносками:</w:t>
      </w:r>
    </w:p>
    <w:p w14:paraId="6F1DC103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(В исследованиях ОЭСР устойчивость рассматривается через три взаимосвязанные функции политики: предотвращение накопления уязвимостей, ограничение глубины шока и ускорение восстановления.[^20])</w:t>
      </w:r>
    </w:p>
    <w:p w14:paraId="63826FEC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(По оценкам ОЭСР, меры политики нередко дают неоднозначный эффект: фискальные резервы расширяют пространство для стимулирования в период спада, но жёсткое регулирование рынка труда может смягчать первоначальный удар по занятости, одновременно тормозя восстановление.[^21])</w:t>
      </w:r>
    </w:p>
    <w:p w14:paraId="1E0C96DD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(Глобальный финансовый кризис 2008-2009 годов оказался одним из самых распространённых и дорогостоящих - в ряде развитых экономик потери выпуска превысили 10% ВВП.[^22])</w:t>
      </w:r>
    </w:p>
    <w:p w14:paraId="640465DD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(Ключевой вывод исследования: продолжительность рецессий напрямую зависит от вовлечённости банковского сектора. В странах ОЭСР с банковским кризисом средний интервал «пик - дно» составил около 12 кварталов, без него - около 4 кварталов, в отдельных странах вне ОЭСР - около 3 кварталов.[^23])</w:t>
      </w:r>
    </w:p>
    <w:p w14:paraId="49CC7A2D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 xml:space="preserve">((Вопрос цифровизации финансового сектора следует рассматривать двойственно: с одной стороны, она ускоряет фискальную и финансовую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трансмиссию, с другой - при слабом регулировании может усиливать распространение финансовых рисков.[^34])) Поэтому развитие цифровых финансов должно сочетаться с надёжным макропруденциальным регулированием и постоянным контролем устойчивости финансовой системы.</w:t>
      </w:r>
    </w:p>
    <w:p w14:paraId="4477F93F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0BF36C91">
          <v:rect id="_x0000_i1814" style="width:0;height:1.5pt" o:hralign="center" o:hrstd="t" o:hr="t" fillcolor="#a0a0a0" stroked="f"/>
        </w:pict>
      </w:r>
    </w:p>
    <w:p w14:paraId="49A1CB1D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Системная связь между перечисленными каналами проявляется в том, что они усиливают друг друга. Развитая цифровая инфраструктура создаёт условия для непрерывности государственных функций и более эффективной фискальной трансмиссии; цифровизация государственного управления и финансовых механизмов повышает адаптивность частного сектора; а расширение цифровых услуг поддерживает развитие самого ИКТ-сектора. Устойчивость, связанная с цифровыми технологиями, формируется не как простая сумма отдельных эффектов, а как результат взаимодействия нескольких каналов. Именно поэтому страны с более высоким уровнем цифровой трансформации могут показывать более устойчивые траектории в условиях глобальных кризисов - что рассматривается во второй главе.</w:t>
      </w:r>
    </w:p>
    <w:p w14:paraId="5EFA0095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14989FBD">
          <v:rect id="_x0000_i1815" style="width:0;height:1.5pt" o:hralign="center" o:hrstd="t" o:hr="t" fillcolor="#a0a0a0" stroked="f"/>
        </w:pict>
      </w:r>
    </w:p>
    <w:p w14:paraId="37F5474B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 xml:space="preserve">С точки зрения эконометрического моделирования выделенные каналы позволяют обосновать выбор количественных индикаторов цифровизации и устойчивости национальных экономик. Теоретически уровень цифровизации может отражаться через показатели цифровой инфраструктуры, электронного правительства, развития ИКТ-сектора и распространения цифровых технологий среди предприятий. Однако в этой работе, с учётом доступности сопоставимых данных по широкой выборке стран, основным индикатором цифровизации выбрана доля интернет-пользователей в численности населения. В качестве зависимой переменной используется натуральный логарифм ВВП на душу населения. В модель также включаются валовое накопление основного капитала, инфляция, безработица, экспорт высокотехнологичной продукции, кризисные дамми-переменные 2020 и 2022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годов, а также взаимодействия показателя интернет-проникновения с кризисными периодами. Такой подход связывает теоретические положения первой главы с эконометрическим анализом второй.</w:t>
      </w:r>
    </w:p>
    <w:p w14:paraId="57BCE90D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3E34DDD1">
          <v:rect id="_x0000_i1816" style="width:0;height:1.5pt" o:hralign="center" o:hrstd="t" o:hr="t" fillcolor="#a0a0a0" stroked="f"/>
        </w:pict>
      </w:r>
    </w:p>
    <w:p w14:paraId="05458BA4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Цифровые технологии влияют на макроэкономическую устойчивость не через один универсальный механизм, а через систему взаимосвязанных каналов. Они охватывают государственное управление, фискальную трансмиссию, адаптацию частного сектора, структуру конечного спроса и устойчивость ИКТ-сектора. Совместное действие этих каналов дополняет классическое понимание устойчивости - то, что представлено в работах Бригульо и ОЭСР - и позволяет рассматривать цифровизацию как самостоятельный фактор повышения адаптивности национальных экономик. Эмпирическая проверка этой связи и сравнительный анализ страновых траекторий в условиях глобальных кризисов представлены во второй главе.</w:t>
      </w:r>
    </w:p>
    <w:p w14:paraId="580AC5F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0D2E71B2">
          <v:rect id="_x0000_i1817" style="width:0;height:1.5pt" o:hralign="center" o:hrstd="t" o:hr="t" fillcolor="#a0a0a0" stroked="f"/>
        </w:pict>
      </w:r>
    </w:p>
    <w:p w14:paraId="3059F8E3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Выводы по первой главе.</w:t>
      </w:r>
      <w:r w:rsidRPr="0064064A">
        <w:rPr>
          <w:rFonts w:ascii="Times New Roman" w:hAnsi="Times New Roman" w:cs="Times New Roman"/>
          <w:sz w:val="28"/>
          <w:szCs w:val="28"/>
        </w:rPr>
        <w:t xml:space="preserve"> Первая глава дала несколько результатов, которые определяют логику дальнейшего анализа. Цифровизация - это не просто технологический сдвиг: она меняет саму архитектуру экономической адаптации, влияя на то, как государство функционирует в кризис, как бизнес перестраивается и как передаётся фискальная поддержка. Подходы ОЭСР, Всемирного банка, Европейской комиссии и исследователей экономической устойчивости сходятся в одном - устойчивость не возникает в момент шока, она либо уже есть в экономике, либо её нет. Пять каналов, систематизированных в главе, - непрерывность государственных функций, эффективность фискальной трансмиссии, адаптация частного сектора, диверсификация конечного спроса и устойчивость ИКТ-сектора - это не просто классификация. Каждый из них представляет конкретный механизм, через который уровень цифровой зрелости страны либо смягчает удар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кризиса, либо нет. Именно поэтому следующий шаг - не дальнейшая теория, а сравнение реальных стран и эконометрика.</w:t>
      </w:r>
    </w:p>
    <w:p w14:paraId="4B695628" w14:textId="4879EF95" w:rsidR="004A309C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64064A">
        <w:rPr>
          <w:rFonts w:ascii="Times New Roman" w:hAnsi="Times New Roman" w:cs="Times New Roman"/>
          <w:sz w:val="28"/>
          <w:szCs w:val="28"/>
        </w:rPr>
        <w:t>Первая глава заложила теоретическую базу - теперь можно переходить к тому, как это работает на практике. В этом параграфе сравниваются четыре национальные модели с разными институциональными условиями и подходами к цифровому развитию: Эстония - модель малого постсоветского государства, сделавшего цифровизацию частью национального развития; Республика Корея - модель развитой экономики с государственно-направляемой цифровой модернизацией; Сингапур - модель города-государства с высоким уровнем цифровой конкурентоспособности; Польша - модель догоняющей цифровизации переходной экономики, интегрированной в Европейский союз. Выбор этих стран обусловлен их высокими позициями в международных индексах цифровой зрелости, наличием стратегических программ цифровой трансформации и доступностью сопоставимых количественных показателей. Сравнительные позиции четырёх стран в ключевых международных индексах представлены в таблице 2.1.</w:t>
      </w:r>
    </w:p>
    <w:p w14:paraId="635CBE4C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Таблица 2.1. Позиции четырёх стран в международных индексах цифровой зрелости (2024)</w:t>
      </w:r>
    </w:p>
    <w:p w14:paraId="77FD59C6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64064A">
        <w:rPr>
          <w:rFonts w:ascii="Times New Roman" w:hAnsi="Times New Roman" w:cs="Times New Roman"/>
          <w:i/>
          <w:iCs/>
          <w:sz w:val="28"/>
          <w:szCs w:val="28"/>
        </w:rPr>
        <w:t>Источники</w:t>
      </w:r>
      <w:r w:rsidRPr="0064064A">
        <w:rPr>
          <w:rFonts w:ascii="Times New Roman" w:hAnsi="Times New Roman" w:cs="Times New Roman"/>
          <w:i/>
          <w:iCs/>
          <w:sz w:val="28"/>
          <w:szCs w:val="28"/>
          <w:lang w:val="en-CA"/>
        </w:rPr>
        <w:t>: UN DESA (EGDI 2024); Portulans Institute (NRI 2024); IMD WDCR 2024.</w:t>
      </w:r>
    </w:p>
    <w:p w14:paraId="4D69FDE9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7F0B06BF">
          <v:rect id="_x0000_i1818" style="width:0;height:1.5pt" o:hralign="center" o:hrstd="t" o:hr="t" fillcolor="#a0a0a0" stroked="f"/>
        </w:pict>
      </w:r>
    </w:p>
    <w:p w14:paraId="763EAC95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Данные таблицы 2.1 показывают: все четыре страны занимают заметные позиции в рейтингах цифровой зрелости, но достигают этих результатов разными путями. Эстония опирается на модель компактного цифрового государства, Республика Корея - на государственно-направляемую модернизацию, Сингапур - на высокий уровень институциональной координации и цифровой конкурентоспособности, Польша - на постепенную догоняющую цифровизацию в рамках европейской интеграции.</w:t>
      </w:r>
    </w:p>
    <w:p w14:paraId="5D6FC145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lastRenderedPageBreak/>
        <w:pict w14:anchorId="650EB709">
          <v:rect id="_x0000_i1819" style="width:0;height:1.5pt" o:hralign="center" o:hrstd="t" o:hr="t" fillcolor="#a0a0a0" stroked="f"/>
        </w:pict>
      </w:r>
    </w:p>
    <w:p w14:paraId="235658B2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Эстония: модель «цифрового государства» малой постсоветской экономики.</w:t>
      </w:r>
      <w:r w:rsidRPr="0064064A">
        <w:rPr>
          <w:rFonts w:ascii="Times New Roman" w:hAnsi="Times New Roman" w:cs="Times New Roman"/>
          <w:sz w:val="28"/>
          <w:szCs w:val="28"/>
        </w:rPr>
        <w:t xml:space="preserve"> ((Цифровая трансформация Эстонии началась с программы Tiger Leap (Tiigrihüpe), запущенной в 1996 году и направленной на компьютеризацию школ, подключение их к интернету, подготовку учителей и создание учебного контента на эстонском языке.[^35])) ((К 2000 году все школы Эстонии были оснащены компьютерами, а к 2001 году подключены к интернету.[^36])) Благодаря этому страна сформировала раннюю базу цифровой грамотности и подготовила общество к дальнейшему развитию электронного государства.</w:t>
      </w:r>
    </w:p>
    <w:p w14:paraId="42957C55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0090B29C">
          <v:rect id="_x0000_i1820" style="width:0;height:1.5pt" o:hralign="center" o:hrstd="t" o:hr="t" fillcolor="#a0a0a0" stroked="f"/>
        </w:pict>
      </w:r>
    </w:p>
    <w:p w14:paraId="7BCF9048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Следующим ключевым шагом стало создание технологической основы эстонского цифрового государства. Центральное место заняла платформа X-Road (X-tee) - распределённая система обмена данными между государственными и частными информационными системами. Проект развернули в 2001 году на принципе децентрализации: данные хранятся в исходных реестрах и передаются по запросу через защищённые каналы с использованием цифровой подписи. ((К настоящему времени X-Road объединяет более 450 организаций, включая свыше 150 учреждений государственного сектора, обеспечивает работу около 1300 информационных систем и обрабатывает примерно 2,2 млрд транзакций в год.[^37][^38])) Открытие исходного кода центральных компонентов X-Road под лицензией MIT усилило международное значение этой модели - в частности, в 2018 году были соединены системы обмена данными Эстонии и Финляндии.</w:t>
      </w:r>
    </w:p>
    <w:p w14:paraId="64DF1E54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4A20B215">
          <v:rect id="_x0000_i1821" style="width:0;height:1.5pt" o:hralign="center" o:hrstd="t" o:hr="t" fillcolor="#a0a0a0" stroked="f"/>
        </w:pict>
      </w:r>
    </w:p>
    <w:p w14:paraId="5E9B663D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 xml:space="preserve">Продолжением стала программа электронного резидентства - она позволила Эстонии использовать цифровую инфраструктуру не только внутри страны, но и за её пределами. ((Программа e-Residency, запущенная в конце 2014 года,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по состоянию на 2025 год охватывает более 128 тыс. человек из 185 стран; ими основано свыше 36 тыс. эстонских компаний, а совокупный прямой экономический эффект для бюджета составил 342 млн евро.[^39])) ((В 2024 году e-резиденты создали 4818 новых компаний, а налоговые поступления от программы достигли 66,8 млн евро.[^40])) ((В Индексе развития электронного правительства ООН EGDI 2024 года Эстония заняла 2-е место в мире со значением индекса 0,9727.[^41])) В итоге эстонская модель держится на четырёх опорах: цифровая грамотность, межведомственная интероперабельность, цифровая идентификация и продвижение государственных решений на международном уровне.</w:t>
      </w:r>
    </w:p>
    <w:p w14:paraId="2666BE2E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Четыре страны представляют разные модели цифровой трансформации: Эстония - интероперабельное цифровое государство, Республика Корея - государственно-направляемую модернизацию, Сингапур - высокоинтегрированную цифровую экономику города-государства, Польша - конвергенцию с определёнными ограничениями. Цифровизация развивается не по единой схеме, а через разные институциональные траектории. В следующем параграфе рассматривается, как эти экономики реагировали на кризисы 2020-2022 годов с учётом уровня цифровой зрелости.</w:t>
      </w:r>
    </w:p>
    <w:p w14:paraId="4E9AAA53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596AAFE0">
          <v:rect id="_x0000_i1822" style="width:0;height:1.5pt" o:hralign="center" o:hrstd="t" o:hr="t" fillcolor="#a0a0a0" stroked="f"/>
        </w:pict>
      </w:r>
    </w:p>
    <w:p w14:paraId="1E851429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2.2. Реакция национальных экономик на глобальные кризисы 2020-2022 годов в контексте уровня цифровой зрелости</w:t>
      </w:r>
    </w:p>
    <w:p w14:paraId="726332D9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 xml:space="preserve">Для согласования сравнительного анализа с эконометрической моделью параграфа 2.3 в работе выделяются два кризисных года. 2020-й - острая фаза пандемии COVID-19 и максимальное падение ВВП. 2022-й - энергетический и инфляционный шок, связанный с геополитической эскалацией. 2021 год трактуется как этап восстановления, а не самостоятельный кризисный эпизод. В эконометрической модели эти годы отражены через дамми-переменные Crisis_COVID и Crisis_Geo. Разделение важно: пандемия была шоком неэкономического происхождения, ограничившим физическую мобильность,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тогда как кризис 2022 года проявился через энергетический, ценовой и инфляционный каналы. Такой подход позволяет оценить не только способность цифровой инфраструктуры смягчать последствия кризисов, но и её пределы там, где цифровые технологии прямого влияния не имеют.</w:t>
      </w:r>
    </w:p>
    <w:p w14:paraId="62A29362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6CEA113E">
          <v:rect id="_x0000_i1823" style="width:0;height:1.5pt" o:hralign="center" o:hrstd="t" o:hr="t" fillcolor="#a0a0a0" stroked="f"/>
        </w:pict>
      </w:r>
    </w:p>
    <w:p w14:paraId="11FD0DD1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Реакция Эстонии.</w:t>
      </w:r>
      <w:r w:rsidRPr="0064064A">
        <w:rPr>
          <w:rFonts w:ascii="Times New Roman" w:hAnsi="Times New Roman" w:cs="Times New Roman"/>
          <w:sz w:val="28"/>
          <w:szCs w:val="28"/>
        </w:rPr>
        <w:t xml:space="preserve"> ((В 2020 году экономика Эстонии показала сравнительно мягкое падение: снижение ВВП составило 3,0% против среднего показателя по ЕС на уровне -6,1%.[^60])) ((Уже в 2021 году экономика восстановилась с темпом роста 8,6% - один из наиболее высоких показателей в ЕС.[^61])) Такой результат можно связать с высоким уровнем цифровой зрелости и возможностями X-Road, которая помогла сохранить непрерывность государственных функций при ограничении физического взаимодействия. В период пандемии 99% государственных услуг оставались доступны онлайн, а правительство оперативно запустило новые сервисы - упрощённые процедуры регистрации браков, рождений и обращений за пособиями через e-ID и X-Road.</w:t>
      </w:r>
    </w:p>
    <w:p w14:paraId="3407BE07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6AA474CD">
          <v:rect id="_x0000_i1824" style="width:0;height:1.5pt" o:hralign="center" o:hrstd="t" o:hr="t" fillcolor="#a0a0a0" stroked="f"/>
        </w:pict>
      </w:r>
    </w:p>
    <w:p w14:paraId="2811E7BD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Кризис 2022 года обнажил пределы эстонской модели. Отказ от российских энергоносителей и высокая чувствительность к региональным энергетическим рынкам обернулись падением ВВП на 1,3% и инфляцией, превысившей 19% по HICP.[^62] Вывод первой главы подтверждается: цифровая зрелость смягчает шоки мобильности и информационной асимметрии, но не защищает от ценовых потрясений, связанных со структурой энергетического баланса. ((План восстановления и устойчивости Эстонии, утверждённый в 2021 году, предусматривал 953,3 млн евро, или около 3,4% ВВП 2019 года; 21,5% ресурсов направлено на цифровую трансформацию, 41,5% - на климатические цели.[^63])) Адаптация Эстонии была направлена сразу на два блока рисков - цифровой и энергетико-климатический.</w:t>
      </w:r>
    </w:p>
    <w:p w14:paraId="51F4054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lastRenderedPageBreak/>
        <w:pict w14:anchorId="4221D149">
          <v:rect id="_x0000_i1825" style="width:0;height:1.5pt" o:hralign="center" o:hrstd="t" o:hr="t" fillcolor="#a0a0a0" stroked="f"/>
        </w:pict>
      </w:r>
    </w:p>
    <w:p w14:paraId="197BDA9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Реакция Республики Корея.</w:t>
      </w:r>
      <w:r w:rsidRPr="0064064A">
        <w:rPr>
          <w:rFonts w:ascii="Times New Roman" w:hAnsi="Times New Roman" w:cs="Times New Roman"/>
          <w:sz w:val="28"/>
          <w:szCs w:val="28"/>
        </w:rPr>
        <w:t xml:space="preserve"> Среди рассматриваемых стран Корея прошла 2020 год мягче всех: ВВП снизился лишь на 0,7%, а докризисный уровень активности восстановился уже к маю 2021 года. ((В 2021 году рост ВВП составил 4,6% - наиболее высокий показатель за одиннадцать лет, обусловленный устойчивым внешним спросом на полупроводники и потребительскую электронику.[^64])) ((Мягкость спада объясняется тремя факторами: эффективной системой цифрового отслеживания контактов, масштабным фискальным стимулированием в рамках Korean New Deal и устойчивостью экспортных ИКТ-секторов на фоне роста глобального спроса на цифровые технологии.[^65]))</w:t>
      </w:r>
    </w:p>
    <w:p w14:paraId="2A1202A9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В 2022 году Республика Корея сохранила положительный рост ВВП на уровне 2,7%, тогда как ряд европейских экономик сильнее ощутил последствия энергетического кризиса. ((Инфляция достигла пика в июле 2022 года на уровне 6,3% - максимум с ноября 1998 года, однако этот показатель оставался ниже уровней большинства европейских стран.[^66])) В 2023 году прогноз роста был снижен до 1,4% - замедление экспортного цикла полупроводников дало о себе знать. ((В этом контексте Digital New Deal выступил не только инструментом краткосрочной стабилизации в период пандемии, но и механизмом укрепления долгосрочной конкурентоспособности экономики.[^67])) Это подтверждается подъёмом Кореи в рейтинге цифровой конкурентоспособности IMD - с 10-го места в 2019 году на 8-е в 2020-м.</w:t>
      </w:r>
    </w:p>
    <w:p w14:paraId="0FFCDE65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29FD1C4A">
          <v:rect id="_x0000_i1826" style="width:0;height:1.5pt" o:hralign="center" o:hrstd="t" o:hr="t" fillcolor="#a0a0a0" stroked="f"/>
        </w:pict>
      </w:r>
    </w:p>
    <w:p w14:paraId="72EC89B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Реакция Сингапура.</w:t>
      </w:r>
      <w:r w:rsidRPr="0064064A">
        <w:rPr>
          <w:rFonts w:ascii="Times New Roman" w:hAnsi="Times New Roman" w:cs="Times New Roman"/>
          <w:sz w:val="28"/>
          <w:szCs w:val="28"/>
        </w:rPr>
        <w:t xml:space="preserve"> ((В 2020 году экономика Сингапура сократилась на 3,9% - высокая зависимость от международной торговли, туризма и трансграничной мобильности дала о себе знать. Однако уже в 2021 году ВВП вырос на 7,6%, а в 2022 году - на 3,6%.[^68])) Важную роль сыграла быстрая мобилизация цифровой инфраструктуры. ((В марте 2020 года GovTech за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восемь недель разработал и запустил TraceTogether - первое в мире национальное приложение для отслеживания контактов; к началу 2022 года в нём было зарегистрировано более 6,2 млн пользователей.[^69]))</w:t>
      </w:r>
    </w:p>
    <w:p w14:paraId="776C97E2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6E32FF0C">
          <v:rect id="_x0000_i1827" style="width:0;height:1.5pt" o:hralign="center" o:hrstd="t" o:hr="t" fillcolor="#a0a0a0" stroked="f"/>
        </w:pict>
      </w:r>
    </w:p>
    <w:p w14:paraId="1C0BA7EC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((Использование TraceTogether сократило время между выявлением случая заболевания и установлением близких контактов с четырёх дней до менее чем полутора суток.[^70])) Параллельно цифровые системы обеспечили быструю реализацию бюджетной поддержки. ((В 2020 году правительство объявило четыре пакета фискального стимулирования общим объёмом более 20% ВВП 2019 года, включая субсидии на заработную плату до 75% от первых 4600 сингапурских долларов и денежные переводы домохозяйствам.[^71])) Singpass и платёжная инфраструктура позволили точнее направлять поддержку, сокращая временные лаги фискальной трансмиссии. В 2022 году инфляция достигла 6,1%, что потребовало нескольких раундов денежно-кредитного ужесточения со стороны Денежно-кредитного управления Сингапура.</w:t>
      </w:r>
    </w:p>
    <w:p w14:paraId="0635D517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356F6A18">
          <v:rect id="_x0000_i1828" style="width:0;height:1.5pt" o:hralign="center" o:hrstd="t" o:hr="t" fillcolor="#a0a0a0" stroked="f"/>
        </w:pict>
      </w:r>
    </w:p>
    <w:p w14:paraId="5A3C8A5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Реакция Польши.</w:t>
      </w:r>
      <w:r w:rsidRPr="0064064A">
        <w:rPr>
          <w:rFonts w:ascii="Times New Roman" w:hAnsi="Times New Roman" w:cs="Times New Roman"/>
          <w:sz w:val="28"/>
          <w:szCs w:val="28"/>
        </w:rPr>
        <w:t xml:space="preserve"> ((В 2020 году экономика Польши сократилась на 2,0% - один из наиболее мягких спадов в ЕС, значительно лучше среднего по союзу (-6,1%).[^72])) ((В 2021 году рост ВВП составил 5,9%, а в 2022-м - 4,9%, несмотря на войну в Украине, энергетический кризис и инфляцию.[^73])) Такая устойчивость объясняется несколькими факторами: крупным внутренним рынком, диверсифицированной структурой экономики, гибким обменным курсом злотого и антикризисным пакетом Tarcza Antykryzysowa объёмом около 55 млрд долларов. Цифровой компонент тоже имел значение: расширение mObywatel, интеграция электронных рецептов и цифровых водительских удостоверений в 2020 году помогли сохранить часть административных процедур в дистанционном формате.</w:t>
      </w:r>
    </w:p>
    <w:p w14:paraId="5F9484F9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lastRenderedPageBreak/>
        <w:pict w14:anchorId="0E45E294">
          <v:rect id="_x0000_i1829" style="width:0;height:1.5pt" o:hralign="center" o:hrstd="t" o:hr="t" fillcolor="#a0a0a0" stroked="f"/>
        </w:pict>
      </w:r>
    </w:p>
    <w:p w14:paraId="5FBE1BF9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Кризис 2022 года обнажил более высокую чувствительность Польши к энергетическому и инфляционному шоку. Зависимость от угольной энергетики - одна из самых высоких среди стран МЭА - и доля ископаемого топлива на уровне 85% общего энергоснабжения в 2020 году создавали структурную уязвимость. Дополнительное давление - близость к зоне конфликта и значительный приток украинских беженцев. ((Инфляция достигла 18,4% в феврале 2023 года.[^74])) ((Для смягчения последствий правительство ввело Антиинфляционный щит: снижение НДС на электроэнергию с 23% до 5%, на отопление - с 23% до 8%, а также снижение НДС и акцизов на топливо; общая стоимость мер составила около 2,1% ВВП.[^75])) Сравнение польского и эстонского кейсов подтверждает одну и ту же логику: цифровая зрелость смягчает шоки мобильности и административных ограничений, но не закрывает структурную уязвимость к энергетическим и ценовым потрясениям.</w:t>
      </w:r>
    </w:p>
    <w:p w14:paraId="731BCB30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Для группы переходных экономик (16 стран, 233 наблюдения) основной эффект цифровизации оказался наиболее выраженным: коэффициент при log_internet составил β = 0,3085 (p &lt; 0,001). Рост интернет-проникновения на 1% связан с увеличением ВВП на душу населения примерно на 0,31% при прочих равных условиях. Кризисные interaction terms при этом статистически незначимы: β_covid = 0,1105 (p = 0,661), β_geo = -0,1252 (p = 0,456). Иными словами, в переходных экономиках цифровизация выступает устойчивым фактором роста, но не подтверждённым антикризисным буфером. Отрицательный знак коэффициента при геополитическом кризисе, вероятно, связан со спецификой выборки - она включает страны, непосредственно затронутые шоком 2022 года, когда цифровизация не могла компенсировать структурные потери от разрыва торговых и энергетических цепочек.</w:t>
      </w:r>
    </w:p>
    <w:p w14:paraId="0C4EE9AD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6D7B2A29">
          <v:rect id="_x0000_i1830" style="width:0;height:1.5pt" o:hralign="center" o:hrstd="t" o:hr="t" fillcolor="#a0a0a0" stroked="f"/>
        </w:pict>
      </w:r>
    </w:p>
    <w:p w14:paraId="4A67416D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lastRenderedPageBreak/>
        <w:t>Для группы развивающихся экономик, включающей Узбекистан (11 стран, 144 наблюдения), основной эффект также положителен и значим: β = 0,1978 (p &lt; 0,001). Рост интернет-проникновения на 1% связан с увеличением ВВП на душу населения примерно на 0,20%. Кризисные</w:t>
      </w:r>
      <w:r w:rsidRPr="0064064A">
        <w:rPr>
          <w:rFonts w:ascii="Times New Roman" w:hAnsi="Times New Roman" w:cs="Times New Roman"/>
          <w:sz w:val="28"/>
          <w:szCs w:val="28"/>
          <w:lang w:val="en-CA"/>
        </w:rPr>
        <w:t xml:space="preserve"> interaction terms </w:t>
      </w:r>
      <w:r w:rsidRPr="0064064A">
        <w:rPr>
          <w:rFonts w:ascii="Times New Roman" w:hAnsi="Times New Roman" w:cs="Times New Roman"/>
          <w:sz w:val="28"/>
          <w:szCs w:val="28"/>
        </w:rPr>
        <w:t>незначимы</w:t>
      </w:r>
      <w:r w:rsidRPr="0064064A">
        <w:rPr>
          <w:rFonts w:ascii="Times New Roman" w:hAnsi="Times New Roman" w:cs="Times New Roman"/>
          <w:sz w:val="28"/>
          <w:szCs w:val="28"/>
          <w:lang w:val="en-CA"/>
        </w:rPr>
        <w:t xml:space="preserve">: </w:t>
      </w:r>
      <w:r w:rsidRPr="0064064A">
        <w:rPr>
          <w:rFonts w:ascii="Times New Roman" w:hAnsi="Times New Roman" w:cs="Times New Roman"/>
          <w:sz w:val="28"/>
          <w:szCs w:val="28"/>
        </w:rPr>
        <w:t>β</w:t>
      </w:r>
      <w:r w:rsidRPr="0064064A">
        <w:rPr>
          <w:rFonts w:ascii="Times New Roman" w:hAnsi="Times New Roman" w:cs="Times New Roman"/>
          <w:sz w:val="28"/>
          <w:szCs w:val="28"/>
          <w:lang w:val="en-CA"/>
        </w:rPr>
        <w:t xml:space="preserve">_covid = 0,0184 (p = 0,697), </w:t>
      </w:r>
      <w:r w:rsidRPr="0064064A">
        <w:rPr>
          <w:rFonts w:ascii="Times New Roman" w:hAnsi="Times New Roman" w:cs="Times New Roman"/>
          <w:sz w:val="28"/>
          <w:szCs w:val="28"/>
        </w:rPr>
        <w:t>β</w:t>
      </w:r>
      <w:r w:rsidRPr="0064064A">
        <w:rPr>
          <w:rFonts w:ascii="Times New Roman" w:hAnsi="Times New Roman" w:cs="Times New Roman"/>
          <w:sz w:val="28"/>
          <w:szCs w:val="28"/>
          <w:lang w:val="en-CA"/>
        </w:rPr>
        <w:t xml:space="preserve">_geo = 0,0457 (p = 0,641). </w:t>
      </w:r>
      <w:r w:rsidRPr="0064064A">
        <w:rPr>
          <w:rFonts w:ascii="Times New Roman" w:hAnsi="Times New Roman" w:cs="Times New Roman"/>
          <w:sz w:val="28"/>
          <w:szCs w:val="28"/>
        </w:rPr>
        <w:t>Цифровизация уже поддерживает экономический рост, но буферного эффекта при внешних шоках пока не даёт. Для Узбекистана это означает конкретное: расширение цифрового доступа само по себе работает на рост, но для смягчения внешних шоков нужен более высокий уровень цифровой инфраструктуры, институциональной интеграции и реального использования технологий в бизнесе. Дополнительно стоит учитывать ограничение статистической мощности: 144 наблюдения на 11 стран при 9 переменных снижают вероятность выявления слабых эффектов.</w:t>
      </w:r>
    </w:p>
    <w:p w14:paraId="7645D98C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290D61A1">
          <v:rect id="_x0000_i1831" style="width:0;height:1.5pt" o:hralign="center" o:hrstd="t" o:hr="t" fillcolor="#a0a0a0" stroked="f"/>
        </w:pict>
      </w:r>
    </w:p>
    <w:p w14:paraId="70B7BFB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Визуальное сопоставление интернет-проникновения и ВВП на душу населения в кризисные годы представлено на рисунке 2.4. Он дополняет результаты FE-моделей: развитые экономики находятся в зоне высоких значений обоих показателей, тогда как переходные и развивающиеся страны демонстрируют более неоднородную траекторию.</w:t>
      </w:r>
    </w:p>
    <w:p w14:paraId="544323C0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Рисунок 2.4 - Взаимосвязь между уровнем интернет-проникновения и ВВП на душу населения в кризисные годы по группам стран</w:t>
      </w:r>
    </w:p>
    <w:p w14:paraId="2EBF6D38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i/>
          <w:iCs/>
          <w:sz w:val="28"/>
          <w:szCs w:val="28"/>
        </w:rPr>
        <w:t>Источник: составлено автором на основе результатов эконометрического моделирования в RStudio.</w:t>
      </w:r>
    </w:p>
    <w:p w14:paraId="00CDC97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01672559">
          <v:rect id="_x0000_i1832" style="width:0;height:1.5pt" o:hralign="center" o:hrstd="t" o:hr="t" fillcolor="#a0a0a0" stroked="f"/>
        </w:pict>
      </w:r>
    </w:p>
    <w:p w14:paraId="71B6EF69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 xml:space="preserve">Полученные коэффициенты позволяют построить условные прогнозные сценарии и сравнить потенциальный эффект роста интернет-проникновения между группами стран. Это не полноценный макроэкономический прогноз - расчёты основаны на предположении ceteris paribus и показывают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относительный вклад цифровизации в динамику ВВП на душу населения. Сводные прогнозные значения по трём группам на 2025-2030 годы представлены в таблице 2.5. Детальная интерпретация сценария для Узбекистана рассматривается в §3.3.</w:t>
      </w:r>
    </w:p>
    <w:p w14:paraId="120B81C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Таблица 2.5 - Прогноз ВВП на душу населения по группам стран на 2025-2030 годы (FE-модели)</w:t>
      </w:r>
    </w:p>
    <w:p w14:paraId="5E7EDDF3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i/>
          <w:iCs/>
          <w:sz w:val="28"/>
          <w:szCs w:val="28"/>
        </w:rPr>
        <w:t>Источник: составлено автором на основе результатов эконометрического моделирования в RStudio.</w:t>
      </w:r>
    </w:p>
    <w:p w14:paraId="44159CA0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6D108239">
          <v:rect id="_x0000_i1833" style="width:0;height:1.5pt" o:hralign="center" o:hrstd="t" o:hr="t" fillcolor="#a0a0a0" stroked="f"/>
        </w:pict>
      </w:r>
    </w:p>
    <w:p w14:paraId="0C268ECE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Проведённый эконометрический анализ на несбалансированной панели 49 стран за 2010-2024 годы (707 наблюдений) даёт несколько выводов. Основная гипотеза (H₁) подтверждается: коэффициент при log_internet положителен и значим во всех трёх группах - β = 0,212 для развитых, β = 0,309 для переходных и β = 0,198 для развивающихся экономик. Вспомогательная гипотеза (H₂) также получает подтверждение: тест Чоу отвергает однородность коэффициентов (p = 1,15 × 10⁻¹¹), а антикризисные interaction terms значимы только для развитых стран - β_covid = 0,394 (p = 0,003), β_geo = 0,394 (p = 0,020). Для переходных и развивающихся экономик такие эффекты статистически не подтверждаются. Цифровизация выступает фактором роста во всех группах, но функцию макроэкономического стабилизатора начинает выполнять только при высоком уровне цифровой зрелости. Для Узбекистана - расширение интернет-проникновения усиливает рост, но для антикризисного эффекта нужна более глубокая цифровизация экономики и частного сектора.</w:t>
      </w:r>
    </w:p>
    <w:p w14:paraId="3E411ECC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2D60BC12">
          <v:rect id="_x0000_i1834" style="width:0;height:1.5pt" o:hralign="center" o:hrstd="t" o:hr="t" fillcolor="#a0a0a0" stroked="f"/>
        </w:pict>
      </w:r>
    </w:p>
    <w:p w14:paraId="63474728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Выводы по второй главе.</w:t>
      </w:r>
      <w:r w:rsidRPr="0064064A">
        <w:rPr>
          <w:rFonts w:ascii="Times New Roman" w:hAnsi="Times New Roman" w:cs="Times New Roman"/>
          <w:sz w:val="28"/>
          <w:szCs w:val="28"/>
        </w:rPr>
        <w:t xml:space="preserve"> Анализ показал: цифровизация повышает устойчивость национальных экономик, но её эффект зависит от типа кризиса и уровня цифровой зрелости. В 2020 году Эстония, Корея, Сингапур и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Польша прошли пандемийный шок мягче среднего по ЕС - это связано с цифровым государством, онлайн-сервисами и механизмами адресной поддержки. Кризис 2022 года показал предел: энергетические и геополитические шоки цифровые технологии не компенсируют даже при высокой цифровой зрелости. Эконометрика на панели 49 стран подтвердила положительную связь между интернет-проникновением и ВВП на душу населения: β = 0,2117 для развитых, β = 0,3085 для переходных, β = 0,1978 для развивающихся экономик. Тест Чоу подтвердил структурные различия между группами (p = 1,151 × 10⁻¹¹). Антикризисный буферный эффект выявлен только у развитых стран: β_covid = 0,3940 (p = 0,003), β_geo = 0,3943 (p = 0,020). Для Узбекистана вывод конкретный: расширение интернет-проникновения работает на рост, но для антикризисного эффекта нужна более глубокая цифровизация экономики.</w:t>
      </w:r>
    </w:p>
    <w:p w14:paraId="1E42511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ГЛАВА III. ИСПОЛЬЗОВАНИЕ МЕЖДУНАРОДНОГО ОПЫТА ЦИФРОВИЗАЦИИ В УСЛОВИЯХ РЕСПУБЛИКИ УЗБЕКИСТАН</w:t>
      </w:r>
    </w:p>
    <w:p w14:paraId="712E228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3.1. Современное состояние цифровой трансформации экономики Узбекистана в рамках Стратегии «Цифровой Узбекистан - 2030»</w:t>
      </w:r>
    </w:p>
    <w:p w14:paraId="11F00F02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Вторая глава дала сравнительную картину и эконометрику - теперь нужно посмотреть на Узбекистан конкретно. Задача этого параграфа не в том, чтобы перечислить государственные программы, а в том, чтобы охарактеризовать стартовую позицию национальной экономики по тем же индикаторам, которые использовались при анализе Эстонии, Кореи, Сингапура и Польши. Только тогда сравнение будет методологически честным.</w:t>
      </w:r>
    </w:p>
    <w:p w14:paraId="417C7167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2721E7F0">
          <v:rect id="_x0000_i1877" style="width:0;height:1.5pt" o:hralign="center" o:hrstd="t" o:hr="t" fillcolor="#a0a0a0" stroked="f"/>
        </w:pict>
      </w:r>
    </w:p>
    <w:p w14:paraId="5E1766A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 xml:space="preserve">((Стратегия «Цифровой Узбекистан - 2030», утверждённая Указом Президента № УП-6079 от 5 октября 2020 года, определяет основные ориентиры цифровой трансформации национальной экономики.[^82])) ((В её рамках в 2023-2024 годах реализовывались программы «Цифровое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правительство» и «Цифровой регион», включавшие 300 приоритетных проектов: 112 - в сфере цифровизации государственного управления, 51 - в секторах реальной экономики и 137 - в области региональной цифровой трансформации.[^83])) ((Стратегия устанавливает количественные ориентиры: увеличение доли цифровой экономики в ВВП не менее чем в 2,5 раза к 2026 году, рост экспорта программного обеспечения в 10 раз - до 500 млн долларов США, а также вхождение в число 30 ведущих стран мира по EGDI к 2030 году.[^84])) Эти ориентиры позволяют оценить, насколько фактическая динамика соответствует заявленным целям.</w:t>
      </w:r>
    </w:p>
    <w:p w14:paraId="42CA7754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5ACBAACB">
          <v:rect id="_x0000_i1878" style="width:0;height:1.5pt" o:hralign="center" o:hrstd="t" o:hr="t" fillcolor="#a0a0a0" stroked="f"/>
        </w:pict>
      </w:r>
    </w:p>
    <w:p w14:paraId="6C5096BF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Международное позиционирование показывает реальный прогресс. ((По данным E-Government Survey ООН за 2024 год, Узбекистан занял 63-е место среди 193 стран со значением EGDI 0,7999, поднявшись с 69-й позиции в 2022 году (EGDI 0,7265), и впервые вошёл в группу стран с «очень высоким» уровнем развития электронного правительства.[^85])) Целевой показатель EGDI ≥ 0,75 на 2025 год был достигнут раньше срока. ((Одновременно Узбекистан поднялся на 37 позиций в GovTech Maturity Index Всемирного банка и впервые вошёл в высшую категорию «A».[^86])) ((В Индексе готовности к ИИ Oxford Insights страна улучшила позиции: с 87-го места в 2023 году до 70-го в 2024-м и 62-го в 2025-м.[^87])) Разрыв с лидерами, однако, сохраняется: по сравнению с Эстонией, занявшей 2-е место в EGDI 2024, отставание составляет 0,1728 пункта и 61 позицию рейтинга.</w:t>
      </w:r>
    </w:p>
    <w:p w14:paraId="6AB4174B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526407F5">
          <v:rect id="_x0000_i1879" style="width:0;height:1.5pt" o:hralign="center" o:hrstd="t" o:hr="t" fillcolor="#a0a0a0" stroked="f"/>
        </w:pict>
      </w:r>
    </w:p>
    <w:p w14:paraId="19EE8678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 xml:space="preserve">Состояние цифровой инфраструктуры - базовое условие для реализации пяти каналов влияния цифровизации на устойчивость. ((К началу 2023 года протяжённость волоконно-оптических линий связи превысила 227 тыс. км.[^88])) ((К 2024 году покрытие 4G достигло 97% населения, тогда как 5G - лишь 18%.[^89])) ((По данным МСЭ, уровень проникновения интернета в 2023 году достиг 89% против 83,9% годом ранее.[^90])) ((Структура доступа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остаётся преимущественно мобильной: активная мобильная широкополосная подписка - 107%, фиксированная - 30,3%.[^91])) ((По Speedtest Global Index, к началу 2025 года медианная скорость в фиксированной сети достигла 79 Мбит/с (+43% за год), в мобильной - 38 Мбит/с (+53%).[^92])) Базовая инфраструктура уже сформирована. Следующий этап - качество связи, расширение 5G и развитие фиксированного широкополосного доступа.</w:t>
      </w:r>
    </w:p>
    <w:p w14:paraId="6EA9647C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62923684">
          <v:rect id="_x0000_i1880" style="width:0;height:1.5pt" o:hralign="center" o:hrstd="t" o:hr="t" fillcolor="#a0a0a0" stroked="f"/>
        </w:pict>
      </w:r>
    </w:p>
    <w:p w14:paraId="7380E068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ИКТ-сектор растёт быстро, хотя его доля в экономике пока невелика. ((По данным Агентства государственной статистики, в 2024 году ВВП страны составил 1 454,6 трлн сумов (114,96 млрд долларов), увеличившись на 6,5% в реальном выражении; доля услуг информации и связи в валовой добавленной стоимости достигла 2,4%.[^93])) Основная часть добавленной стоимости внутри сектора приходится на телекоммуникации и компьютерное программирование. ((Темп роста сектора информации и связи в 2024 году составил 24,7% в реальном выражении - значительно выше общего темпа роста ВВП.[^94])) Для сравнения: в странах ОЭСР доля ИКТ-сектора в валовой добавленной стоимости в 2023 году в среднем составила 6,2%. Узбекистан пока н</w:t>
      </w:r>
    </w:p>
    <w:p w14:paraId="7256A4B3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 xml:space="preserve">ИКТ-сектор растёт быстро, хотя его доля в экономике пока невелика. ((По данным Агентства государственной статистики, в 2024 году ВВП страны составил 1 454,6 трлн сумов (114,96 млрд долларов), увеличившись на 6,5% в реальном выражении; доля услуг информации и связи в валовой добавленной стоимости достигла 2,4%.[^93])) Основная часть добавленной стоимости внутри сектора приходится на телекоммуникации и компьютерное программирование, тогда как хостинг, обработка данных, разработка ПО и ремонт оборудования занимают меньшую долю. ((Темп роста сектора информации и связи в 2024 году составил 24,7% в реальном выражении - значительно выше общего темпа роста ВВП.[^94])) Для сравнения: в странах ОЭСР доля ИКТ в валовой добавленной стоимости в 2023 году в среднем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составила 6,2%. Узбекистан пока на раннем этапе - но динамика обнадёживает.</w:t>
      </w:r>
    </w:p>
    <w:p w14:paraId="00F957CC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54C45C98">
          <v:rect id="_x0000_i1915" style="width:0;height:1.5pt" o:hralign="center" o:hrstd="t" o:hr="t" fillcolor="#a0a0a0" stroked="f"/>
        </w:pict>
      </w:r>
    </w:p>
    <w:p w14:paraId="78A9EED1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((IT Park, созданный в 2019 году, к концу 2024-го объединял более 2 500 компаний-резидентов и около 11 тыс. работников.[^95])) ((Экспорт ИКТ-услуг, по данным Министерства цифровых технологий, вырос с 50 млн долларов в 2015 году до 344 млн долларов в 2023-м.[^96])) ((Оценки за 2024 год расходятся в зависимости от источника: в одних - 620 млн долларов, в других - 1,15 млрд долларов.[^97])) Важнее смотреть не на отдельную цифру, а на общую динамику: экспорт ИКТ-услуг устойчиво растёт, и роль IT Park как институционального центра цифровой экономики усиливается.</w:t>
      </w:r>
    </w:p>
    <w:p w14:paraId="2A3BD398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0C21245D">
          <v:rect id="_x0000_i1916" style="width:0;height:1.5pt" o:hralign="center" o:hrstd="t" o:hr="t" fillcolor="#a0a0a0" stroked="f"/>
        </w:pict>
      </w:r>
    </w:p>
    <w:p w14:paraId="54314369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Цифровизация финансовой системы - одно из наиболее быстро развивающихся направлений, создающее основу для канала фискальной трансмиссии. ((По данным отчёта Mastercard «Fintech Market Uzbekistan» за 2023 год, число пользователей удалённых банковских услуг выросло с примерно 8 млн человек в 2018 году до 30 млн в 2022-м.[^98])) ((В 2020-2022 годах объём QR-транзакций рос в среднем на 119%[^117] в год, а совокупная стоимость операций увеличилась примерно в 15 раз.[^99])) ((К началу 2024 года в обращении находилось более 5,6 млн держателей платёжных карт, число клиентов интернет-банкинга превысило 900 тыс., а на 100 тыс. населения приходилось 28,3 банкомата и 552,5 POS-терминала.[^100])) ((Совокупный объём транзакций через межбанковскую систему в 2024 году превысил 7 279 трлн сумов.[^101])) Цифровые финансы уже формируют инфраструктурную базу для быстрой передачи государственных выплат и антикризисных мер - именно то, что во второй главе разбиралось на примере Сингапура и Кореи.</w:t>
      </w:r>
    </w:p>
    <w:p w14:paraId="00F40125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6E7CC1E6">
          <v:rect id="_x0000_i1917" style="width:0;height:1.5pt" o:hralign="center" o:hrstd="t" o:hr="t" fillcolor="#a0a0a0" stroked="f"/>
        </w:pict>
      </w:r>
    </w:p>
    <w:p w14:paraId="2BDC8E6E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lastRenderedPageBreak/>
        <w:t>Картина в целом такая: цифровая трансформация Узбекистана развивается неравномерно. Страна заметно продвинулась в развитии цифрового государства, базовой инфраструктуры и цифровых финансов - международные индексы это подтверждают. Но отставание по доле ИКТ-сектора в валовой добавленной стоимости и по распространению продвинутых технологий среди предприятий сохраняется. По этому признаку Узбекистан близок к польской модели «конвергенции с ограничениями» из §2.1: государственные цифровые сервисы развиваются активно, а цифровая зрелость частного сектора - заметно медленнее. Как сократить эту асимметрию через адаптацию международного опыта - об этом следующий параграф.</w:t>
      </w:r>
    </w:p>
    <w:p w14:paraId="4750EF53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432784A6">
          <v:rect id="_x0000_i1918" style="width:0;height:1.5pt" o:hralign="center" o:hrstd="t" o:hr="t" fillcolor="#a0a0a0" stroked="f"/>
        </w:pict>
      </w:r>
    </w:p>
    <w:p w14:paraId="06FA0E92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3.2. Адаптация международного опыта цифровой трансформации к условиям Республики Узбекистан</w:t>
      </w:r>
    </w:p>
    <w:p w14:paraId="420DB6E1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Результаты §2.3 и сравнительный анализ четырёх стран-лидеров дают основание перейти к конкретному вопросу: какой международный опыт реально применим в условиях Узбекистана. Адаптация здесь - не копирование инструментов, а выборочное использование институциональных решений с учётом стартовых условий, описанных в §3.1.</w:t>
      </w:r>
    </w:p>
    <w:p w14:paraId="232DA64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5E18A3F4">
          <v:rect id="_x0000_i1919" style="width:0;height:1.5pt" o:hralign="center" o:hrstd="t" o:hr="t" fillcolor="#a0a0a0" stroked="f"/>
        </w:pict>
      </w:r>
    </w:p>
    <w:p w14:paraId="2951227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((Отправная точка - результат §2.3: тест Чоу (F = 5,34; p = 1,15 × 10⁻¹¹) подтвердил статистически значимые различия между развитыми, переходными и развивающимися экономиками. Узбекистан по классификации Всемирного банка lower-middle income[^102] и методологии ЮНКТАД[^103] входит в группу развивающихся экономик - 11 стран, 144 наблюдения.)) В этой группе коэффициент при log_internet составил β = 0,198 (p &lt; 0,001): рост доли интернет-пользователей на 1% ассоциируется с увеличением ВВП на душу населения примерно на 0,20%.</w:t>
      </w:r>
    </w:p>
    <w:p w14:paraId="71EEE712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lastRenderedPageBreak/>
        <w:t>Кризисные interaction terms в группе развивающихся экономик оказались незначимыми: β_covid = 0,0184 (p = 0,697), β_geo = 0,0457 (p = 0,641). При текущем уровне цифровой зрелости технологии поддерживают рост в обычных условиях, но буферного эффекта при внешних шоках не дают. Стратегическая задача Узбекистана поэтому двойная: расширять цифровой доступ и одновременно превращать цифровизацию в полноценный инструмент антикризисной устойчивости.</w:t>
      </w:r>
    </w:p>
    <w:p w14:paraId="75239D4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6B3963EA">
          <v:rect id="_x0000_i1943" style="width:0;height:1.5pt" o:hralign="center" o:hrstd="t" o:hr="t" fillcolor="#a0a0a0" stroked="f"/>
        </w:pict>
      </w:r>
    </w:p>
    <w:p w14:paraId="7256148B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В развитых экономиках (22 страны, 330 наблюдений) антикризисный эффект статистически значим: β при log_internet × Crisis_COVID = 0,394 (p = 0,003), β при log_internet × Crisis_Geo = 0,394 (p = 0,020). Цифровизация там выполняет не только функцию фактора роста, но и роль макроэкономического стабилизатора. Для Узбекистана это задаёт ориентир: достичь такого уровня цифровой зрелости, при котором технологии смягчают не только транзакционные ограничения, но и кризисные колебания деловой активности. Сопоставление кризисных interaction terms по группам стран представлено на рисунке 3.1.</w:t>
      </w:r>
    </w:p>
    <w:p w14:paraId="6B5F11A7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Рисунок 3.1 - Дифференциальная эластичность цифровизации в кризисные периоды по группам стран</w:t>
      </w:r>
    </w:p>
    <w:p w14:paraId="393528EE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i/>
          <w:iCs/>
          <w:sz w:val="28"/>
          <w:szCs w:val="28"/>
        </w:rPr>
        <w:t>Источник: составлено автором на основе результатов эконометрического моделирования в RStudio.</w:t>
      </w:r>
    </w:p>
    <w:p w14:paraId="477016A4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13BAFBED">
          <v:rect id="_x0000_i1944" style="width:0;height:1.5pt" o:hralign="center" o:hrstd="t" o:hr="t" fillcolor="#a0a0a0" stroked="f"/>
        </w:pict>
      </w:r>
    </w:p>
    <w:p w14:paraId="322165CC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 xml:space="preserve">Сравнение четырёх моделей из §2.1 позволяет выделить элементы, полезные именно для Узбекистана. ((Эстонская модель межведомственной интероперабельности X-Road представляет особый интерес: она обеспечивает защищённый обмен данными между государственными органами и частным сектором, усиливая канал фискальной трансмиссии и снижая административные издержки.[^104])) ((Дополнительное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преимущество - открытая архитектура X-Road, снижающая барьеры технологического заимствования.[^105])) Вместе с тем прямое копирование невозможно из-за разницы в масштабе. ((Население Эстонии - около 1,3 млн человек[^106], Узбекистана - свыше 36 млн.[^107])) Для Узбекистана важен не буквальный перенос X-Road, а адаптация ключевых принципов: межведомственная интероперабельность, защищённый обмен данными, открытая архитектура, масштабируемость. Различия по уровню экономического развития и интернет-проникновения между группами стран представлены на рисунке 3.2.</w:t>
      </w:r>
    </w:p>
    <w:p w14:paraId="464B233E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Рисунок 3.2 - Динамика ln(GDPpc) и ln(интернет-проникновения) по группам стран за 2010-2024 годы</w:t>
      </w:r>
    </w:p>
    <w:p w14:paraId="4B93DD16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i/>
          <w:iCs/>
          <w:sz w:val="28"/>
          <w:szCs w:val="28"/>
        </w:rPr>
        <w:t>Источник: составлено автором на основе результатов эконометрического моделирования в RStudio.</w:t>
      </w:r>
    </w:p>
    <w:p w14:paraId="02956D7D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075F6694">
          <v:rect id="_x0000_i1945" style="width:0;height:1.5pt" o:hralign="center" o:hrstd="t" o:hr="t" fillcolor="#a0a0a0" stroked="f"/>
        </w:pict>
      </w:r>
    </w:p>
    <w:p w14:paraId="3995F561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((Корейская модель масштабного государственного инвестирования в цифровизацию релевантна для Узбекистана прежде всего с точки зрения институционального дизайна.[^108])) Корея показывает: включение цифровых проектов в антикризисные бюджетные программы позволяет одновременно поддерживать восстановление и создавать основу для долгосрочной устойчивости. Прямое воспроизведение модели ограничено масштабом: в первый год реализации Digital New Deal на цифровые технологии направили 10,1 трлн вон, или около 8,5 млрд долларов. Для Узбекистана важен не масштаб расходов, а принцип - привязка программ цифровизации к антикризисным бюджетным циклам.</w:t>
      </w:r>
    </w:p>
    <w:p w14:paraId="27B273A6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 xml:space="preserve">((Польская модель имеет значение для Узбекистана в контексте преодоления асимметрии цифровой зрелости,[^109] выявленной в §3.1.)) Её ключевой урок прост: развитие цифрового государства должно сопровождаться целевыми мерами по цифровизации малого и среднего бизнеса - иначе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возникает разрыв между государственными сервисами и частным сектором. ((В условиях Узбекистана такую функцию могут выполнять программы Азиатского банка развития,[^110] ЕБРР[^111] и Всемирного банка, уже участвующие в финансировании проектов цифровой инфраструктуры.))</w:t>
      </w:r>
    </w:p>
    <w:p w14:paraId="040B675F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715D16B6">
          <v:rect id="_x0000_i1967" style="width:0;height:1.5pt" o:hralign="center" o:hrstd="t" o:hr="t" fillcolor="#a0a0a0" stroked="f"/>
        </w:pict>
      </w:r>
    </w:p>
    <w:p w14:paraId="4489669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((Сингапурская модель наименее пригодна для прямого переноса из-за различий в масштабе: Сингапур - город-государство площадью 728 км², Узбекистан занимает 448 тыс. км² и имеет выраженную региональную дисперсию.)) Вместе с тем отдельные элементы применимы. ((Прежде всего - система цифровой идентификации Singpass[^112] и механизмы адресной фискальной помощи через цифровые каналы.)) Их можно адаптировать для крупных городов Узбекистана - Ташкента, Самарканда и Бухары.</w:t>
      </w:r>
    </w:p>
    <w:p w14:paraId="6631F989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1B3D2B4C">
          <v:rect id="_x0000_i1968" style="width:0;height:1.5pt" o:hralign="center" o:hrstd="t" o:hr="t" fillcolor="#a0a0a0" stroked="f"/>
        </w:pict>
      </w:r>
    </w:p>
    <w:p w14:paraId="263EE393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Синтез сравнительного и эконометрического анализа даёт общую рамку адаптации: для Узбекистана приоритетом должна стать не формальная максимизация композитных индексов цифровой зрелости, а развитие инфраструктуры канала фискальной трансмиссии - национальной системы цифровой идентификации, интегрированных межведомственных баз данных и цифровых платежей. ((Именно этот канал, как показано в §2.2, обеспечил высокую скорость развёртывания антикризисных программ в Сингапуре и Корее в период пандемии 2020 года.[^114]))</w:t>
      </w:r>
    </w:p>
    <w:p w14:paraId="55AD39F8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14B2BABC">
          <v:rect id="_x0000_i1969" style="width:0;height:1.5pt" o:hralign="center" o:hrstd="t" o:hr="t" fillcolor="#a0a0a0" stroked="f"/>
        </w:pict>
      </w:r>
    </w:p>
    <w:p w14:paraId="7195C871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3.3. Практические рекомендации по укреплению цифровой устойчивости экономики Республики Узбекистан и оценка ожидаемого эффекта</w:t>
      </w:r>
    </w:p>
    <w:p w14:paraId="1A377FB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 xml:space="preserve">Рекомендации этого параграфа опираются на три результата исследования. Первый: в группе развивающихся экономик выявлена значимая положительная связь между интернет-проникновением и ВВП на душу населения (β = 0,198; p &lt; 0,001). Второй: в этой же группе антикризисный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эффект цифровизации не подтверждён. Третий: такой эффект выявлен в группе развитых стран (β_covid = 0,394; p = 0,003). Логика рекомендаций двухуровневая: первый уровень - усилить прямой эффект цифровизации как фактора роста, второй - создать институциональные условия для перехода цифровизации к функции макроэкономического стабилизатора.</w:t>
      </w:r>
    </w:p>
    <w:p w14:paraId="6A50C926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Вторая рекомендация - преодоление асимметрии цифровой зрелости из §3.1: разрыва между государственными цифровыми сервисами и более ограниченной цифровизацией частного сектора. Эконометрика показала: в группе развивающихся экономик экспорт высокотехнологичных товаров пока не является значимым фактором роста (β_hightech = -0,0013; p = 0,835), тогда как в развитых странах его вклад положителен и значим (β_hightech = 0,0067; p = 0,027). Цифровизация предприятий в Узбекистане ещё не транслируется в структурную диверсификацию экспорта. ((На практике рекомендуется расширение программ IT Park Uzbekistan[^116] в направлении поддержки цифровизации традиционных отраслей - текстильной промышленности, АПК, горнодобычи - а не только экспортно-ориентированного ИТ-сектора.))</w:t>
      </w:r>
    </w:p>
    <w:p w14:paraId="38419C2F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55837790">
          <v:rect id="_x0000_i1991" style="width:0;height:1.5pt" o:hralign="center" o:hrstd="t" o:hr="t" fillcolor="#a0a0a0" stroked="f"/>
        </w:pict>
      </w:r>
    </w:p>
    <w:p w14:paraId="481187B2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Третья рекомендация - развитие инфраструктуры канала фискальной трансмиссии. Как показал §2.2, антикризисная скорость Сингапура и Кореи в 2020 году определялась не масштабом цифровой экономики, а тремя базовыми элементами: национальной системой цифровой идентификации, интегрированными межведомственными базами данных и инфраструктурой мгновенных цифровых платежей. В Узбекистане первый элемент уже формируется - ((система MyID[^113])); второй на ранней стадии; третий растёт быстро - QR-транзакции прибавляли 119% в год в 2020-2022 годах. ((Рекомендуется ускоренное завершение интеграции MyID с межведомственными базами данных по модели эстонской X-Road[^118] - это создаст технологическую основу для адресного и мгновенного развёртывания антикризисных программ при будущих внешних шоках.))</w:t>
      </w:r>
    </w:p>
    <w:p w14:paraId="638FA296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lastRenderedPageBreak/>
        <w:pict w14:anchorId="2F8EC4CD">
          <v:rect id="_x0000_i1992" style="width:0;height:1.5pt" o:hralign="center" o:hrstd="t" o:hr="t" fillcolor="#a0a0a0" stroked="f"/>
        </w:pict>
      </w:r>
    </w:p>
    <w:p w14:paraId="185D360D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Четвёртая рекомендация - учёт типа кризиса при проектировании цифровой устойчивости. Эконометрика показала разницу: при COVID-19 цифровизация дала значимый буферный эффект в развитых странах (p = 0,003), при геополитическом кризисе 2022 года - менее универсальный. В переходных экономиках коэффициент при геополитическом кризисе отрицателен, но незначим (β = -0,1252; p = 0,456) - цифровизация не компенсирует потери от разрыва торговых и энергетических цепочек. Для Узбекистана вывод практический: цифровизация - инструмент против шоков мобильности и информационной асимметрии (пандемии, логистические сбои, административные ограничения), но не замена политике энергетической безопасности и диверсификации внешней торговли.</w:t>
      </w:r>
    </w:p>
    <w:p w14:paraId="4AEF573B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1320BF1F">
          <v:rect id="_x0000_i1993" style="width:0;height:1.5pt" o:hralign="center" o:hrstd="t" o:hr="t" fillcolor="#a0a0a0" stroked="f"/>
        </w:pict>
      </w:r>
    </w:p>
    <w:p w14:paraId="5AF24959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Пятая рекомендация связана с ограничением статистической мощности модели для группы развивающихся экономик. 144 наблюдения снижают вероятность выявления слабых эффектов - незначимость interaction terms может объясняться не только отсутствием антикризисного эффекта, но и недостатком данных. ((Рекомендуется систематический мониторинг показателей цифровизации и устойчивости в рамках Стратегии «Цифровой Узбекистан - 2030»[^119] с периодической повторной оценкой модели по мере накопления данных.)) Включение Узбекистана в международные панельные базы по цифровизации повысит сопоставимость результатов и позволит точнее отслеживать сближение с группой переходных экономик, где основной эффект цифровизации на рост выражен сильнее (β = 0,309; p &lt; 0,001).</w:t>
      </w:r>
    </w:p>
    <w:p w14:paraId="60A11A95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Пять рекомендаций дают чёткую последовательность приоритетов. Первый этап - 2025-2027 годы: завершить формирование инфраструктуры фискальной трансмиссии - интегрировать MyID с межведомственными базами данных, расширить цифровые платежи, довести интернет-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проникновение до 90%. Второй этап - 2027-2030 годы: цифровизация частного сектора и сокращение разрыва между государственными онлайн-сервисами и цифровой зрелостью предприятий через программы для малого и среднего бизнеса. Третий этап - после 2030 года: достичь такого уровня цифровой зрелости, при котором цифровизация начнёт выполнять функцию макроэкономического стабилизатора - аналогичную выявленной в группе развитых стран. ((Указанная последовательность согласуется с целевыми показателями Стратегии «Цифровой Узбекистан - 2030»[^120] и опирается на количественные результаты, полученные в этом исследовании.))</w:t>
      </w:r>
    </w:p>
    <w:p w14:paraId="1F85A6CA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034D7882">
          <v:rect id="_x0000_i2015" style="width:0;height:1.5pt" o:hralign="center" o:hrstd="t" o:hr="t" fillcolor="#a0a0a0" stroked="f"/>
        </w:pict>
      </w:r>
    </w:p>
    <w:p w14:paraId="655C52FF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Выводы по третьей главе.</w:t>
      </w:r>
      <w:r w:rsidRPr="0064064A">
        <w:rPr>
          <w:rFonts w:ascii="Times New Roman" w:hAnsi="Times New Roman" w:cs="Times New Roman"/>
          <w:sz w:val="28"/>
          <w:szCs w:val="28"/>
        </w:rPr>
        <w:t xml:space="preserve"> Третья глава показала: прогресс есть, но структурная асимметрия сохраняется. В 2024 году Узбекистан занял 63-е место в EGDI (0,7999), интернет-проникновение достигло 89%, покрытие 4G - 97%. Но доля услуг информации и связи в валовой добавленной стоимости составляет лишь 2,4% - ниже среднего по ОЭСР. Эконометрика подтверждает: цифровизация уже работает как фактор роста (β = 0,1978; p &lt; 0,001), но до функции антикризисного стабилизатора пока не дотягивает. Из международного опыта наиболее применимы: X-Road - для межведомственной интероперабельности, корейская привязка цифровизации к антикризисным программам, польская поддержка МСБ, сингапурские решения по цифровой идентификации. Рекомендации поэтапные: 2025-2027 - MyID, межведомственная интеграция, цифровые платежи, интернет-проникновение до 90%; 2027-2030 - цифровизация традиционных отраслей и частного сектора; после 2030 - достижение уровня, при котором цифровизация выполняет не только функцию роста, но и функцию стабилизатора.</w:t>
      </w:r>
    </w:p>
    <w:p w14:paraId="21E8E2A5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4E14BC4A">
          <v:rect id="_x0000_i2016" style="width:0;height:1.5pt" o:hralign="center" o:hrstd="t" o:hr="t" fillcolor="#a0a0a0" stroked="f"/>
        </w:pict>
      </w:r>
    </w:p>
    <w:p w14:paraId="7E4B9DE4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35F53EBF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lastRenderedPageBreak/>
        <w:t>Настоящая работа была посвящена одному вопросу: является ли цифровизация статистически значимым фактором экономической устойчивости - и при каких условиях её влияние проявляется наиболее заметно. Ответ получен на основе трёх составляющих: теоретического анализа, сравнения международного опыта и эконометрического моделирования.</w:t>
      </w:r>
    </w:p>
    <w:p w14:paraId="1C74F63D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0C88368B">
          <v:rect id="_x0000_i2017" style="width:0;height:1.5pt" o:hralign="center" o:hrstd="t" o:hr="t" fillcolor="#a0a0a0" stroked="f"/>
        </w:pict>
      </w:r>
    </w:p>
    <w:p w14:paraId="4E173543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Теоретическая рамка первой главы опирается на подходы Л. Бригульо и соавторов к экономической уязвимости и устойчивости, аналитику ОЭСР, а также трактовки цифровой экономики Всемирного банка и других международных организаций. В работе систематизирована пятиканальная модель влияния цифровизации на устойчивость: непрерывность государственных функций, фискальная трансмиссия, адаптация частного сектора, диверсификация конечного спроса и устойчивость ИКТ-сектора. Главный теоретический вывод: устойчивость формируется не в момент кризиса, а заранее - через качество институтов, уровень инфраструктурного развития, цифровую готовность и способность быстро адаптироваться к внешним шокам.</w:t>
      </w:r>
    </w:p>
    <w:p w14:paraId="196584CD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 xml:space="preserve">Сравнительный анализ Эстонии, Кореи, Сингапура и Польши подтвердил: высокий уровень цифровой зрелости был связан с более мягкой реакцией на пандемийный шок 2020 года. Цифровое государство, онлайн-сервисы, электронная идентификация, цифровые платежи и адресная поддержка позволили этим странам быстрее сохранять государственные функции и частично компенсировать ограничения физической мобильности. Кризис 2022 года обнажил пределы этого эффекта: энергетические, ценовые и геополитические шоки не нейтрализуются цифровыми технологиями даже при высокой цифровой инфраструктуре. Эстония и Польша, несмотря на развитые цифровые сервисы, столкнулись с высокой инфляцией из-за </w:t>
      </w:r>
      <w:r w:rsidRPr="0064064A">
        <w:rPr>
          <w:rFonts w:ascii="Times New Roman" w:hAnsi="Times New Roman" w:cs="Times New Roman"/>
          <w:sz w:val="28"/>
          <w:szCs w:val="28"/>
        </w:rPr>
        <w:lastRenderedPageBreak/>
        <w:t>энергетических и внешнеторговых факторов. Это и подтвердило необходимость раздельного учёта кризисов 2020 и 2022 годов в модели.</w:t>
      </w:r>
    </w:p>
    <w:p w14:paraId="66A47932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3B285556">
          <v:rect id="_x0000_i2039" style="width:0;height:1.5pt" o:hralign="center" o:hrstd="t" o:hr="t" fillcolor="#a0a0a0" stroked="f"/>
        </w:pict>
      </w:r>
    </w:p>
    <w:p w14:paraId="4ECA735E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Основной эмпирический результат получен в §2.3 на несбалансированной панели 49 стран за 2010-2024 годы (707 наблюдений). Тест Чоу (F = 5,3377; p = 1,151 × 10⁻¹¹) подтвердил структурную неоднородность выборки и обосновал раздельный анализ трёх групп. H₁ подтверждена: коэффициент при log_internet положителен и значим во всех группах - β = 0,2117 для развитых, β = 0,3085 для переходных, β = 0,1978 для развивающихся экономик. H₂ также получила подтверждение: антикризисный буферный эффект статистически выявлен только в развитых странах (β_covid = 0,394; p = 0,003; β_geo = 0,394; p = 0,020). В переходных и развивающихся экономиках аналогичные эффекты не подтверждаются. Вывод: связь цифровизации с устойчивостью имеет пороговый характер - цифровые технологии становятся полноценным антикризисным стабилизатором только при высоком уровне цифровой зрелости.</w:t>
      </w:r>
    </w:p>
    <w:p w14:paraId="47B8AED2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pict w14:anchorId="155E9DC9">
          <v:rect id="_x0000_i2040" style="width:0;height:1.5pt" o:hralign="center" o:hrstd="t" o:hr="t" fillcolor="#a0a0a0" stroked="f"/>
        </w:pict>
      </w:r>
    </w:p>
    <w:p w14:paraId="131787AE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Применительно к Узбекистану третья глава зафиксировала асимметрию цифровой трансформации. Прогресс очевиден: в 2024 году страна заняла 63-е место в EGDI (0,7999), интернет-проникновение достигло 89%, покрытие 4G - 97%. Но доля ИКТ в валовой добавленной стоимости составляет 2,4% - ниже среднего по ОЭСР. Рост интернет-проникновения на 1% связан с увеличением ВВП на душу населения примерно на 0,20% при прочих равных - цифровизация уже работает как фактор роста. Однако антикризисная буферная функция для группы развивающихся экономик пока статистически не идентифицируется. Переход от 90% к 95% интернет-проникновения даёт около 40 долларов на душу населения, или примерно 1,4 млрд долларов в масштабе экономики.</w:t>
      </w:r>
    </w:p>
    <w:p w14:paraId="08BCEC71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lastRenderedPageBreak/>
        <w:pict w14:anchorId="69D7DDD1">
          <v:rect id="_x0000_i2041" style="width:0;height:1.5pt" o:hralign="center" o:hrstd="t" o:hr="t" fillcolor="#a0a0a0" stroked="f"/>
        </w:pict>
      </w:r>
    </w:p>
    <w:p w14:paraId="52C75070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64A">
        <w:rPr>
          <w:rFonts w:ascii="Times New Roman" w:hAnsi="Times New Roman" w:cs="Times New Roman"/>
          <w:sz w:val="28"/>
          <w:szCs w:val="28"/>
        </w:rPr>
        <w:t>Рекомендации выстроены поэтапно. Первый этап - 2025-2027: инфраструктура фискальной трансмиссии - MyID, межведомственная интеграция, цифровые платежи, интернет-проникновение до 90%. Второй - 2027-2030: цифровизация традиционных отраслей и МСБ, сокращение разрыва между госсервисами и частным сектором. После 2030 - достижение уровня, при котором цифровизация выполняет функцию макроэкономического стабилизатора. Адаптация международного опыта - выборочная: X-Road для интероперабельности, Корея для привязки к антикризисным программам, Польша для поддержки МСБ, Сингапур для цифровой идентификации. Научная новизна исследования - в трёх аспектах. Первый: систематизирована пятиканальная модель влияния цифровизации на устойчивость. Второй: на панели 49 стран эмпирически показан пороговый характер буферного эффекта - рост наблюдается во всех группах, но стабилизирующая функция выявляется только в развитых экономиках. Третий: для Узбекистана предложены прогнозные сценарии, связывающие ориентиры Стратегии «Цифровой Узбекистан - 2030» с эконометрическими оценками. Ограничения исследования - один основной индикатор цифровизации, упрощённая идентификация кризисных периодов и небольшой размер подвыборки развивающихся экономик. Они задают направления дальнейших исследований: расширение набора цифровых индикаторов, IV/GMM и отраслевой анализ цифровизации экономики Узбекистана.</w:t>
      </w:r>
    </w:p>
    <w:p w14:paraId="21939779" w14:textId="77777777" w:rsidR="0064064A" w:rsidRPr="0064064A" w:rsidRDefault="0064064A" w:rsidP="006406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4064A" w:rsidRPr="006406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32BC9"/>
    <w:multiLevelType w:val="multilevel"/>
    <w:tmpl w:val="DD66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010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6129"/>
    <w:rsid w:val="00124FBE"/>
    <w:rsid w:val="001A6129"/>
    <w:rsid w:val="002E619F"/>
    <w:rsid w:val="004A309C"/>
    <w:rsid w:val="0064064A"/>
    <w:rsid w:val="00D674CB"/>
    <w:rsid w:val="00F137B2"/>
    <w:rsid w:val="00F6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8825"/>
  <w15:chartTrackingRefBased/>
  <w15:docId w15:val="{1D6F0995-FB83-42A0-9BC8-DC9AB815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37</Pages>
  <Words>9334</Words>
  <Characters>53210</Characters>
  <Application>Microsoft Office Word</Application>
  <DocSecurity>0</DocSecurity>
  <Lines>443</Lines>
  <Paragraphs>124</Paragraphs>
  <ScaleCrop>false</ScaleCrop>
  <Company/>
  <LinksUpToDate>false</LinksUpToDate>
  <CharactersWithSpaces>62420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2026-06-04T09:39:00Z</dcterms:created>
  <dcterms:modified xsi:type="dcterms:W3CDTF">2026-06-04T09:48:00Z</dcterms:modified>
</cp:coreProperties>
</file>