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258C" w:rsidRPr="00411251" w:rsidRDefault="00EA258C" w:rsidP="006E53DB">
      <w:pPr>
        <w:pStyle w:val="1"/>
        <w:spacing w:before="0" w:after="0" w:line="360" w:lineRule="auto"/>
        <w:ind w:firstLine="709"/>
        <w:jc w:val="center"/>
        <w:rPr>
          <w:rFonts w:ascii="Times New Roman" w:hAnsi="Times New Roman" w:cs="Times New Roman"/>
          <w:b/>
          <w:bCs/>
          <w:color w:val="auto"/>
          <w:sz w:val="28"/>
          <w:szCs w:val="28"/>
        </w:rPr>
      </w:pPr>
      <w:bookmarkStart w:id="0" w:name="_Toc231398508"/>
      <w:r w:rsidRPr="00411251">
        <w:rPr>
          <w:rFonts w:ascii="Times New Roman" w:eastAsia="Times New Roman" w:hAnsi="Times New Roman" w:cs="Times New Roman"/>
          <w:b/>
          <w:color w:val="auto"/>
          <w:sz w:val="28"/>
          <w:szCs w:val="28"/>
        </w:rPr>
        <w:t>ВВЕДЕНИЕ</w:t>
      </w:r>
      <w:bookmarkEnd w:id="0"/>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Глобальные кризисы 2008-2009, 2020-2021 и 2022 годов показали, что устойчивость национальной экономики зависит не только от традиционных инструментов макроэкономической политики. Даже страны с близким уровнем развития проходили кризисные периоды по-разному: одни быстрее возвращались к росту, другие дольше сохраняли последствия внешних шоков. Классические подходы, опирающиеся главным образом на фискальные и монетарные меры, не всегда дают полное объяснение таким расхождениям в траекториях восстановления. Так, по оценкам Организации экономического сотрудничества и развития, страны ОЭСР, столкнувшиеся с банковским кризисом в 2008-2009 годах, восстанавливались в среднем около 12 кварталов, тогда как страны без банковского кризиса - около 4 кварталов.</w:t>
      </w:r>
      <w:r>
        <w:footnoteReference w:id="1"/>
      </w:r>
      <w:r>
        <w:rPr>
          <w:rFonts w:ascii="Times New Roman" w:hAnsi="Times New Roman" w:cs="Times New Roman"/>
          <w:sz w:val="28"/>
          <w:szCs w:val="28"/>
        </w:rPr>
        <w:t xml:space="preserve"> Это говорит о том, что при анализе экономической устойчивости нужно учитывать не только макроэкономическую политику, но и структурные факторы - те, что помогают экономике противостоять внешним шокам и быстрее из них выходить.</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условиях четвёртой промышленной революции цифровизация становится одним из таких факторов, способных усиливать устойчивость национальной экономики. Опыт пандемии COVID-19</w:t>
      </w:r>
      <w:r>
        <w:footnoteReference w:id="2"/>
      </w:r>
      <w:r>
        <w:rPr>
          <w:rFonts w:ascii="Times New Roman" w:hAnsi="Times New Roman" w:cs="Times New Roman"/>
          <w:sz w:val="28"/>
          <w:szCs w:val="28"/>
        </w:rPr>
        <w:t xml:space="preserve"> показал, что развитая цифровая инфраструктура, цифровое государство и онлайн-сервисы позволяют поддерживать непрерывность государственных функций, ускорять фискальную трансмиссию и смягчать падение деловой активности. Однако связь между цифровизацией и экономической устойчивостью нельзя считать полностью изученной. В научной литературе по-прежнему нет достаточно системного объяснения того, через какие именно механизмы цифровые </w:t>
      </w:r>
      <w:r>
        <w:rPr>
          <w:rFonts w:ascii="Times New Roman" w:hAnsi="Times New Roman" w:cs="Times New Roman"/>
          <w:sz w:val="28"/>
          <w:szCs w:val="28"/>
        </w:rPr>
        <w:lastRenderedPageBreak/>
        <w:t>технологии влияют на отдельные элементы макроэкономической устойчивости.</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Особую значимость данная проблематика приобретает для Республики Узбекистан, реализующей программу цифровой трансформации в рамках Стратегии «Цифровой Узбекистан - 2030».</w:t>
      </w:r>
      <w:r>
        <w:footnoteReference w:id="3"/>
      </w:r>
      <w:r>
        <w:rPr>
          <w:rFonts w:ascii="Times New Roman" w:hAnsi="Times New Roman" w:cs="Times New Roman"/>
          <w:sz w:val="28"/>
          <w:szCs w:val="28"/>
        </w:rPr>
        <w:t xml:space="preserve"> Для национальной экономики важно не просто заимствовать отдельные решения стран-лидеров, а понять, какие направления цифровизации реально могут повышать устойчивость к глобальным шокам. В отечественной научной литературе этот вопрос раскрыт недостаточно - особенно в части связи между количественными показателями цифрового развития и траекториями восстановления в кризисный период 2020-2022 годов. Выбранная тема поэтому имеет как научное значение - уточнение механизмов влияния цифровизации, - так и практическую ценность для выработки рекомендаций по развитию цифровой экономики Узбекистана.</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Степень изученности проблемы. Концептуальные основы экономической устойчивости разработаны в трудах Л. Бригульо, Г. Кордины, Н. Фарругия и С. Веллы, где проводится разграничение между уязвимостью и устойчивостью национальных экономик. Эмпирические аспекты влияния макроэкономической политики на устойчивость представлены в исследованиях А. Кальдера-Санчес, О. Рёна, М. Хермансена</w:t>
      </w:r>
      <w:r>
        <w:footnoteReference w:id="4"/>
      </w:r>
      <w:r>
        <w:rPr>
          <w:rFonts w:ascii="Times New Roman" w:hAnsi="Times New Roman" w:cs="Times New Roman"/>
          <w:sz w:val="28"/>
          <w:szCs w:val="28"/>
        </w:rPr>
        <w:t xml:space="preserve"> и других авторов в рамках аналитической программы ОЭСР. Вопросы цифровой трансформации национальных экономик раскрываются в докладах ОЭСР, Всемирного банка и Европейской комиссии, а влияние цифровизации на поведение фирм в кризисных условиях рассматривается в работах М. Ойкономоу, Н. Пьерри и Й. Тиммера. При этом большинство исследований </w:t>
      </w:r>
      <w:r>
        <w:rPr>
          <w:rFonts w:ascii="Times New Roman" w:hAnsi="Times New Roman" w:cs="Times New Roman"/>
          <w:sz w:val="28"/>
          <w:szCs w:val="28"/>
        </w:rPr>
        <w:lastRenderedPageBreak/>
        <w:t>рассматривает цифровизацию и экономическую устойчивость как отдельные направления. Комплексный анализ каналов, через которые цифровые технологии воздействуют на макроэкономическую устойчивость в условиях глобальных кризисов, остаётся недостаточно разработанным. Именно этот пробел и стало отправной точкой для настоящего исследования.</w:t>
      </w:r>
    </w:p>
    <w:p w:rsidR="00D37B22" w:rsidRPr="00E26E25" w:rsidRDefault="00D37B22" w:rsidP="006E53DB">
      <w:p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sz w:val="28"/>
          <w:szCs w:val="28"/>
        </w:rPr>
        <w:t>Объект исследования - процесс цифровой трансформации национальных экономик и формирование их устойчивости к глобальным экзогенным шокам.</w:t>
      </w:r>
    </w:p>
    <w:p w:rsidR="00D37B22" w:rsidRPr="00E26E25" w:rsidRDefault="00D37B22" w:rsidP="006E53DB">
      <w:p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sz w:val="28"/>
          <w:szCs w:val="28"/>
        </w:rPr>
        <w:t>Предмет исследования - механизмы и каналы воздействия цифровых технологий на макроэкономическую устойчивость национальных экономик в условиях глобальных кризисов 2020-2022 годов.</w:t>
      </w:r>
    </w:p>
    <w:p w:rsidR="00D37B22" w:rsidRPr="00E26E25" w:rsidRDefault="00D37B22" w:rsidP="006E53DB">
      <w:p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sz w:val="28"/>
          <w:szCs w:val="28"/>
        </w:rPr>
        <w:t>Цель исследования - выявить и эмпирически обосновать каналы влияния цифровизации на устойчивость национальных экономик к глобальным кризисам, а также разработать рекомендации по адаптации международного опыта цифровой трансформации к условиям Республики Узбекистан.</w:t>
      </w:r>
    </w:p>
    <w:p w:rsidR="00D37B22" w:rsidRPr="00E26E25" w:rsidRDefault="00D37B22" w:rsidP="006E53DB">
      <w:p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b/>
          <w:bCs/>
          <w:sz w:val="28"/>
          <w:szCs w:val="28"/>
        </w:rPr>
        <w:t>Задачи исследования.</w:t>
      </w:r>
      <w:r w:rsidRPr="00E26E25">
        <w:rPr>
          <w:rFonts w:ascii="Times New Roman" w:hAnsi="Times New Roman" w:cs="Times New Roman"/>
          <w:sz w:val="28"/>
          <w:szCs w:val="28"/>
        </w:rPr>
        <w:t xml:space="preserve"> Для достижения поставленной цели необходимо решить следующие задачи:</w:t>
      </w:r>
    </w:p>
    <w:p w:rsidR="00D37B22" w:rsidRPr="00E26E25" w:rsidRDefault="00D37B22" w:rsidP="006E53DB">
      <w:pPr>
        <w:numPr>
          <w:ilvl w:val="0"/>
          <w:numId w:val="1"/>
        </w:num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sz w:val="28"/>
          <w:szCs w:val="28"/>
        </w:rPr>
        <w:t>Раскрыть теоретико-методологические основы цифровизации экономики, выделить её основные направления и систематизировать каналы воздействия на макроэкономическую устойчивость.</w:t>
      </w:r>
    </w:p>
    <w:p w:rsidR="00D37B22" w:rsidRPr="00E26E25" w:rsidRDefault="00D37B22" w:rsidP="006E53DB">
      <w:pPr>
        <w:numPr>
          <w:ilvl w:val="0"/>
          <w:numId w:val="1"/>
        </w:num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sz w:val="28"/>
          <w:szCs w:val="28"/>
        </w:rPr>
        <w:t>Проанализировать теоретические подходы к категории устойчивости национальных экономик к экзогенным шокам и определить её ключевые компоненты.</w:t>
      </w:r>
    </w:p>
    <w:p w:rsidR="00D37B22" w:rsidRPr="00E26E25" w:rsidRDefault="00D37B22" w:rsidP="006E53DB">
      <w:pPr>
        <w:numPr>
          <w:ilvl w:val="0"/>
          <w:numId w:val="1"/>
        </w:num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sz w:val="28"/>
          <w:szCs w:val="28"/>
        </w:rPr>
        <w:t>Провести сравнительный анализ моделей цифровой трансформации Эстонии, Республики Корея, Сингапура и Польши и оценить их реакцию на глобальные кризисы 2020-2022 годов в контексте уровня цифровой зрелости.</w:t>
      </w:r>
    </w:p>
    <w:p w:rsidR="00D37B22" w:rsidRPr="00E26E25" w:rsidRDefault="00D37B22" w:rsidP="006E53DB">
      <w:pPr>
        <w:numPr>
          <w:ilvl w:val="0"/>
          <w:numId w:val="1"/>
        </w:num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sz w:val="28"/>
          <w:szCs w:val="28"/>
        </w:rPr>
        <w:lastRenderedPageBreak/>
        <w:t>Построить эконометрическую модель на основе панельных данных, позволяющую оценить связь между показателями цифровизации и индикаторами устойчивости национальных экономик, и интерпретировать полученные результаты.</w:t>
      </w:r>
    </w:p>
    <w:p w:rsidR="00D37B22" w:rsidRPr="00E26E25" w:rsidRDefault="00D37B22" w:rsidP="006E53DB">
      <w:pPr>
        <w:numPr>
          <w:ilvl w:val="0"/>
          <w:numId w:val="1"/>
        </w:num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sz w:val="28"/>
          <w:szCs w:val="28"/>
        </w:rPr>
        <w:t>Оценить современное состояние цифровой трансформации экономики Узбекистана в рамках Стратегии «Цифровой Узбекистан - 2030» и определить возможности адаптации международного опыта.</w:t>
      </w:r>
    </w:p>
    <w:p w:rsidR="00D37B22" w:rsidRPr="00E26E25" w:rsidRDefault="00D37B22" w:rsidP="006E53DB">
      <w:pPr>
        <w:numPr>
          <w:ilvl w:val="0"/>
          <w:numId w:val="1"/>
        </w:num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sz w:val="28"/>
          <w:szCs w:val="28"/>
        </w:rPr>
        <w:t>Разработать практические рекомендации по укреплению цифровой инфраструктуры как фактора антикризисной устойчивости национальной экономики Республики Узбекистан.</w:t>
      </w:r>
    </w:p>
    <w:p w:rsidR="00D37B22" w:rsidRPr="00E26E25" w:rsidRDefault="00D37B22" w:rsidP="006E53DB">
      <w:p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b/>
          <w:bCs/>
          <w:sz w:val="28"/>
          <w:szCs w:val="28"/>
        </w:rPr>
        <w:t>Основные результаты исследования.</w:t>
      </w:r>
      <w:r w:rsidRPr="00E26E25">
        <w:rPr>
          <w:rFonts w:ascii="Times New Roman" w:hAnsi="Times New Roman" w:cs="Times New Roman"/>
          <w:sz w:val="28"/>
          <w:szCs w:val="28"/>
        </w:rPr>
        <w:t xml:space="preserve"> В работе обобщены каналы, через которые цифровые технологии могут влиять на устойчивость национальных экономик в период глобальных кризисов. В качестве ключевых выделены непрерывность государственных функций, фискальная трансмиссия, адаптация частного сектора, изменение структуры спроса в пользу цифровых услуг, а также устойчивость информационно-коммуникационного сектора. Кроме того, проведён сравнительный анализ моделей цифровой трансформации Эстонии, Республики Корея, Сингапура и </w:t>
      </w:r>
      <w:proofErr w:type="gramStart"/>
      <w:r w:rsidRPr="00E26E25">
        <w:rPr>
          <w:rFonts w:ascii="Times New Roman" w:hAnsi="Times New Roman" w:cs="Times New Roman"/>
          <w:sz w:val="28"/>
          <w:szCs w:val="28"/>
        </w:rPr>
        <w:t>Польши с учётом их институциональных особенностей</w:t>
      </w:r>
      <w:proofErr w:type="gramEnd"/>
      <w:r w:rsidRPr="00E26E25">
        <w:rPr>
          <w:rFonts w:ascii="Times New Roman" w:hAnsi="Times New Roman" w:cs="Times New Roman"/>
          <w:sz w:val="28"/>
          <w:szCs w:val="28"/>
        </w:rPr>
        <w:t xml:space="preserve"> и реакции на кризисы 2020-2022 годов. На основе панельных данных в среде RStudio построена эконометрическая модель, позволяющая оценить связь между показателями цифровой зрелости и отдельными индикаторами макроэкономической устойчивости.</w:t>
      </w:r>
    </w:p>
    <w:p w:rsidR="00D37B22" w:rsidRPr="00E26E25" w:rsidRDefault="00D37B22" w:rsidP="006E53DB">
      <w:p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sz w:val="28"/>
          <w:szCs w:val="28"/>
        </w:rPr>
        <w:t xml:space="preserve">Практическая значимость исследования состоит в том, что его результаты могут использоваться при уточнении и развитии стратегических документов цифровой трансформации Республики Узбекистан, включая Стратегию «Цифровой Узбекистан - 2030», а также при подготовке мер по повышению устойчивости национальной экономики в кризисных условиях. Обобщённый международный опыт и предложенные рекомендации могут быть полезны для государственных органов, отвечающих за цифровое </w:t>
      </w:r>
      <w:r w:rsidRPr="00E26E25">
        <w:rPr>
          <w:rFonts w:ascii="Times New Roman" w:hAnsi="Times New Roman" w:cs="Times New Roman"/>
          <w:sz w:val="28"/>
          <w:szCs w:val="28"/>
        </w:rPr>
        <w:lastRenderedPageBreak/>
        <w:t>развитие, а также для научно-исследовательских и образовательных организаций, занимающихся вопросами международной экономики, цифровой трансформации и устойчивого развития.</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Методология исследования. Методологической основой выступает системный подход, позволяющий рассматривать цифровизацию и устойчивость как взаимосвязанные характеристики национальной экономики. В работе применяются методы сравнительного анализа, корреляционно-регрессионного моделирования на панельных данных, а также графической визуализации данных. Эконометрический анализ выполнен в среде RStudio с использованием пакета plm. Эмпирическую базу составляют данные ОЭСР, Международного валютного фонда, Всемирного банка, Европейской комиссии и ООН. В сравнительном анализе используются международные индексы цифровой зрелости, включая E-Government</w:t>
      </w:r>
      <w:r>
        <w:footnoteReference w:id="5"/>
      </w:r>
      <w:r>
        <w:rPr>
          <w:rFonts w:ascii="Times New Roman" w:hAnsi="Times New Roman" w:cs="Times New Roman"/>
          <w:sz w:val="28"/>
          <w:szCs w:val="28"/>
        </w:rPr>
        <w:t xml:space="preserve"> Development Index, Network Readiness Index и Digital Economy and Society Index. В эконометрической модели основным индикатором цифровизации выступает доля интернет-пользователей в численности населения по базе World Development Indicators</w:t>
      </w:r>
      <w:r>
        <w:footnoteReference w:id="6"/>
      </w:r>
      <w:r>
        <w:rPr>
          <w:rFonts w:ascii="Times New Roman" w:hAnsi="Times New Roman" w:cs="Times New Roman"/>
          <w:sz w:val="28"/>
          <w:szCs w:val="28"/>
        </w:rPr>
        <w:t>, что обеспечивает сопоставимость данных по выборке из 49 стран за 2010-2024 годы. Также в работе используются нормативно-правовые акты и стратегические документы Республики Узбекистан.</w:t>
      </w:r>
    </w:p>
    <w:p w:rsidR="00D37B22" w:rsidRPr="00E26E25" w:rsidRDefault="00D37B22" w:rsidP="006E53DB">
      <w:p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b/>
          <w:bCs/>
          <w:sz w:val="28"/>
          <w:szCs w:val="28"/>
        </w:rPr>
        <w:t>Структура работы.</w:t>
      </w:r>
      <w:r w:rsidRPr="00E26E25">
        <w:rPr>
          <w:rFonts w:ascii="Times New Roman" w:hAnsi="Times New Roman" w:cs="Times New Roman"/>
          <w:sz w:val="28"/>
          <w:szCs w:val="28"/>
        </w:rPr>
        <w:t xml:space="preserve"> Выпускная квалификационная работа состоит из введения, трёх глав, разделённых на девять параграфов, заключения, списка использованных источников и приложений.</w:t>
      </w:r>
    </w:p>
    <w:p w:rsidR="00D37B22" w:rsidRPr="00E26E25" w:rsidRDefault="00D37B22" w:rsidP="006E53DB">
      <w:p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b/>
          <w:bCs/>
          <w:sz w:val="28"/>
          <w:szCs w:val="28"/>
        </w:rPr>
        <w:t>В первой главе</w:t>
      </w:r>
      <w:r w:rsidRPr="00E26E25">
        <w:rPr>
          <w:rFonts w:ascii="Times New Roman" w:hAnsi="Times New Roman" w:cs="Times New Roman"/>
          <w:sz w:val="28"/>
          <w:szCs w:val="28"/>
        </w:rPr>
        <w:t xml:space="preserve"> «Теоретико-методологические основы цифровизации экономики и устойчивости стран к глобальным кризисам» раскрываются сущность и основные направления цифровизации современной экономики, </w:t>
      </w:r>
      <w:r w:rsidRPr="00E26E25">
        <w:rPr>
          <w:rFonts w:ascii="Times New Roman" w:hAnsi="Times New Roman" w:cs="Times New Roman"/>
          <w:sz w:val="28"/>
          <w:szCs w:val="28"/>
        </w:rPr>
        <w:lastRenderedPageBreak/>
        <w:t>рассматриваются теоретические подходы к категории устойчивости национальных экономик к экзогенным шокам, а также систематизируются каналы воздействия цифровых технологий на макроэкономическую стабильность.</w:t>
      </w:r>
    </w:p>
    <w:p w:rsidR="00D37B22" w:rsidRPr="00E26E25" w:rsidRDefault="00D37B22" w:rsidP="006E53DB">
      <w:p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b/>
          <w:bCs/>
          <w:sz w:val="28"/>
          <w:szCs w:val="28"/>
        </w:rPr>
        <w:t>Во второй главе</w:t>
      </w:r>
      <w:r w:rsidRPr="00E26E25">
        <w:rPr>
          <w:rFonts w:ascii="Times New Roman" w:hAnsi="Times New Roman" w:cs="Times New Roman"/>
          <w:sz w:val="28"/>
          <w:szCs w:val="28"/>
        </w:rPr>
        <w:t xml:space="preserve"> «Международный опыт цифровизации экономики и эконометрический анализ её влияния на устойчивость стран к глобальным кризисам» проводится сравнительный анализ моделей цифровой трансформации Эстонии, Республики Корея, Сингапура и Польши, оценивается реакция этих экономик на глобальные кризисы 2020-2022 годов, а также выполняется эконометрический анализ влияния цифровизации на устойчивость национальных экономик на основе панельных данных.</w:t>
      </w:r>
    </w:p>
    <w:p w:rsidR="00D37B22" w:rsidRPr="00E26E25" w:rsidRDefault="00D37B22" w:rsidP="006E53DB">
      <w:p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b/>
          <w:bCs/>
          <w:sz w:val="28"/>
          <w:szCs w:val="28"/>
        </w:rPr>
        <w:t>В третьей главе</w:t>
      </w:r>
      <w:r w:rsidRPr="00E26E25">
        <w:rPr>
          <w:rFonts w:ascii="Times New Roman" w:hAnsi="Times New Roman" w:cs="Times New Roman"/>
          <w:sz w:val="28"/>
          <w:szCs w:val="28"/>
        </w:rPr>
        <w:t xml:space="preserve"> «Использование международного опыта цифровизации в условиях Республики Узбекистан» рассматривается текущее состояние цифровой трансформации экономики Узбекистана в рамках Стратегии «Цифровой Узбекистан - 2030», оцениваются возможности адаптации международного опыта и формулируются практические рекомендации по укреплению цифровой устойчивости национальной экономики.</w:t>
      </w:r>
    </w:p>
    <w:p w:rsidR="00D37B22" w:rsidRDefault="00D37B22" w:rsidP="006E53DB">
      <w:p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b/>
          <w:bCs/>
          <w:sz w:val="28"/>
          <w:szCs w:val="28"/>
        </w:rPr>
        <w:t>В заключении</w:t>
      </w:r>
      <w:r w:rsidRPr="00E26E25">
        <w:rPr>
          <w:rFonts w:ascii="Times New Roman" w:hAnsi="Times New Roman" w:cs="Times New Roman"/>
          <w:sz w:val="28"/>
          <w:szCs w:val="28"/>
        </w:rPr>
        <w:t xml:space="preserve"> обобщаются основные результаты исследования, формулируются выводы и практические рекомендации.</w:t>
      </w:r>
    </w:p>
    <w:p w:rsidR="006E53DB" w:rsidRDefault="006E53DB" w:rsidP="006E53DB">
      <w:pPr>
        <w:spacing w:after="0" w:line="360" w:lineRule="auto"/>
        <w:ind w:firstLine="709"/>
        <w:jc w:val="both"/>
        <w:rPr>
          <w:rFonts w:ascii="Times New Roman" w:hAnsi="Times New Roman" w:cs="Times New Roman"/>
          <w:sz w:val="28"/>
          <w:szCs w:val="28"/>
        </w:rPr>
      </w:pPr>
    </w:p>
    <w:p w:rsidR="006E53DB" w:rsidRDefault="006E53DB" w:rsidP="006E53DB">
      <w:pPr>
        <w:spacing w:after="0" w:line="360" w:lineRule="auto"/>
        <w:ind w:firstLine="709"/>
        <w:jc w:val="both"/>
        <w:rPr>
          <w:rFonts w:ascii="Times New Roman" w:hAnsi="Times New Roman" w:cs="Times New Roman"/>
          <w:sz w:val="28"/>
          <w:szCs w:val="28"/>
        </w:rPr>
      </w:pPr>
    </w:p>
    <w:p w:rsidR="006E53DB" w:rsidRDefault="006E53DB" w:rsidP="006E53DB">
      <w:pPr>
        <w:spacing w:after="0" w:line="360" w:lineRule="auto"/>
        <w:ind w:firstLine="709"/>
        <w:jc w:val="both"/>
        <w:rPr>
          <w:rFonts w:ascii="Times New Roman" w:hAnsi="Times New Roman" w:cs="Times New Roman"/>
          <w:sz w:val="28"/>
          <w:szCs w:val="28"/>
        </w:rPr>
      </w:pPr>
    </w:p>
    <w:p w:rsidR="006E53DB" w:rsidRDefault="006E53DB" w:rsidP="006E53DB">
      <w:pPr>
        <w:spacing w:after="0" w:line="360" w:lineRule="auto"/>
        <w:ind w:firstLine="709"/>
        <w:jc w:val="both"/>
        <w:rPr>
          <w:rFonts w:ascii="Times New Roman" w:hAnsi="Times New Roman" w:cs="Times New Roman"/>
          <w:sz w:val="28"/>
          <w:szCs w:val="28"/>
        </w:rPr>
      </w:pPr>
    </w:p>
    <w:p w:rsidR="006E53DB" w:rsidRDefault="006E53DB" w:rsidP="006E53DB">
      <w:pPr>
        <w:spacing w:after="0" w:line="360" w:lineRule="auto"/>
        <w:ind w:firstLine="709"/>
        <w:jc w:val="both"/>
        <w:rPr>
          <w:rFonts w:ascii="Times New Roman" w:hAnsi="Times New Roman" w:cs="Times New Roman"/>
          <w:sz w:val="28"/>
          <w:szCs w:val="28"/>
        </w:rPr>
      </w:pPr>
    </w:p>
    <w:p w:rsidR="006E53DB" w:rsidRDefault="006E53DB" w:rsidP="006E53DB">
      <w:pPr>
        <w:spacing w:after="0" w:line="360" w:lineRule="auto"/>
        <w:ind w:firstLine="709"/>
        <w:jc w:val="both"/>
        <w:rPr>
          <w:rFonts w:ascii="Times New Roman" w:hAnsi="Times New Roman" w:cs="Times New Roman"/>
          <w:sz w:val="28"/>
          <w:szCs w:val="28"/>
        </w:rPr>
      </w:pPr>
    </w:p>
    <w:p w:rsidR="006E53DB" w:rsidRDefault="006E53DB" w:rsidP="006E53DB">
      <w:pPr>
        <w:spacing w:after="0" w:line="360" w:lineRule="auto"/>
        <w:ind w:firstLine="709"/>
        <w:jc w:val="both"/>
        <w:rPr>
          <w:rFonts w:ascii="Times New Roman" w:hAnsi="Times New Roman" w:cs="Times New Roman"/>
          <w:sz w:val="28"/>
          <w:szCs w:val="28"/>
        </w:rPr>
      </w:pPr>
    </w:p>
    <w:p w:rsidR="006E53DB" w:rsidRDefault="006E53DB" w:rsidP="006E53DB">
      <w:pPr>
        <w:spacing w:after="0" w:line="360" w:lineRule="auto"/>
        <w:ind w:firstLine="709"/>
        <w:jc w:val="both"/>
        <w:rPr>
          <w:rFonts w:ascii="Times New Roman" w:hAnsi="Times New Roman" w:cs="Times New Roman"/>
          <w:sz w:val="28"/>
          <w:szCs w:val="28"/>
        </w:rPr>
      </w:pPr>
    </w:p>
    <w:p w:rsidR="00EA258C" w:rsidRPr="00BD0E91" w:rsidRDefault="00EA258C" w:rsidP="006E53DB">
      <w:pPr>
        <w:pStyle w:val="1"/>
        <w:spacing w:before="0" w:after="0" w:line="360" w:lineRule="auto"/>
        <w:ind w:firstLine="709"/>
        <w:jc w:val="center"/>
        <w:rPr>
          <w:rFonts w:ascii="Times New Roman" w:eastAsia="Times New Roman" w:hAnsi="Times New Roman" w:cs="Times New Roman"/>
          <w:b/>
          <w:color w:val="auto"/>
          <w:sz w:val="28"/>
          <w:szCs w:val="28"/>
        </w:rPr>
      </w:pPr>
      <w:bookmarkStart w:id="1" w:name="_Toc231398509"/>
      <w:r w:rsidRPr="00BD0E91">
        <w:rPr>
          <w:rFonts w:ascii="Times New Roman" w:eastAsia="Times New Roman" w:hAnsi="Times New Roman" w:cs="Times New Roman"/>
          <w:b/>
          <w:color w:val="auto"/>
          <w:sz w:val="28"/>
          <w:szCs w:val="28"/>
        </w:rPr>
        <w:lastRenderedPageBreak/>
        <w:t>ГЛАВА I. ТЕОРЕТИКО-МЕТОДОЛОГИЧЕСКИЕ ОСНОВЫ ЦИФРОВИЗАЦИИ ЭКОНОМИКИ И УСТОЙЧИВОСТИ СТРАН К ГЛОБАЛЬНЫМ КРИЗИСАМ</w:t>
      </w:r>
      <w:bookmarkEnd w:id="1"/>
    </w:p>
    <w:p w:rsidR="00EA258C" w:rsidRPr="00BD0E91" w:rsidRDefault="00EA258C" w:rsidP="006E53DB">
      <w:pPr>
        <w:spacing w:after="0" w:line="360" w:lineRule="auto"/>
        <w:ind w:firstLine="709"/>
        <w:jc w:val="center"/>
        <w:rPr>
          <w:rFonts w:ascii="Times New Roman" w:hAnsi="Times New Roman" w:cs="Times New Roman"/>
          <w:b/>
          <w:sz w:val="28"/>
          <w:szCs w:val="28"/>
        </w:rPr>
      </w:pPr>
    </w:p>
    <w:p w:rsidR="00EA258C" w:rsidRPr="009204E2" w:rsidRDefault="00EA258C" w:rsidP="006E53DB">
      <w:pPr>
        <w:pStyle w:val="2"/>
        <w:spacing w:before="0" w:after="0" w:line="360" w:lineRule="auto"/>
        <w:ind w:firstLine="709"/>
        <w:jc w:val="center"/>
        <w:rPr>
          <w:rFonts w:ascii="Times New Roman" w:eastAsia="Times New Roman" w:hAnsi="Times New Roman" w:cs="Times New Roman"/>
          <w:b/>
          <w:i/>
          <w:color w:val="auto"/>
          <w:sz w:val="28"/>
          <w:szCs w:val="28"/>
        </w:rPr>
      </w:pPr>
      <w:bookmarkStart w:id="2" w:name="_Toc231398510"/>
      <w:r w:rsidRPr="009204E2">
        <w:rPr>
          <w:rFonts w:ascii="Times New Roman" w:eastAsia="Times New Roman" w:hAnsi="Times New Roman" w:cs="Times New Roman"/>
          <w:b/>
          <w:i/>
          <w:color w:val="auto"/>
          <w:sz w:val="28"/>
          <w:szCs w:val="28"/>
        </w:rPr>
        <w:t>1.1. Сущность, содержание и основные направления цифровизации современной экономики</w:t>
      </w:r>
      <w:bookmarkEnd w:id="2"/>
    </w:p>
    <w:p w:rsidR="00EA258C" w:rsidRPr="00E26E25" w:rsidRDefault="00EA258C" w:rsidP="006E53DB">
      <w:pPr>
        <w:spacing w:after="0" w:line="360" w:lineRule="auto"/>
        <w:ind w:firstLine="709"/>
        <w:jc w:val="both"/>
        <w:rPr>
          <w:rFonts w:ascii="Times New Roman" w:hAnsi="Times New Roman" w:cs="Times New Roman"/>
          <w:sz w:val="28"/>
          <w:szCs w:val="28"/>
        </w:rPr>
      </w:pP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Понятие «цифровизация экономики» в научной литературе трактуется по-разному, поскольку этот процесс охватывает не только внедрение технологий, но и изменения в экономических связях, управлении и организации хозяйственной деятельности. В аналитических документах Организации экономического сотрудничества и развития цифровизация рассматривается одновременно как процесс распространения цифровых технологий и как структурный сдвиг, влияющий на производство, потребление и регулирование экономической активности</w:t>
      </w:r>
      <w:r>
        <w:footnoteReference w:id="7"/>
      </w:r>
      <w:r>
        <w:rPr>
          <w:rFonts w:ascii="Times New Roman" w:hAnsi="Times New Roman" w:cs="Times New Roman"/>
          <w:sz w:val="28"/>
          <w:szCs w:val="28"/>
        </w:rPr>
        <w:t>. В этой работе цифровизация экономики понимается как встраивание цифровых технологий и данных в производственные, обменные и распределительные процессы национальной экономики - в результате чего меняется её отраслевая структура, модели государственного управления и формы взаимодействия экономических агентов.</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Важно разграничивать цифровизацию экономики как широкий процесс и информационно-коммуникационный сектор как её технологическую основу. Согласно классификации ОЭСР, основанной на международном стандарте ISIC Rev.4, ИКТ-сектор включает производство компьютеров, электронных и оптических изделий, телекоммуникации, а также деятельность в области информационных технологий и информационных услуг</w:t>
      </w:r>
      <w:r>
        <w:footnoteReference w:id="8"/>
      </w:r>
      <w:r>
        <w:rPr>
          <w:rFonts w:ascii="Times New Roman" w:hAnsi="Times New Roman" w:cs="Times New Roman"/>
          <w:sz w:val="28"/>
          <w:szCs w:val="28"/>
        </w:rPr>
        <w:t xml:space="preserve">. При этом цифровая </w:t>
      </w:r>
      <w:r>
        <w:rPr>
          <w:rFonts w:ascii="Times New Roman" w:hAnsi="Times New Roman" w:cs="Times New Roman"/>
          <w:sz w:val="28"/>
          <w:szCs w:val="28"/>
        </w:rPr>
        <w:lastRenderedPageBreak/>
        <w:t>экономика не ограничивается только ИКТ-сектором - она охватывает и распространение цифровых технологий в традиционные отрасли: промышленность, торговлю, финансы и государственное управление. Именно через такое распространение цифровизация начинает влиять на более широкие показатели национальной экономики - ВВП на душу населения и производительность труда.</w:t>
      </w:r>
    </w:p>
    <w:p w:rsidR="00D37B22"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Эмпирические данные подтверждают, что ИКТ-сектор растёт быстрее экономики в целом. По оценкам ОЭСР, основанным на nowcasting-модели, в течение 2013-2023 годов ИКТ-сектор стран ОЭСР рос приблизительно в три раза быстрее совокупной экономики. В 2023 году средний темп роста ИКТ-сектора в странах ОЭСР достиг 7,6%, при этом в десяти странах, включая Великобританию, Бельгию, Германию и США, рост превысил 9%. Доля валовой добавленной стоимости, генерируемой ИКТ-сектором в странах ОЭСР, увеличилась с 3,9% в 2010 году до 5,4% в 2019 году, а к 2023 году достигла около 6,2%</w:t>
      </w:r>
      <w:r>
        <w:footnoteReference w:id="9"/>
      </w:r>
      <w:r>
        <w:rPr>
          <w:rFonts w:ascii="Times New Roman" w:hAnsi="Times New Roman" w:cs="Times New Roman"/>
          <w:sz w:val="28"/>
          <w:szCs w:val="28"/>
        </w:rPr>
        <w:t>. Динамика доли ИКТ-сектора в валовой добавленной стоимости стран ОЭСР представлена на рисунке 1.1.</w:t>
      </w:r>
    </w:p>
    <w:p w:rsidR="006E53DB" w:rsidRPr="00E26E25" w:rsidRDefault="006E53DB" w:rsidP="006E53DB">
      <w:pPr>
        <w:spacing w:after="0" w:line="360" w:lineRule="auto"/>
        <w:ind w:firstLine="709"/>
        <w:jc w:val="both"/>
        <w:rPr>
          <w:rFonts w:ascii="Times New Roman" w:hAnsi="Times New Roman" w:cs="Times New Roman"/>
          <w:sz w:val="28"/>
          <w:szCs w:val="28"/>
        </w:rPr>
      </w:pPr>
      <w:r w:rsidRPr="004D6A0C">
        <w:rPr>
          <w:rFonts w:ascii="Times New Roman" w:hAnsi="Times New Roman" w:cs="Times New Roman"/>
          <w:noProof/>
          <w:sz w:val="28"/>
          <w:szCs w:val="28"/>
        </w:rPr>
        <w:drawing>
          <wp:inline distT="0" distB="0" distL="0" distR="0" wp14:anchorId="57A89BC8" wp14:editId="7A6D3712">
            <wp:extent cx="5223510" cy="2621280"/>
            <wp:effectExtent l="0" t="0" r="15240" b="7620"/>
            <wp:docPr id="1"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D37B22" w:rsidRPr="00E26E25" w:rsidRDefault="00D37B22" w:rsidP="006E53DB">
      <w:p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sz w:val="28"/>
          <w:szCs w:val="28"/>
        </w:rPr>
        <w:t>Рисунок 1.1. Динамика доли ИКТ-сектора в валовой добавленной стоимости стран ОЭСР, 2010-2023 гг., %</w:t>
      </w:r>
    </w:p>
    <w:p w:rsidR="00D37B22" w:rsidRPr="00E26E25" w:rsidRDefault="00D37B22" w:rsidP="006E53DB">
      <w:pPr>
        <w:spacing w:after="0" w:line="360" w:lineRule="auto"/>
        <w:ind w:firstLine="709"/>
        <w:jc w:val="both"/>
        <w:rPr>
          <w:rFonts w:ascii="Times New Roman" w:hAnsi="Times New Roman" w:cs="Times New Roman"/>
          <w:sz w:val="28"/>
          <w:szCs w:val="28"/>
          <w:lang w:val="en-CA"/>
        </w:rPr>
      </w:pPr>
      <w:r w:rsidRPr="00E26E25">
        <w:rPr>
          <w:rFonts w:ascii="Times New Roman" w:hAnsi="Times New Roman" w:cs="Times New Roman"/>
          <w:i/>
          <w:iCs/>
          <w:sz w:val="28"/>
          <w:szCs w:val="28"/>
        </w:rPr>
        <w:lastRenderedPageBreak/>
        <w:t>Источник</w:t>
      </w:r>
      <w:r w:rsidRPr="00E26E25">
        <w:rPr>
          <w:rFonts w:ascii="Times New Roman" w:hAnsi="Times New Roman" w:cs="Times New Roman"/>
          <w:i/>
          <w:iCs/>
          <w:sz w:val="28"/>
          <w:szCs w:val="28"/>
          <w:lang w:val="en-CA"/>
        </w:rPr>
        <w:t xml:space="preserve">: </w:t>
      </w:r>
      <w:r w:rsidRPr="00E26E25">
        <w:rPr>
          <w:rFonts w:ascii="Times New Roman" w:hAnsi="Times New Roman" w:cs="Times New Roman"/>
          <w:i/>
          <w:iCs/>
          <w:sz w:val="28"/>
          <w:szCs w:val="28"/>
        </w:rPr>
        <w:t>составлено</w:t>
      </w:r>
      <w:r w:rsidRPr="00E26E25">
        <w:rPr>
          <w:rFonts w:ascii="Times New Roman" w:hAnsi="Times New Roman" w:cs="Times New Roman"/>
          <w:i/>
          <w:iCs/>
          <w:sz w:val="28"/>
          <w:szCs w:val="28"/>
          <w:lang w:val="en-CA"/>
        </w:rPr>
        <w:t xml:space="preserve"> </w:t>
      </w:r>
      <w:r w:rsidRPr="00E26E25">
        <w:rPr>
          <w:rFonts w:ascii="Times New Roman" w:hAnsi="Times New Roman" w:cs="Times New Roman"/>
          <w:i/>
          <w:iCs/>
          <w:sz w:val="28"/>
          <w:szCs w:val="28"/>
        </w:rPr>
        <w:t>автором</w:t>
      </w:r>
      <w:r w:rsidRPr="00E26E25">
        <w:rPr>
          <w:rFonts w:ascii="Times New Roman" w:hAnsi="Times New Roman" w:cs="Times New Roman"/>
          <w:i/>
          <w:iCs/>
          <w:sz w:val="28"/>
          <w:szCs w:val="28"/>
          <w:lang w:val="en-CA"/>
        </w:rPr>
        <w:t xml:space="preserve"> </w:t>
      </w:r>
      <w:r w:rsidRPr="00E26E25">
        <w:rPr>
          <w:rFonts w:ascii="Times New Roman" w:hAnsi="Times New Roman" w:cs="Times New Roman"/>
          <w:i/>
          <w:iCs/>
          <w:sz w:val="28"/>
          <w:szCs w:val="28"/>
        </w:rPr>
        <w:t>по</w:t>
      </w:r>
      <w:r w:rsidRPr="00E26E25">
        <w:rPr>
          <w:rFonts w:ascii="Times New Roman" w:hAnsi="Times New Roman" w:cs="Times New Roman"/>
          <w:i/>
          <w:iCs/>
          <w:sz w:val="28"/>
          <w:szCs w:val="28"/>
          <w:lang w:val="en-CA"/>
        </w:rPr>
        <w:t xml:space="preserve"> </w:t>
      </w:r>
      <w:r w:rsidRPr="00E26E25">
        <w:rPr>
          <w:rFonts w:ascii="Times New Roman" w:hAnsi="Times New Roman" w:cs="Times New Roman"/>
          <w:i/>
          <w:iCs/>
          <w:sz w:val="28"/>
          <w:szCs w:val="28"/>
        </w:rPr>
        <w:t>данным</w:t>
      </w:r>
      <w:r w:rsidRPr="00E26E25">
        <w:rPr>
          <w:rFonts w:ascii="Times New Roman" w:hAnsi="Times New Roman" w:cs="Times New Roman"/>
          <w:i/>
          <w:iCs/>
          <w:sz w:val="28"/>
          <w:szCs w:val="28"/>
          <w:lang w:val="en-CA"/>
        </w:rPr>
        <w:t xml:space="preserve"> OECD Digital Economy Outlook 2024 </w:t>
      </w:r>
      <w:r w:rsidRPr="00E26E25">
        <w:rPr>
          <w:rFonts w:ascii="Times New Roman" w:hAnsi="Times New Roman" w:cs="Times New Roman"/>
          <w:i/>
          <w:iCs/>
          <w:sz w:val="28"/>
          <w:szCs w:val="28"/>
        </w:rPr>
        <w:t>и</w:t>
      </w:r>
      <w:r w:rsidRPr="00E26E25">
        <w:rPr>
          <w:rFonts w:ascii="Times New Roman" w:hAnsi="Times New Roman" w:cs="Times New Roman"/>
          <w:i/>
          <w:iCs/>
          <w:sz w:val="28"/>
          <w:szCs w:val="28"/>
          <w:lang w:val="en-CA"/>
        </w:rPr>
        <w:t xml:space="preserve"> OECD STAN Industrial Analysis Database.</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До формирования единого монетарного показателя цифровой экономики международные сравнения чаще опираются на промежуточные индикаторы: долю ИКТ-сектора в ВВП, уровень проникновения цифровых технологий среди населения и предприятий, а также композитные индексы цифровой зрелости - Digital Economy and Society Index, E-Government Development Index и Network Readiness Index</w:t>
      </w:r>
      <w:r>
        <w:footnoteReference w:id="10"/>
      </w:r>
      <w:r>
        <w:rPr>
          <w:rFonts w:ascii="Times New Roman" w:hAnsi="Times New Roman" w:cs="Times New Roman"/>
          <w:sz w:val="28"/>
          <w:szCs w:val="28"/>
        </w:rPr>
        <w:t>. Измерить цифровую экономику одним показателем сложно - она включает и самостоятельный ИКТ-сектор, и цифровые технологии в других отраслях. Поэтому в сравнительном и эконометрическом анализе лучше использовать несколько взаимодополняющих индикаторов, а не один универсальный. Это позволяет точнее отразить разные стороны цифровизации и не упрощать исследуемый процесс сверх меры.</w:t>
      </w:r>
    </w:p>
    <w:p w:rsidR="006E53DB" w:rsidRDefault="00D37B22" w:rsidP="006E53DB">
      <w:p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sz w:val="28"/>
          <w:szCs w:val="28"/>
        </w:rPr>
        <w:t>Содержание цифровизации можно раскрыть через несколько основных направлений, каждое из которых по-своему влияет на развитие национальной экономики. На основе аналитических документов ОЭСР и Европейской комиссии в работе выделяются пять таких направлений, представленных на рисунке 1.2.</w:t>
      </w:r>
    </w:p>
    <w:p w:rsidR="006E53DB" w:rsidRDefault="006E53DB" w:rsidP="006E53DB">
      <w:pPr>
        <w:spacing w:after="0" w:line="360" w:lineRule="auto"/>
        <w:ind w:firstLine="709"/>
        <w:jc w:val="both"/>
        <w:rPr>
          <w:rFonts w:ascii="Times New Roman" w:hAnsi="Times New Roman" w:cs="Times New Roman"/>
          <w:sz w:val="28"/>
          <w:szCs w:val="28"/>
        </w:rPr>
      </w:pPr>
      <w:r w:rsidRPr="004D6A0C">
        <w:rPr>
          <w:rStyle w:val="30"/>
          <w:rFonts w:ascii="Times New Roman" w:hAnsi="Times New Roman" w:cs="Times New Roman"/>
          <w:noProof/>
          <w:color w:val="FF0000"/>
        </w:rPr>
        <w:lastRenderedPageBreak/>
        <w:drawing>
          <wp:inline distT="0" distB="0" distL="0" distR="0" wp14:anchorId="056B3A32" wp14:editId="7DA45612">
            <wp:extent cx="5940425" cy="4135428"/>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135428"/>
                    </a:xfrm>
                    <a:prstGeom prst="rect">
                      <a:avLst/>
                    </a:prstGeom>
                  </pic:spPr>
                </pic:pic>
              </a:graphicData>
            </a:graphic>
          </wp:inline>
        </w:drawing>
      </w:r>
    </w:p>
    <w:p w:rsidR="00D37B22" w:rsidRPr="00E26E25" w:rsidRDefault="00D37B22" w:rsidP="006E53DB">
      <w:p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sz w:val="28"/>
          <w:szCs w:val="28"/>
        </w:rPr>
        <w:t>Рисунок 1.2 - Основные направления цифровизации экономики</w:t>
      </w:r>
    </w:p>
    <w:p w:rsidR="00D37B22" w:rsidRPr="00E26E25" w:rsidRDefault="00D37B22" w:rsidP="006E53DB">
      <w:p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i/>
          <w:iCs/>
          <w:sz w:val="28"/>
          <w:szCs w:val="28"/>
        </w:rPr>
        <w:t>Источник: составлено автором на основе OECD Digital Economy Outlook 2024 и аналитических материалов Европейской комиссии.</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Первое направление - развитие цифровой инфраструктуры. Под этим понимается совокупность сетей фиксированной и мобильной связи, центров обработки данных, спутниковых систем, а также инфраструктуры цифровой идентификации и обмена данными. Расширение сетей 5G, развитие беспроводных технологий нового поколения и интеграция наземной и спутниковой связи формируют физическую основу цифровой экономики, без которой невозможна реализация других направлений цифровизации</w:t>
      </w:r>
      <w:r>
        <w:footnoteReference w:id="11"/>
      </w:r>
      <w:r>
        <w:rPr>
          <w:rFonts w:ascii="Times New Roman" w:hAnsi="Times New Roman" w:cs="Times New Roman"/>
          <w:sz w:val="28"/>
          <w:szCs w:val="28"/>
        </w:rPr>
        <w:t>. Такая инфраструктура создаёт мультипликативный эффект - она стимулирует электронную коммерцию, удалённую занятость и цифровые государственные сервисы.</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Второе направление - распространение цифровых технологий среди предприятий. Речь идёт об использовании в бизнес-секторе облачных вычислений, интернета вещей, аналитики больших данных и искусственного интеллекта. По данным ОЭСР за 2023 год, в среднем по странам ОЭСР облачными вычислениями пользовались 49% предприятий, технологиями интернета вещей - 27%, аналитикой больших данных - 14% по данным за 2022 год, а искусственным интеллектом - 8%</w:t>
      </w:r>
      <w:r>
        <w:footnoteReference w:id="12"/>
      </w:r>
      <w:r>
        <w:rPr>
          <w:rFonts w:ascii="Times New Roman" w:hAnsi="Times New Roman" w:cs="Times New Roman"/>
          <w:sz w:val="28"/>
          <w:szCs w:val="28"/>
        </w:rPr>
        <w:t>. Эти цифры показывают, что цифровизация бизнеса идёт неравномерно: более доступные и уже освоенные технологии внедряются быстрее, тогда как сложные решения требуют серьёзной организационной, кадровой и технологической подготовки. Исследования ОЭСР также показывают, что облачные вычисления распространяются примерно в три раза быстрее аналитики больших данных: переход доли предприятий-пользователей с 5% до 50% занимает около 12 лет для облачных технологий и около 36 лет для аналитики больших данных</w:t>
      </w:r>
      <w:r>
        <w:footnoteReference w:id="13"/>
      </w:r>
      <w:r>
        <w:rPr>
          <w:rFonts w:ascii="Times New Roman" w:hAnsi="Times New Roman" w:cs="Times New Roman"/>
          <w:sz w:val="28"/>
          <w:szCs w:val="28"/>
        </w:rPr>
        <w:t>.</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Третье направление - цифровая трансформация государственного управления. Она включает развитие систем электронной идентификации, межведомственного обмена данными и цифровых услуг для граждан и бизнеса. Цифровое государство важно не только как часть технологического развития - в кризисных условиях оно помогает сохранять выполнение ключевых государственных функций, что напрямую влияет на устойчивость экономики. По оценкам ОЭСР, готовность к цифровизации стала одним из ключевых факторов адаптации государства и бизнеса в период пандемии COVID-19. Это подтверждается примерами Вьетнама, Казахстана и Швейцарии, где цифровые платформы использовались для онлайн-госуслуг, </w:t>
      </w:r>
      <w:r>
        <w:rPr>
          <w:rFonts w:ascii="Times New Roman" w:hAnsi="Times New Roman" w:cs="Times New Roman"/>
          <w:sz w:val="28"/>
          <w:szCs w:val="28"/>
        </w:rPr>
        <w:lastRenderedPageBreak/>
        <w:t>экстренной поддержки населения и быстрого предоставления государственных кредитов</w:t>
      </w:r>
      <w:r>
        <w:footnoteReference w:id="14"/>
      </w:r>
      <w:r>
        <w:rPr>
          <w:rFonts w:ascii="Times New Roman" w:hAnsi="Times New Roman" w:cs="Times New Roman"/>
          <w:sz w:val="28"/>
          <w:szCs w:val="28"/>
        </w:rPr>
        <w:t>.</w:t>
      </w:r>
    </w:p>
    <w:p w:rsidR="00D37B22" w:rsidRPr="00E26E25" w:rsidRDefault="00D37B22" w:rsidP="006E53DB">
      <w:p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sz w:val="28"/>
          <w:szCs w:val="28"/>
        </w:rPr>
        <w:t>Четвёртое направление - цифровизация финансовой системы. Оно включает развитие электронных платежей, цифрового банкинга, финансовых технологий и цифровой идентификации. Для макроэкономической устойчивости цифровые финансы важны тем, что расширяют доступ к ликвидности и снижают транзакционные издержки - особенно в кризисные периоды, когда физические каналы финансового обслуживания могут быть ограничены. Кроме того, цифровые платёжные системы усиливают фискальную трансмиссию: они позволяют быстрее и с меньшими административными затратами доставлять государственную поддержку конечным получателям.</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Пятое направление - цифровая трансформация работы с данными. По мере того как данные становятся самостоятельным экономическим ресурсом, государства выстраивают правила их сбора, хранения, обмена и использования, а также разрабатывают национальные стратегии управления данными. ОЭСР подчёркивает, что доступ к данным определяет возможности применения искусственного интеллекта и продвинутой аналитики, поэтому становится фактором конкурентоспособности не только отдельных компаний, но и национальных экономик</w:t>
      </w:r>
      <w:r>
        <w:footnoteReference w:id="15"/>
      </w:r>
      <w:r>
        <w:rPr>
          <w:rFonts w:ascii="Times New Roman" w:hAnsi="Times New Roman" w:cs="Times New Roman"/>
          <w:sz w:val="28"/>
          <w:szCs w:val="28"/>
        </w:rPr>
        <w:t>.</w:t>
      </w:r>
    </w:p>
    <w:p w:rsidR="00D37B22" w:rsidRPr="00E26E25" w:rsidRDefault="00D37B22" w:rsidP="006E53DB">
      <w:p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sz w:val="28"/>
          <w:szCs w:val="28"/>
        </w:rPr>
        <w:t xml:space="preserve">Все пять направлений цифровизации тесно связаны между собой и дают общий эффект только при совместном развитии. Цифровая инфраструктура создаёт основу для внедрения технологий в бизнесе, цифровое государство снижает административные и транзакционные издержки, а цифровые финансы и работа с данными помогают экономике быстрее реагировать на внешние шоки. Именно такая взаимосвязь позволяет </w:t>
      </w:r>
      <w:r w:rsidRPr="00E26E25">
        <w:rPr>
          <w:rFonts w:ascii="Times New Roman" w:hAnsi="Times New Roman" w:cs="Times New Roman"/>
          <w:sz w:val="28"/>
          <w:szCs w:val="28"/>
        </w:rPr>
        <w:lastRenderedPageBreak/>
        <w:t>рассматривать цифровую экономику не как набор отдельных технологий, а как систему, которая влияет на развитие и устойчивость национальной экономики в целом.</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Влияние цифровизации на экономический рост проявляется на разных уровнях. На макроуровне оно связано с повышением производительности труда, сокращением транзакционных издержек и расширением международной торговли услугами - всё это в итоге может отражаться на динамике ВВП на душу населения. Всемирный банк фиксирует положительную связь между уровнем проникновения цифровых технологий и темпами экономического роста, особенно в странах с переходной экономикой</w:t>
      </w:r>
      <w:r>
        <w:footnoteReference w:id="16"/>
      </w:r>
      <w:r>
        <w:rPr>
          <w:rFonts w:ascii="Times New Roman" w:hAnsi="Times New Roman" w:cs="Times New Roman"/>
          <w:sz w:val="28"/>
          <w:szCs w:val="28"/>
        </w:rPr>
        <w:t>. На микроуровне исследования предприятий показывают, что более высокий уровень цифровизации фирм связан с их способностью сохранять выпуск и занятость в условиях экономических шоков</w:t>
      </w:r>
      <w:r>
        <w:footnoteReference w:id="17"/>
      </w:r>
      <w:r>
        <w:rPr>
          <w:rFonts w:ascii="Times New Roman" w:hAnsi="Times New Roman" w:cs="Times New Roman"/>
          <w:sz w:val="28"/>
          <w:szCs w:val="28"/>
        </w:rPr>
        <w:t>. Это позволяет связать цифровизацию не только с экономическим ростом, но и с устойчивостью экономики - что рассматривается в следующем параграфе.</w:t>
      </w:r>
    </w:p>
    <w:p w:rsidR="00D37B22" w:rsidRPr="00E26E25" w:rsidRDefault="00D37B22" w:rsidP="006E53DB">
      <w:p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sz w:val="28"/>
          <w:szCs w:val="28"/>
        </w:rPr>
        <w:t>Несмотря на перечисленные тенденции, цифровизация сама по себе не гарантирует экономических преимуществ. Её результат зависит от качества институтов, эффективности государственного управления, уровня человеческого капитала и объёма сопутствующих инвестиций. Поэтому цифровизацию стоит рассматривать не только как технологический процесс, но и как фактор, который при определённых условиях может усиливать макроэкономическую устойчивость. Этот аспект подробнее раскрывается в следующем параграфе.</w:t>
      </w:r>
    </w:p>
    <w:p w:rsidR="00D37B22" w:rsidRPr="00E26E25" w:rsidRDefault="00D37B22" w:rsidP="006E53DB">
      <w:p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b/>
          <w:bCs/>
          <w:sz w:val="28"/>
          <w:szCs w:val="28"/>
        </w:rPr>
        <w:t>1.2. Теоретические подходы к категории устойчивости национальных экономик к экзогенным шокам и глобальным кризисам</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Категория «устойчивость» (resilience) применительно к национальной экономике стала активно использоваться в последние два десятилетия - когда стало очевидно, что одних показателей макроэкономической стабильности недостаточно для оценки способности экономики выдерживать внешние шоки и восстанавливаться после них. В подходе ОЭСР экономическая устойчивость рассматривается как способность экономики снижать уязвимость, противостоять шокам и быстро возвращаться к траектории восстановления</w:t>
      </w:r>
      <w:r>
        <w:footnoteReference w:id="18"/>
      </w:r>
      <w:r>
        <w:rPr>
          <w:rFonts w:ascii="Times New Roman" w:hAnsi="Times New Roman" w:cs="Times New Roman"/>
          <w:sz w:val="28"/>
          <w:szCs w:val="28"/>
        </w:rPr>
        <w:t>.</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работах Л. Бригульо, Г. Кордины, Н. Фарругия и С. Веллы устойчивость рассматривается через различие между двумя категориями: уязвимостью и устойчивостью. Уязвимость отражает структурную подверженность экономики внешним шокам, тогда как устойчивость связана со способностью экономической политики смягчать последствия таких шоков или ускорять восстановление. В этом подходе уязвимость - более постоянная характеристика экономики, а устойчивость зависит от решений государства, качества институтов и поведения частных экономических агентов. На основе такого разграничения Бригульо предложил типологическую матрицу, где страны классифицируются по сочетанию уровня структурной уязвимости и способности экономики противостоять внешним шокам. Эта типология показывает, что даже страны с высокой уязвимостью могут достигать устойчивых результатов - при наличии эффективной экономической политики и развитых институтов. Эмпирическая проверка модели на выборке из 86 стран подтвердила положительную связь между ВВП на душу населения и уровнем устойчивости, а также отрицательную - между ВВП и уровнем уязвимости. Композитный индекс экономической устойчивости, предложенный Бригульо и соавторами, включает четыре ключевые компоненты: макроэкономическую стабильность, микроэкономическую рыночную эффективность, качество государственного </w:t>
      </w:r>
      <w:r>
        <w:rPr>
          <w:rFonts w:ascii="Times New Roman" w:hAnsi="Times New Roman" w:cs="Times New Roman"/>
          <w:sz w:val="28"/>
          <w:szCs w:val="28"/>
        </w:rPr>
        <w:lastRenderedPageBreak/>
        <w:t>управления и социальное развитие</w:t>
      </w:r>
      <w:r>
        <w:footnoteReference w:id="19"/>
      </w:r>
      <w:r>
        <w:rPr>
          <w:rFonts w:ascii="Times New Roman" w:hAnsi="Times New Roman" w:cs="Times New Roman"/>
          <w:sz w:val="28"/>
          <w:szCs w:val="28"/>
        </w:rPr>
        <w:t>. Такой подход позволяет рассматривать устойчивость не только как теоретическую категорию, но и как измеримый показатель, пригодный для сравнительного и эконометрического анализа.</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Параллельно с подходом Бригульо в исследованиях ОЭСР устойчивость рассматривается через три взаимосвязанные функции экономической политики: предотвращение накопления уязвимостей, ограничение глубины шока и ускорение восстановления</w:t>
      </w:r>
      <w:r>
        <w:footnoteReference w:id="20"/>
      </w:r>
      <w:r>
        <w:rPr>
          <w:rFonts w:ascii="Times New Roman" w:hAnsi="Times New Roman" w:cs="Times New Roman"/>
          <w:sz w:val="28"/>
          <w:szCs w:val="28"/>
        </w:rPr>
        <w:t>. В работе А. Кальдера-Санчес, М. Расмуссена и О. Рёна показано, что на устойчивость влияют разные направления макроэкономической и структурной политики - фискальная, денежно-кредитная, финансовая и трудовая. Ключевая идея этого подхода в том, что одни и те же меры могут одновременно снижать уязвимость экономики, смягчать последствия кризиса и ускорять восстановление. Вместе с тем между этими задачами могут возникать компромиссы, что требует более сбалансированного подхода к экономической политике.</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Согласно оценкам ОЭСР, меры экономической политики могут иметь неоднозначный эффект: например, фискальные резервы расширяют возможности стимулирования в период спада, тогда как жёсткое регулирование рынка труда может смягчать первоначальный удар по занятости, но замедлять последующее восстановление</w:t>
      </w:r>
      <w:r>
        <w:footnoteReference w:id="21"/>
      </w:r>
      <w:r>
        <w:rPr>
          <w:rFonts w:ascii="Times New Roman" w:hAnsi="Times New Roman" w:cs="Times New Roman"/>
          <w:sz w:val="28"/>
          <w:szCs w:val="28"/>
        </w:rPr>
        <w:t>. Устойчивость экономики зависит поэтому не только от наличия отдельных антикризисных инструментов, но и от того, насколько политика учитывает возможные компромиссы между смягчением кризисного удара и скоростью последующего восстановления.</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Эмпирическое направление теории устойчивости получило развитие в исследовании Кальдера-Санчес, де Серра, Гори, Хермансена и Рёна - там были рассмотрены серьёзные рецессии и финансовые кризисы в 100 странах за период 1970-2014 годов. В этой работе серьёзная рецессия определяется как существенное снижение ВВП на душу населения, превышающее медианный уровень по выборке. Глобальный финансовый кризис 2008-2009 годов был определён как один из наиболее распространённых и дорогостоящих кризисных эпизодов, поскольку в ряде развитых экономик потери выпуска превысили 10% ВВП</w:t>
      </w:r>
      <w:r>
        <w:footnoteReference w:id="22"/>
      </w:r>
      <w:r>
        <w:rPr>
          <w:rFonts w:ascii="Times New Roman" w:hAnsi="Times New Roman" w:cs="Times New Roman"/>
          <w:sz w:val="28"/>
          <w:szCs w:val="28"/>
        </w:rPr>
        <w:t>.</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Важным результатом указанного исследования является вывод о том, что продолжительность рецессий зависит от вовлечённости банковского сектора: в странах ОЭСР, столкнувшихся с банковским кризисом, средний интервал «пик - дно» составил около 12 кварталов, тогда как в странах без банковского кризиса - около 4 кварталов, а в отдельных странах вне ОЭСР - около 3 кварталов</w:t>
      </w:r>
      <w:r>
        <w:footnoteReference w:id="23"/>
      </w:r>
      <w:r>
        <w:rPr>
          <w:rFonts w:ascii="Times New Roman" w:hAnsi="Times New Roman" w:cs="Times New Roman"/>
          <w:sz w:val="28"/>
          <w:szCs w:val="28"/>
        </w:rPr>
        <w:t>. Этот результат показывает, что финансовая составляющая кризиса способна заметно удлинять период восстановления - и это нужно учитывать при разработке антикризисной политики.</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теории устойчивости важное место занимают индикаторы раннего предупреждения, которые помогают заранее оценивать вероятность серьёзной рецессии. Согласно методологии Хермансена и Рёна, к наиболее информативным индикаторам относятся рост частного кредитования, отклонения цен на жильё от долгосрочного тренда, дисбалансы текущего счёта и глобальные показатели кредитного цикла</w:t>
      </w:r>
      <w:r>
        <w:footnoteReference w:id="24"/>
      </w:r>
      <w:r>
        <w:rPr>
          <w:rFonts w:ascii="Times New Roman" w:hAnsi="Times New Roman" w:cs="Times New Roman"/>
          <w:sz w:val="28"/>
          <w:szCs w:val="28"/>
        </w:rPr>
        <w:t xml:space="preserve">. Для этого исследования такой подход важен тем, что показывает возможность оценки устойчивости </w:t>
      </w:r>
      <w:r>
        <w:rPr>
          <w:rFonts w:ascii="Times New Roman" w:hAnsi="Times New Roman" w:cs="Times New Roman"/>
          <w:sz w:val="28"/>
          <w:szCs w:val="28"/>
        </w:rPr>
        <w:lastRenderedPageBreak/>
        <w:t>экономики через систему количественных показателей - которые затем могут быть использованы в сравнительном и эконометрическом анализе.</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Современное понимание экономической устойчивости постепенно расширяется за счёт включения цифровых и технологических факторов. Если в классическом подходе Бригульо устойчивость объяснялась через макроэкономические, институциональные и социальные переменные, то после пандемии COVID-19 всё большее значение стали получать показатели цифровой готовности. В докладе ОЭСР о сотрудничестве в области развития 2020 года цифровая готовность включается в число ключевых направлений устойчивости национальных экономик к глобальным шокам наряду с международными экономическими связями, системой здравоохранения, социальной защитой, финансовой системой и государственными финансами</w:t>
      </w:r>
      <w:r>
        <w:footnoteReference w:id="25"/>
      </w:r>
      <w:r>
        <w:rPr>
          <w:rFonts w:ascii="Times New Roman" w:hAnsi="Times New Roman" w:cs="Times New Roman"/>
          <w:sz w:val="28"/>
          <w:szCs w:val="28"/>
        </w:rPr>
        <w:t>. Это показывает, что природа современных кризисов изменилась: пандемия 2020 года выявила значимость цифровой инфраструктуры как одного из инструментов смягчения шока - наряду с фискальными и финансовыми резервами.</w:t>
      </w:r>
    </w:p>
    <w:p w:rsidR="00D37B22" w:rsidRPr="00E26E25" w:rsidRDefault="00D37B22" w:rsidP="006E53DB">
      <w:p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sz w:val="28"/>
          <w:szCs w:val="28"/>
        </w:rPr>
        <w:t xml:space="preserve">С учётом рассмотренных подходов устойчивость национальной экономики можно </w:t>
      </w:r>
      <w:proofErr w:type="gramStart"/>
      <w:r w:rsidRPr="00E26E25">
        <w:rPr>
          <w:rFonts w:ascii="Times New Roman" w:hAnsi="Times New Roman" w:cs="Times New Roman"/>
          <w:sz w:val="28"/>
          <w:szCs w:val="28"/>
        </w:rPr>
        <w:t>понимать</w:t>
      </w:r>
      <w:proofErr w:type="gramEnd"/>
      <w:r w:rsidRPr="00E26E25">
        <w:rPr>
          <w:rFonts w:ascii="Times New Roman" w:hAnsi="Times New Roman" w:cs="Times New Roman"/>
          <w:sz w:val="28"/>
          <w:szCs w:val="28"/>
        </w:rPr>
        <w:t xml:space="preserve"> как многомерную категорию, объединяющую макроэкономическую стабильность, рыночную эффективность, качество государственного управления, социальное развитие и цифровую готовность. Она может быть выражена через систему композитных индексов и проверена с помощью эконометрических моделей - что позволяет использовать эту категорию не только в теоретическом, но и в сравнительно-аналитическом смысле. При этом важно учитывать, что устойчивость зависит не только от структурных характеристик экономики, но и от качества проводимой политики. Поэтому в следующем параграфе рассматриваются конкретные каналы влияния цифровых технологий на устойчивость национальных экономик.</w:t>
      </w:r>
    </w:p>
    <w:p w:rsidR="00D37B22" w:rsidRPr="00E26E25" w:rsidRDefault="00D37B22" w:rsidP="006E53DB">
      <w:p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b/>
          <w:bCs/>
          <w:sz w:val="28"/>
          <w:szCs w:val="28"/>
        </w:rPr>
        <w:lastRenderedPageBreak/>
        <w:t>1.3. Системные механизмы и каналы влияния цифровых технологий на макроэкономическую стабильность государств</w:t>
      </w:r>
    </w:p>
    <w:p w:rsidR="00D37B22" w:rsidRPr="00E26E25" w:rsidRDefault="00D37B22" w:rsidP="006E53DB">
      <w:p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sz w:val="28"/>
          <w:szCs w:val="28"/>
        </w:rPr>
        <w:t>Связь между цифровизацией и устойчивостью национальных экономик, рассмотренная в предыдущих параграфах, требует более конкретного раскрытия через отдельные каналы воздействия. Такая систематизация важна для этой работы, поскольку помогает объяснить, каким образом цифровые технологии могут влиять на макроэкономическую устойчивость, а также обосновывает дальнейший выбор переменных для эконометрического анализа. В работе выделяются пять основных каналов влияния цифровизации на устойчивость национальной экономики: непрерывность государственных функций, фискальная трансмиссия, адаптация частного сектора, диверсификация конечного спроса и устойчивость информационно-коммуникационного сектора.</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Первый канал - обеспечение непрерывности государственных функций в условиях внешних шоков. Цифровое государство, включающее электронную идентификацию, межведомственный обмен данными и онлайн-сервисы для граждан и бизнеса, помогает сохранять работу государственных институтов даже при ограничении физического взаимодействия. По оценкам ОЭСР, готовность к цифровизации стала одним из ключевых факторов адаптации бизнеса и государственного сектора в период пандемии COVID-19. Данный канал подтверждается примерами Вьетнама, Швейцарии и Марокко, где цифровые платформы использовались для онлайн-госуслуг, быстрого предоставления кредитов и адресной поддержки населения</w:t>
      </w:r>
      <w:r>
        <w:footnoteReference w:id="26"/>
      </w:r>
      <w:r>
        <w:rPr>
          <w:rFonts w:ascii="Times New Roman" w:hAnsi="Times New Roman" w:cs="Times New Roman"/>
          <w:sz w:val="28"/>
          <w:szCs w:val="28"/>
        </w:rPr>
        <w:t>.</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Второй канал связан с повышением эффективности фискальной трансмиссии. Цифровые платёжные системы, инфраструктура цифровой идентификации и объединённые базы данных помогают быстрее и точнее направлять государственную поддержку конечным получателям. В докладе ОЭСР 2020 года подчёркивается, что эффективная поддержка домохозяйств и </w:t>
      </w:r>
      <w:r>
        <w:rPr>
          <w:rFonts w:ascii="Times New Roman" w:hAnsi="Times New Roman" w:cs="Times New Roman"/>
          <w:sz w:val="28"/>
          <w:szCs w:val="28"/>
        </w:rPr>
        <w:lastRenderedPageBreak/>
        <w:t>фирм в условиях глобальных шоков требует продвинутого управления данными и объединения информации из налоговых, социальных и иных государственных систем</w:t>
      </w:r>
      <w:r>
        <w:footnoteReference w:id="27"/>
      </w:r>
      <w:r>
        <w:rPr>
          <w:rFonts w:ascii="Times New Roman" w:hAnsi="Times New Roman" w:cs="Times New Roman"/>
          <w:sz w:val="28"/>
          <w:szCs w:val="28"/>
        </w:rPr>
        <w:t>. С макроэкономической точки зрения этот канал уменьшает временные лаги и административные издержки при распределении средств - благодаря чему государственные расходы быстрее дают стабилизирующий эффект.</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Третий канал - адаптация частного сектора к шокам за счёт цифровых технологий. Эмпирические исследования на микроданных предприятий показывают, что фирмы с более высоким уровнем внедрения информационных технологий в период пандемии демонстрировали меньшее падение занятости и выручки по сравнению с менее цифровизированными фирмами</w:t>
      </w:r>
      <w:r>
        <w:footnoteReference w:id="28"/>
      </w:r>
      <w:r>
        <w:rPr>
          <w:rFonts w:ascii="Times New Roman" w:hAnsi="Times New Roman" w:cs="Times New Roman"/>
          <w:sz w:val="28"/>
          <w:szCs w:val="28"/>
        </w:rPr>
        <w:t>. Такой эффект объясняется тем, что цифровые решения облегчают переход на удалённую работу, развитие электронной коммерции и более гибкую организацию производственных и логистических процессов. По оценкам ОЭСР, в 2023 году облачными вычислениями пользовались в среднем 49% предприятий стран ОЭСР, что создавало технологическую основу для быстрой адаптации бизнеса к кризисным ограничениям</w:t>
      </w:r>
      <w:r>
        <w:footnoteReference w:id="29"/>
      </w:r>
      <w:r>
        <w:rPr>
          <w:rFonts w:ascii="Times New Roman" w:hAnsi="Times New Roman" w:cs="Times New Roman"/>
          <w:sz w:val="28"/>
          <w:szCs w:val="28"/>
        </w:rPr>
        <w:t>.</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Четвёртый канал связан с изменением структуры конечного спроса в пользу цифровых услуг и электронной коммерции. Во время пандемии COVID-19 ограничения физической мобильности ускорили переход потребителей к онлайн-каналам торговли, связи и получения услуг. Так, в 2020 году розничные онлайн-продажи в Европейском союзе и США заметно выросли, а спрос на широкополосную связь у отдельных операторов увеличился до 60%</w:t>
      </w:r>
      <w:r>
        <w:footnoteReference w:id="30"/>
      </w:r>
      <w:r>
        <w:rPr>
          <w:rFonts w:ascii="Times New Roman" w:hAnsi="Times New Roman" w:cs="Times New Roman"/>
          <w:sz w:val="28"/>
          <w:szCs w:val="28"/>
        </w:rPr>
        <w:t xml:space="preserve">. По оценкам исследователей, пандемия продвинула </w:t>
      </w:r>
      <w:r>
        <w:rPr>
          <w:rFonts w:ascii="Times New Roman" w:hAnsi="Times New Roman" w:cs="Times New Roman"/>
          <w:sz w:val="28"/>
          <w:szCs w:val="28"/>
        </w:rPr>
        <w:lastRenderedPageBreak/>
        <w:t>долгосрочный тренд цифровизации потребительских рынков примерно на 2,5 года вперёд относительно допандемийной траектории</w:t>
      </w:r>
      <w:r>
        <w:footnoteReference w:id="31"/>
      </w:r>
      <w:r>
        <w:rPr>
          <w:rFonts w:ascii="Times New Roman" w:hAnsi="Times New Roman" w:cs="Times New Roman"/>
          <w:sz w:val="28"/>
          <w:szCs w:val="28"/>
        </w:rPr>
        <w:t>. С точки зрения экономической устойчивости это означает, что цифровые каналы частично сохраняют потребление даже тогда, когда физические форматы торговли и услуг ограничены. Поэтому развитие электронной коммерции и онлайн-сервисов может смягчать последствия шоков, связанных с ограничением мобильности.</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Пятый канал - устойчивость информационно-коммуникационного сектора как отдельного элемента национальной экономики. Согласно данным ОЭСР, в 2020 году средний темп роста ИКТ-сектора в странах ОЭСР составил 6,6%, а к 2021 году эффект пандемийного шока в большинстве стран данного сектора уже практически не прослеживался</w:t>
      </w:r>
      <w:r>
        <w:footnoteReference w:id="32"/>
      </w:r>
      <w:r>
        <w:rPr>
          <w:rFonts w:ascii="Times New Roman" w:hAnsi="Times New Roman" w:cs="Times New Roman"/>
          <w:sz w:val="28"/>
          <w:szCs w:val="28"/>
        </w:rPr>
        <w:t>. Это показывает, что ИКТ-сектор в кризисных условиях может быть устойчивее многих традиционных отраслей. Его значение проявляется в двух аспектах: во-первых, более высокая доля ИКТ-сектора в экономике создаёт дополнительную опору для совокупного выпуска; во-вторых, этот сектор обеспечивает другие отрасли цифровыми решениями, которые повышают их способность к адаптации.</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Исследования ОЭСР показывают, что среди ранних индикаторов серьёзных рецессий особое значение имеют показатели кредитного цикла, отклонения цен на жильё от долгосрочного тренда и дисбалансы счёта текущих операций</w:t>
      </w:r>
      <w:r>
        <w:footnoteReference w:id="33"/>
      </w:r>
      <w:r>
        <w:rPr>
          <w:rFonts w:ascii="Times New Roman" w:hAnsi="Times New Roman" w:cs="Times New Roman"/>
          <w:sz w:val="28"/>
          <w:szCs w:val="28"/>
        </w:rPr>
        <w:t xml:space="preserve">. Для этого исследования вывод важен тем, что цифровизация фискальной системы может повышать не только скорость антикризисного реагирования, но и качество раннего выявления </w:t>
      </w:r>
      <w:r>
        <w:rPr>
          <w:rFonts w:ascii="Times New Roman" w:hAnsi="Times New Roman" w:cs="Times New Roman"/>
          <w:sz w:val="28"/>
          <w:szCs w:val="28"/>
        </w:rPr>
        <w:lastRenderedPageBreak/>
        <w:t>макроэкономических дисбалансов - за счёт объединения и анализа данных в режиме, близком к реальному времени.</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Вопрос цифровизации финансового сектора следует рассматривать двойственно: с одной стороны, она ускоряет фискальную и финансовую трансмиссию, с другой - при слабом регулировании может усиливать распространение финансовых рисков</w:t>
      </w:r>
      <w:r>
        <w:footnoteReference w:id="34"/>
      </w:r>
      <w:r>
        <w:rPr>
          <w:rFonts w:ascii="Times New Roman" w:hAnsi="Times New Roman" w:cs="Times New Roman"/>
          <w:sz w:val="28"/>
          <w:szCs w:val="28"/>
        </w:rPr>
        <w:t>. Поэтому развитие цифровых финансов должно сочетаться с надёжным макропруденциальным регулированием и постоянным контролем устойчивости финансовой системы.</w:t>
      </w:r>
    </w:p>
    <w:p w:rsidR="00D37B22" w:rsidRPr="00E26E25" w:rsidRDefault="00D37B22" w:rsidP="006E53DB">
      <w:p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sz w:val="28"/>
          <w:szCs w:val="28"/>
        </w:rPr>
        <w:t>Системная связь между перечисленными каналами проявляется в том, что они усиливают друг друга. Развитая цифровая инфраструктура создаёт условия для непрерывности государственных функций и более эффективной фискальной трансмиссии; цифровизация государственного управления и финансовых механизмов повышает адаптивность частного сектора; а расширение цифровых услуг поддерживает развитие самого ИКТ-сектора. Устойчивость, связанная с цифровыми технологиями, формируется поэтому не как простая сумма отдельных эффектов, а как результат взаимодействия нескольких каналов. Это помогает объяснить, почему страны с более высоким уровнем цифровой трансформации могут показывать более устойчивые траектории в условиях глобальных кризисов - что рассматривается во второй главе.</w:t>
      </w:r>
    </w:p>
    <w:p w:rsidR="00D37B22" w:rsidRPr="00E26E25" w:rsidRDefault="00D37B22" w:rsidP="006E53DB">
      <w:p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sz w:val="28"/>
          <w:szCs w:val="28"/>
        </w:rPr>
        <w:t xml:space="preserve">С точки зрения эконометрического моделирования выделенные каналы позволяют обосновать выбор количественных индикаторов цифровизации и устойчивости национальных экономик. Теоретически уровень цифровизации может отражаться через показатели цифровой инфраструктуры, электронного правительства, развития ИКТ-сектора и распространения цифровых технологий среди предприятий. Однако в этой работе, с учётом доступности сопоставимых данных по широкой выборке стран, основным индикатором цифровизации выбрана доля интернет-пользователей в численности </w:t>
      </w:r>
      <w:r w:rsidRPr="00E26E25">
        <w:rPr>
          <w:rFonts w:ascii="Times New Roman" w:hAnsi="Times New Roman" w:cs="Times New Roman"/>
          <w:sz w:val="28"/>
          <w:szCs w:val="28"/>
        </w:rPr>
        <w:lastRenderedPageBreak/>
        <w:t>населения. В качестве зависимой переменной используется натуральный логарифм ВВП на душу населения. В модель также включаются валовое накопление основного капитала, инфляция, безработица, экспорт высокотехнологичной продукции, кризисные дамми-переменные 2020 и 2022 годов, а также взаимодействия показателя интернет-проникновения с кризисными периодами. Такой подход связывает теоретические положения первой главы с эконометрическим анализом, представленным во второй главе.</w:t>
      </w:r>
    </w:p>
    <w:p w:rsidR="00D37B22" w:rsidRPr="00E26E25" w:rsidRDefault="00D37B22" w:rsidP="006E53DB">
      <w:p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sz w:val="28"/>
          <w:szCs w:val="28"/>
        </w:rPr>
        <w:t>Цифровые технологии влияют на макроэкономическую устойчивость не через один универсальный механизм, а через систему взаимосвязанных каналов. Эти каналы охватывают государственное управление, фискальную трансмиссию, адаптацию частного сектора, структуру конечного спроса и устойчивость ИКТ-сектора. Их совместное действие дополняет классическое понимание устойчивости, представленное в работах Бригульо и ОЭСР, и позволяет рассматривать цифровизацию как самостоятельный фактор повышения адаптивности национальных экономик. Эмпирическая проверка связи между цифровизацией и устойчивостью, а также сравнительный анализ страновых траекторий в условиях глобальных кризисов представлены во второй главе.</w:t>
      </w:r>
    </w:p>
    <w:p w:rsidR="00D37B22" w:rsidRDefault="00D37B22" w:rsidP="006E53DB">
      <w:p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b/>
          <w:bCs/>
          <w:sz w:val="28"/>
          <w:szCs w:val="28"/>
        </w:rPr>
        <w:t>Выводы по первой главе.</w:t>
      </w:r>
      <w:r w:rsidRPr="00E26E25">
        <w:rPr>
          <w:rFonts w:ascii="Times New Roman" w:hAnsi="Times New Roman" w:cs="Times New Roman"/>
          <w:sz w:val="28"/>
          <w:szCs w:val="28"/>
        </w:rPr>
        <w:t xml:space="preserve"> В первой главе показано, что цифровизация экономики - это не только технологический процесс, но и один из факторов, влияющих на устойчивость национальных экономик к внешним шокам. Она включает развитие цифровой инфраструктуры, электронного государственного управления, цифрового бизнеса, цифровых финансов и данных как экономического актива. Рассмотренные подходы ОЭСР, Всемирного банка, Европейской комиссии и исследователей экономической устойчивости показывают, что способность экономики противостоять кризисам формируется заранее - через качество институтов, уровень инфраструктурного развития и наличие механизмов быстрой адаптации. В работе выделены пять основных каналов влияния цифровизации на макроэкономическую устойчивость: непрерывность государственных </w:t>
      </w:r>
      <w:r w:rsidRPr="00E26E25">
        <w:rPr>
          <w:rFonts w:ascii="Times New Roman" w:hAnsi="Times New Roman" w:cs="Times New Roman"/>
          <w:sz w:val="28"/>
          <w:szCs w:val="28"/>
        </w:rPr>
        <w:lastRenderedPageBreak/>
        <w:t>функций, эффективность фискальной трансмиссии, адаптация частного сектора, диверсификация конечного спроса и устойчивость ИКТ-сектора. Эти положения формируют теоретическую основу для дальнейшего анализа международного опыта и эконометрической проверки связи между цифровизацией и устойчивостью национальных экономик.</w:t>
      </w:r>
    </w:p>
    <w:p w:rsidR="006E53DB" w:rsidRDefault="006E53DB" w:rsidP="006E53DB">
      <w:pPr>
        <w:spacing w:after="0" w:line="360" w:lineRule="auto"/>
        <w:ind w:firstLine="709"/>
        <w:jc w:val="both"/>
        <w:rPr>
          <w:rFonts w:ascii="Times New Roman" w:hAnsi="Times New Roman" w:cs="Times New Roman"/>
          <w:sz w:val="28"/>
          <w:szCs w:val="28"/>
        </w:rPr>
      </w:pPr>
    </w:p>
    <w:p w:rsidR="006E53DB" w:rsidRDefault="006E53DB" w:rsidP="006E53DB">
      <w:pPr>
        <w:spacing w:after="0" w:line="360" w:lineRule="auto"/>
        <w:ind w:firstLine="709"/>
        <w:jc w:val="both"/>
        <w:rPr>
          <w:rFonts w:ascii="Times New Roman" w:hAnsi="Times New Roman" w:cs="Times New Roman"/>
          <w:sz w:val="28"/>
          <w:szCs w:val="28"/>
        </w:rPr>
      </w:pPr>
    </w:p>
    <w:p w:rsidR="006E53DB" w:rsidRDefault="006E53DB" w:rsidP="006E53DB">
      <w:pPr>
        <w:spacing w:after="0" w:line="360" w:lineRule="auto"/>
        <w:ind w:firstLine="709"/>
        <w:jc w:val="both"/>
        <w:rPr>
          <w:rFonts w:ascii="Times New Roman" w:hAnsi="Times New Roman" w:cs="Times New Roman"/>
          <w:sz w:val="28"/>
          <w:szCs w:val="28"/>
        </w:rPr>
      </w:pPr>
    </w:p>
    <w:p w:rsidR="006E53DB" w:rsidRDefault="006E53DB" w:rsidP="006E53DB">
      <w:pPr>
        <w:spacing w:after="0" w:line="360" w:lineRule="auto"/>
        <w:ind w:firstLine="709"/>
        <w:jc w:val="both"/>
        <w:rPr>
          <w:rFonts w:ascii="Times New Roman" w:hAnsi="Times New Roman" w:cs="Times New Roman"/>
          <w:sz w:val="28"/>
          <w:szCs w:val="28"/>
        </w:rPr>
      </w:pPr>
    </w:p>
    <w:p w:rsidR="006E53DB" w:rsidRDefault="006E53DB" w:rsidP="006E53DB">
      <w:pPr>
        <w:spacing w:after="0" w:line="360" w:lineRule="auto"/>
        <w:ind w:firstLine="709"/>
        <w:jc w:val="both"/>
        <w:rPr>
          <w:rFonts w:ascii="Times New Roman" w:hAnsi="Times New Roman" w:cs="Times New Roman"/>
          <w:sz w:val="28"/>
          <w:szCs w:val="28"/>
        </w:rPr>
      </w:pPr>
    </w:p>
    <w:p w:rsidR="006E53DB" w:rsidRDefault="006E53DB" w:rsidP="006E53DB">
      <w:pPr>
        <w:spacing w:after="0" w:line="360" w:lineRule="auto"/>
        <w:ind w:firstLine="709"/>
        <w:jc w:val="both"/>
        <w:rPr>
          <w:rFonts w:ascii="Times New Roman" w:hAnsi="Times New Roman" w:cs="Times New Roman"/>
          <w:sz w:val="28"/>
          <w:szCs w:val="28"/>
        </w:rPr>
      </w:pPr>
    </w:p>
    <w:p w:rsidR="006E53DB" w:rsidRDefault="006E53DB" w:rsidP="006E53DB">
      <w:pPr>
        <w:spacing w:after="0" w:line="360" w:lineRule="auto"/>
        <w:ind w:firstLine="709"/>
        <w:jc w:val="both"/>
        <w:rPr>
          <w:rFonts w:ascii="Times New Roman" w:hAnsi="Times New Roman" w:cs="Times New Roman"/>
          <w:sz w:val="28"/>
          <w:szCs w:val="28"/>
        </w:rPr>
      </w:pPr>
    </w:p>
    <w:p w:rsidR="006E53DB" w:rsidRDefault="006E53DB" w:rsidP="006E53DB">
      <w:pPr>
        <w:spacing w:after="0" w:line="360" w:lineRule="auto"/>
        <w:ind w:firstLine="709"/>
        <w:jc w:val="both"/>
        <w:rPr>
          <w:rFonts w:ascii="Times New Roman" w:hAnsi="Times New Roman" w:cs="Times New Roman"/>
          <w:sz w:val="28"/>
          <w:szCs w:val="28"/>
        </w:rPr>
      </w:pPr>
    </w:p>
    <w:p w:rsidR="006E53DB" w:rsidRDefault="006E53DB" w:rsidP="006E53DB">
      <w:pPr>
        <w:spacing w:after="0" w:line="360" w:lineRule="auto"/>
        <w:ind w:firstLine="709"/>
        <w:jc w:val="both"/>
        <w:rPr>
          <w:rFonts w:ascii="Times New Roman" w:hAnsi="Times New Roman" w:cs="Times New Roman"/>
          <w:sz w:val="28"/>
          <w:szCs w:val="28"/>
        </w:rPr>
      </w:pPr>
    </w:p>
    <w:p w:rsidR="006E53DB" w:rsidRDefault="006E53DB" w:rsidP="006E53DB">
      <w:pPr>
        <w:spacing w:after="0" w:line="360" w:lineRule="auto"/>
        <w:ind w:firstLine="709"/>
        <w:jc w:val="both"/>
        <w:rPr>
          <w:rFonts w:ascii="Times New Roman" w:hAnsi="Times New Roman" w:cs="Times New Roman"/>
          <w:sz w:val="28"/>
          <w:szCs w:val="28"/>
        </w:rPr>
      </w:pPr>
    </w:p>
    <w:p w:rsidR="006E53DB" w:rsidRDefault="006E53DB" w:rsidP="006E53DB">
      <w:pPr>
        <w:spacing w:after="0" w:line="360" w:lineRule="auto"/>
        <w:ind w:firstLine="709"/>
        <w:jc w:val="both"/>
        <w:rPr>
          <w:rFonts w:ascii="Times New Roman" w:hAnsi="Times New Roman" w:cs="Times New Roman"/>
          <w:sz w:val="28"/>
          <w:szCs w:val="28"/>
        </w:rPr>
      </w:pPr>
    </w:p>
    <w:p w:rsidR="006E53DB" w:rsidRDefault="006E53DB" w:rsidP="006E53DB">
      <w:pPr>
        <w:spacing w:after="0" w:line="360" w:lineRule="auto"/>
        <w:ind w:firstLine="709"/>
        <w:jc w:val="both"/>
        <w:rPr>
          <w:rFonts w:ascii="Times New Roman" w:hAnsi="Times New Roman" w:cs="Times New Roman"/>
          <w:sz w:val="28"/>
          <w:szCs w:val="28"/>
        </w:rPr>
      </w:pPr>
    </w:p>
    <w:p w:rsidR="006E53DB" w:rsidRDefault="006E53DB" w:rsidP="006E53DB">
      <w:pPr>
        <w:spacing w:after="0" w:line="360" w:lineRule="auto"/>
        <w:ind w:firstLine="709"/>
        <w:jc w:val="both"/>
        <w:rPr>
          <w:rFonts w:ascii="Times New Roman" w:hAnsi="Times New Roman" w:cs="Times New Roman"/>
          <w:sz w:val="28"/>
          <w:szCs w:val="28"/>
        </w:rPr>
      </w:pPr>
    </w:p>
    <w:p w:rsidR="006E53DB" w:rsidRDefault="006E53DB" w:rsidP="006E53DB">
      <w:pPr>
        <w:spacing w:after="0" w:line="360" w:lineRule="auto"/>
        <w:ind w:firstLine="709"/>
        <w:jc w:val="both"/>
        <w:rPr>
          <w:rFonts w:ascii="Times New Roman" w:hAnsi="Times New Roman" w:cs="Times New Roman"/>
          <w:sz w:val="28"/>
          <w:szCs w:val="28"/>
        </w:rPr>
      </w:pPr>
    </w:p>
    <w:p w:rsidR="006E53DB" w:rsidRDefault="006E53DB" w:rsidP="006E53DB">
      <w:pPr>
        <w:spacing w:after="0" w:line="360" w:lineRule="auto"/>
        <w:ind w:firstLine="709"/>
        <w:jc w:val="both"/>
        <w:rPr>
          <w:rFonts w:ascii="Times New Roman" w:hAnsi="Times New Roman" w:cs="Times New Roman"/>
          <w:sz w:val="28"/>
          <w:szCs w:val="28"/>
        </w:rPr>
      </w:pPr>
    </w:p>
    <w:p w:rsidR="006E53DB" w:rsidRDefault="006E53DB" w:rsidP="006E53DB">
      <w:pPr>
        <w:spacing w:after="0" w:line="360" w:lineRule="auto"/>
        <w:ind w:firstLine="709"/>
        <w:jc w:val="both"/>
        <w:rPr>
          <w:rFonts w:ascii="Times New Roman" w:hAnsi="Times New Roman" w:cs="Times New Roman"/>
          <w:sz w:val="28"/>
          <w:szCs w:val="28"/>
        </w:rPr>
      </w:pPr>
    </w:p>
    <w:p w:rsidR="006E53DB" w:rsidRDefault="006E53DB" w:rsidP="006E53DB">
      <w:pPr>
        <w:spacing w:after="0" w:line="360" w:lineRule="auto"/>
        <w:ind w:firstLine="709"/>
        <w:jc w:val="both"/>
        <w:rPr>
          <w:rFonts w:ascii="Times New Roman" w:hAnsi="Times New Roman" w:cs="Times New Roman"/>
          <w:sz w:val="28"/>
          <w:szCs w:val="28"/>
        </w:rPr>
      </w:pPr>
    </w:p>
    <w:p w:rsidR="006E53DB" w:rsidRDefault="006E53DB" w:rsidP="006E53DB">
      <w:pPr>
        <w:spacing w:after="0" w:line="360" w:lineRule="auto"/>
        <w:ind w:firstLine="709"/>
        <w:jc w:val="both"/>
        <w:rPr>
          <w:rFonts w:ascii="Times New Roman" w:hAnsi="Times New Roman" w:cs="Times New Roman"/>
          <w:sz w:val="28"/>
          <w:szCs w:val="28"/>
        </w:rPr>
      </w:pPr>
    </w:p>
    <w:p w:rsidR="006E53DB" w:rsidRDefault="006E53DB" w:rsidP="006E53DB">
      <w:pPr>
        <w:spacing w:after="0" w:line="360" w:lineRule="auto"/>
        <w:ind w:firstLine="709"/>
        <w:jc w:val="both"/>
        <w:rPr>
          <w:rFonts w:ascii="Times New Roman" w:hAnsi="Times New Roman" w:cs="Times New Roman"/>
          <w:sz w:val="28"/>
          <w:szCs w:val="28"/>
        </w:rPr>
      </w:pPr>
    </w:p>
    <w:p w:rsidR="006E53DB" w:rsidRDefault="006E53DB" w:rsidP="006E53DB">
      <w:pPr>
        <w:spacing w:after="0" w:line="360" w:lineRule="auto"/>
        <w:ind w:firstLine="709"/>
        <w:jc w:val="both"/>
        <w:rPr>
          <w:rFonts w:ascii="Times New Roman" w:hAnsi="Times New Roman" w:cs="Times New Roman"/>
          <w:sz w:val="28"/>
          <w:szCs w:val="28"/>
        </w:rPr>
      </w:pPr>
    </w:p>
    <w:p w:rsidR="006E53DB" w:rsidRDefault="006E53DB" w:rsidP="006E53DB">
      <w:pPr>
        <w:spacing w:after="0" w:line="360" w:lineRule="auto"/>
        <w:ind w:firstLine="709"/>
        <w:jc w:val="both"/>
        <w:rPr>
          <w:rFonts w:ascii="Times New Roman" w:hAnsi="Times New Roman" w:cs="Times New Roman"/>
          <w:sz w:val="28"/>
          <w:szCs w:val="28"/>
        </w:rPr>
      </w:pPr>
    </w:p>
    <w:p w:rsidR="00EA258C" w:rsidRPr="00EA258C" w:rsidRDefault="00EA258C" w:rsidP="006E53DB">
      <w:pPr>
        <w:pStyle w:val="1"/>
        <w:spacing w:before="0" w:after="0" w:line="360" w:lineRule="auto"/>
        <w:ind w:firstLine="709"/>
        <w:jc w:val="center"/>
        <w:rPr>
          <w:rFonts w:ascii="Times New Roman" w:eastAsia="Times New Roman" w:hAnsi="Times New Roman" w:cs="Times New Roman"/>
          <w:b/>
          <w:color w:val="auto"/>
          <w:sz w:val="28"/>
          <w:szCs w:val="28"/>
        </w:rPr>
      </w:pPr>
      <w:bookmarkStart w:id="3" w:name="_Toc231398513"/>
      <w:r w:rsidRPr="00BD0E91">
        <w:rPr>
          <w:rFonts w:ascii="Times New Roman" w:eastAsia="Times New Roman" w:hAnsi="Times New Roman" w:cs="Times New Roman"/>
          <w:b/>
          <w:color w:val="auto"/>
          <w:sz w:val="28"/>
          <w:szCs w:val="28"/>
        </w:rPr>
        <w:lastRenderedPageBreak/>
        <w:t>ГЛАВА II. МЕЖДУНАРОДНЫЙ ОПЫТ ЦИФРОВИЗАЦИИ ЭКОНОМИКИ И ЭКОНОМЕТРИЧЕСКИЙ АНАЛИЗ ЕЁ ВЛИЯНИЯ НА УСТОЙЧИВОСТЬ СТРАН К ГЛОБАЛЬНЫМ КРИЗИСАМ</w:t>
      </w:r>
      <w:bookmarkEnd w:id="3"/>
    </w:p>
    <w:p w:rsidR="00EA258C" w:rsidRPr="00B80191" w:rsidRDefault="00EA258C" w:rsidP="006E53DB">
      <w:pPr>
        <w:pStyle w:val="2"/>
        <w:spacing w:before="0" w:after="0" w:line="360" w:lineRule="auto"/>
        <w:ind w:firstLine="709"/>
        <w:jc w:val="center"/>
        <w:rPr>
          <w:rFonts w:ascii="Times New Roman" w:eastAsia="Times New Roman" w:hAnsi="Times New Roman" w:cs="Times New Roman"/>
          <w:b/>
          <w:i/>
          <w:color w:val="auto"/>
          <w:sz w:val="28"/>
          <w:szCs w:val="28"/>
        </w:rPr>
      </w:pPr>
      <w:bookmarkStart w:id="4" w:name="_Toc231398514"/>
      <w:r w:rsidRPr="00B80191">
        <w:rPr>
          <w:rFonts w:ascii="Times New Roman" w:eastAsia="Times New Roman" w:hAnsi="Times New Roman" w:cs="Times New Roman"/>
          <w:b/>
          <w:i/>
          <w:color w:val="auto"/>
          <w:sz w:val="28"/>
          <w:szCs w:val="28"/>
        </w:rPr>
        <w:t>2.1. Сравнительный анализ моделей цифровой трансформации стран-лидеров (на примере Эстонии, Республики Корея, Сингапура и Польши)</w:t>
      </w:r>
      <w:bookmarkEnd w:id="4"/>
    </w:p>
    <w:p w:rsidR="00EA258C" w:rsidRPr="00E26E25" w:rsidRDefault="00EA258C" w:rsidP="006E53DB">
      <w:pPr>
        <w:spacing w:after="0" w:line="360" w:lineRule="auto"/>
        <w:ind w:firstLine="709"/>
        <w:jc w:val="both"/>
        <w:rPr>
          <w:rFonts w:ascii="Times New Roman" w:hAnsi="Times New Roman" w:cs="Times New Roman"/>
          <w:sz w:val="28"/>
          <w:szCs w:val="28"/>
        </w:rPr>
      </w:pPr>
    </w:p>
    <w:p w:rsidR="00D37B22" w:rsidRDefault="00D37B22" w:rsidP="006E53DB">
      <w:p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sz w:val="28"/>
          <w:szCs w:val="28"/>
        </w:rPr>
        <w:t>Теоретические положения, рассмотренные в первой главе, позволяют перейти к анализу международного опыта цифровой трансформации. В этом параграфе сравниваются четыре национальные модели, отражающие разные институциональные условия и подходы к цифровому развитию: Эстония - модель малого постсоветского государства, сделавшего цифровизацию частью национального развития; Республика Корея - модель развитой экономики с государственно-направляемой цифровой модернизацией; Сингапур - модель города-государства с высоким уровнем цифровой конкурентоспособности; Польша - модель догоняющей цифровизации переходной экономики, интегрированной в Европейский союз. Выбор этих стран связан с их высокими позициями в международных индексах цифровой зрелости, наличием стратегических программ цифровой трансформации и доступностью сопоставимых количественных показателей для дальнейшего анализа. Сравнительные позиции выбранных стран в ключевых международных индексах цифровой зрелости представлены в таблице 2.1.</w:t>
      </w:r>
    </w:p>
    <w:tbl>
      <w:tblPr>
        <w:tblW w:w="9785" w:type="dxa"/>
        <w:tblInd w:w="-10" w:type="dxa"/>
        <w:tblLook w:val="04A0" w:firstRow="1" w:lastRow="0" w:firstColumn="1" w:lastColumn="0" w:noHBand="0" w:noVBand="1"/>
      </w:tblPr>
      <w:tblGrid>
        <w:gridCol w:w="1287"/>
        <w:gridCol w:w="2130"/>
        <w:gridCol w:w="1356"/>
        <w:gridCol w:w="1024"/>
        <w:gridCol w:w="1003"/>
        <w:gridCol w:w="1000"/>
        <w:gridCol w:w="1075"/>
        <w:gridCol w:w="910"/>
      </w:tblGrid>
      <w:tr w:rsidR="006E53DB" w:rsidRPr="00C4631A" w:rsidTr="008D21D5">
        <w:trPr>
          <w:trHeight w:val="840"/>
        </w:trPr>
        <w:tc>
          <w:tcPr>
            <w:tcW w:w="1287" w:type="dxa"/>
            <w:tcBorders>
              <w:top w:val="nil"/>
              <w:left w:val="single" w:sz="8" w:space="0" w:color="auto"/>
              <w:bottom w:val="single" w:sz="4" w:space="0" w:color="auto"/>
              <w:right w:val="single" w:sz="4" w:space="0" w:color="auto"/>
            </w:tcBorders>
            <w:shd w:val="clear" w:color="000000" w:fill="1E2761"/>
            <w:vAlign w:val="center"/>
            <w:hideMark/>
          </w:tcPr>
          <w:p w:rsidR="006E53DB" w:rsidRPr="0048225B" w:rsidRDefault="006E53DB" w:rsidP="008D21D5">
            <w:pPr>
              <w:spacing w:after="0" w:line="240" w:lineRule="auto"/>
              <w:jc w:val="center"/>
              <w:rPr>
                <w:rFonts w:ascii="Times New Roman" w:eastAsia="Times New Roman" w:hAnsi="Times New Roman" w:cs="Times New Roman"/>
                <w:b/>
                <w:bCs/>
                <w:color w:val="FFFFFF"/>
              </w:rPr>
            </w:pPr>
            <w:r w:rsidRPr="0048225B">
              <w:rPr>
                <w:rFonts w:ascii="Times New Roman" w:eastAsia="Times New Roman" w:hAnsi="Times New Roman" w:cs="Times New Roman"/>
                <w:b/>
                <w:bCs/>
                <w:color w:val="FFFFFF"/>
              </w:rPr>
              <w:t>Страна</w:t>
            </w:r>
          </w:p>
        </w:tc>
        <w:tc>
          <w:tcPr>
            <w:tcW w:w="2130" w:type="dxa"/>
            <w:tcBorders>
              <w:top w:val="nil"/>
              <w:left w:val="nil"/>
              <w:bottom w:val="single" w:sz="4" w:space="0" w:color="auto"/>
              <w:right w:val="single" w:sz="4" w:space="0" w:color="auto"/>
            </w:tcBorders>
            <w:shd w:val="clear" w:color="000000" w:fill="1E2761"/>
            <w:vAlign w:val="center"/>
            <w:hideMark/>
          </w:tcPr>
          <w:p w:rsidR="006E53DB" w:rsidRPr="0048225B" w:rsidRDefault="006E53DB" w:rsidP="008D21D5">
            <w:pPr>
              <w:spacing w:after="0" w:line="240" w:lineRule="auto"/>
              <w:jc w:val="center"/>
              <w:rPr>
                <w:rFonts w:ascii="Times New Roman" w:eastAsia="Times New Roman" w:hAnsi="Times New Roman" w:cs="Times New Roman"/>
                <w:b/>
                <w:bCs/>
                <w:color w:val="FFFFFF"/>
              </w:rPr>
            </w:pPr>
            <w:r w:rsidRPr="0048225B">
              <w:rPr>
                <w:rFonts w:ascii="Times New Roman" w:eastAsia="Times New Roman" w:hAnsi="Times New Roman" w:cs="Times New Roman"/>
                <w:b/>
                <w:bCs/>
                <w:color w:val="FFFFFF"/>
              </w:rPr>
              <w:t>Модель цифровизации</w:t>
            </w:r>
          </w:p>
        </w:tc>
        <w:tc>
          <w:tcPr>
            <w:tcW w:w="1356" w:type="dxa"/>
            <w:tcBorders>
              <w:top w:val="nil"/>
              <w:left w:val="nil"/>
              <w:bottom w:val="single" w:sz="4" w:space="0" w:color="auto"/>
              <w:right w:val="single" w:sz="4" w:space="0" w:color="auto"/>
            </w:tcBorders>
            <w:shd w:val="clear" w:color="000000" w:fill="1E2761"/>
            <w:vAlign w:val="center"/>
            <w:hideMark/>
          </w:tcPr>
          <w:p w:rsidR="006E53DB" w:rsidRPr="0048225B" w:rsidRDefault="006E53DB" w:rsidP="008D21D5">
            <w:pPr>
              <w:spacing w:after="0" w:line="240" w:lineRule="auto"/>
              <w:jc w:val="center"/>
              <w:rPr>
                <w:rFonts w:ascii="Times New Roman" w:eastAsia="Times New Roman" w:hAnsi="Times New Roman" w:cs="Times New Roman"/>
                <w:b/>
                <w:bCs/>
                <w:color w:val="FFFFFF"/>
              </w:rPr>
            </w:pPr>
            <w:r w:rsidRPr="0048225B">
              <w:rPr>
                <w:rFonts w:ascii="Times New Roman" w:eastAsia="Times New Roman" w:hAnsi="Times New Roman" w:cs="Times New Roman"/>
                <w:b/>
                <w:bCs/>
                <w:color w:val="FFFFFF"/>
              </w:rPr>
              <w:t>EGDI 2024</w:t>
            </w:r>
            <w:r w:rsidRPr="0048225B">
              <w:rPr>
                <w:rFonts w:ascii="Times New Roman" w:eastAsia="Times New Roman" w:hAnsi="Times New Roman" w:cs="Times New Roman"/>
                <w:b/>
                <w:bCs/>
                <w:color w:val="FFFFFF"/>
              </w:rPr>
              <w:br/>
              <w:t>(значение)</w:t>
            </w:r>
          </w:p>
        </w:tc>
        <w:tc>
          <w:tcPr>
            <w:tcW w:w="1024" w:type="dxa"/>
            <w:tcBorders>
              <w:top w:val="nil"/>
              <w:left w:val="nil"/>
              <w:bottom w:val="single" w:sz="4" w:space="0" w:color="auto"/>
              <w:right w:val="single" w:sz="4" w:space="0" w:color="auto"/>
            </w:tcBorders>
            <w:shd w:val="clear" w:color="000000" w:fill="1E2761"/>
            <w:vAlign w:val="center"/>
            <w:hideMark/>
          </w:tcPr>
          <w:p w:rsidR="006E53DB" w:rsidRPr="0048225B" w:rsidRDefault="006E53DB" w:rsidP="008D21D5">
            <w:pPr>
              <w:spacing w:after="0" w:line="240" w:lineRule="auto"/>
              <w:jc w:val="center"/>
              <w:rPr>
                <w:rFonts w:ascii="Times New Roman" w:eastAsia="Times New Roman" w:hAnsi="Times New Roman" w:cs="Times New Roman"/>
                <w:b/>
                <w:bCs/>
                <w:color w:val="FFFFFF"/>
              </w:rPr>
            </w:pPr>
            <w:r w:rsidRPr="0048225B">
              <w:rPr>
                <w:rFonts w:ascii="Times New Roman" w:eastAsia="Times New Roman" w:hAnsi="Times New Roman" w:cs="Times New Roman"/>
                <w:b/>
                <w:bCs/>
                <w:color w:val="FFFFFF"/>
              </w:rPr>
              <w:t>Место EGDI</w:t>
            </w:r>
          </w:p>
        </w:tc>
        <w:tc>
          <w:tcPr>
            <w:tcW w:w="1003" w:type="dxa"/>
            <w:tcBorders>
              <w:top w:val="nil"/>
              <w:left w:val="nil"/>
              <w:bottom w:val="single" w:sz="4" w:space="0" w:color="auto"/>
              <w:right w:val="single" w:sz="4" w:space="0" w:color="auto"/>
            </w:tcBorders>
            <w:shd w:val="clear" w:color="000000" w:fill="1E2761"/>
            <w:vAlign w:val="center"/>
            <w:hideMark/>
          </w:tcPr>
          <w:p w:rsidR="006E53DB" w:rsidRPr="0048225B" w:rsidRDefault="006E53DB" w:rsidP="008D21D5">
            <w:pPr>
              <w:spacing w:after="0" w:line="240" w:lineRule="auto"/>
              <w:jc w:val="center"/>
              <w:rPr>
                <w:rFonts w:ascii="Times New Roman" w:eastAsia="Times New Roman" w:hAnsi="Times New Roman" w:cs="Times New Roman"/>
                <w:b/>
                <w:bCs/>
                <w:color w:val="FFFFFF"/>
              </w:rPr>
            </w:pPr>
            <w:r w:rsidRPr="0048225B">
              <w:rPr>
                <w:rFonts w:ascii="Times New Roman" w:eastAsia="Times New Roman" w:hAnsi="Times New Roman" w:cs="Times New Roman"/>
                <w:b/>
                <w:bCs/>
                <w:color w:val="FFFFFF"/>
              </w:rPr>
              <w:t>NRI 2024</w:t>
            </w:r>
            <w:r w:rsidRPr="0048225B">
              <w:rPr>
                <w:rFonts w:ascii="Times New Roman" w:eastAsia="Times New Roman" w:hAnsi="Times New Roman" w:cs="Times New Roman"/>
                <w:b/>
                <w:bCs/>
                <w:color w:val="FFFFFF"/>
              </w:rPr>
              <w:br/>
              <w:t>(балл)</w:t>
            </w:r>
          </w:p>
        </w:tc>
        <w:tc>
          <w:tcPr>
            <w:tcW w:w="1000" w:type="dxa"/>
            <w:tcBorders>
              <w:top w:val="nil"/>
              <w:left w:val="nil"/>
              <w:bottom w:val="single" w:sz="4" w:space="0" w:color="auto"/>
              <w:right w:val="single" w:sz="4" w:space="0" w:color="auto"/>
            </w:tcBorders>
            <w:shd w:val="clear" w:color="000000" w:fill="1E2761"/>
            <w:vAlign w:val="center"/>
            <w:hideMark/>
          </w:tcPr>
          <w:p w:rsidR="006E53DB" w:rsidRPr="0048225B" w:rsidRDefault="006E53DB" w:rsidP="008D21D5">
            <w:pPr>
              <w:spacing w:after="0" w:line="240" w:lineRule="auto"/>
              <w:jc w:val="center"/>
              <w:rPr>
                <w:rFonts w:ascii="Times New Roman" w:eastAsia="Times New Roman" w:hAnsi="Times New Roman" w:cs="Times New Roman"/>
                <w:b/>
                <w:bCs/>
                <w:color w:val="FFFFFF"/>
              </w:rPr>
            </w:pPr>
            <w:r w:rsidRPr="0048225B">
              <w:rPr>
                <w:rFonts w:ascii="Times New Roman" w:eastAsia="Times New Roman" w:hAnsi="Times New Roman" w:cs="Times New Roman"/>
                <w:b/>
                <w:bCs/>
                <w:color w:val="FFFFFF"/>
              </w:rPr>
              <w:t>Место NRI</w:t>
            </w:r>
          </w:p>
        </w:tc>
        <w:tc>
          <w:tcPr>
            <w:tcW w:w="1075" w:type="dxa"/>
            <w:tcBorders>
              <w:top w:val="nil"/>
              <w:left w:val="nil"/>
              <w:bottom w:val="single" w:sz="4" w:space="0" w:color="auto"/>
              <w:right w:val="single" w:sz="4" w:space="0" w:color="auto"/>
            </w:tcBorders>
            <w:shd w:val="clear" w:color="000000" w:fill="1E2761"/>
            <w:vAlign w:val="center"/>
            <w:hideMark/>
          </w:tcPr>
          <w:p w:rsidR="006E53DB" w:rsidRPr="0048225B" w:rsidRDefault="006E53DB" w:rsidP="008D21D5">
            <w:pPr>
              <w:spacing w:after="0" w:line="240" w:lineRule="auto"/>
              <w:jc w:val="center"/>
              <w:rPr>
                <w:rFonts w:ascii="Times New Roman" w:eastAsia="Times New Roman" w:hAnsi="Times New Roman" w:cs="Times New Roman"/>
                <w:b/>
                <w:bCs/>
                <w:color w:val="FFFFFF"/>
              </w:rPr>
            </w:pPr>
            <w:r w:rsidRPr="0048225B">
              <w:rPr>
                <w:rFonts w:ascii="Times New Roman" w:eastAsia="Times New Roman" w:hAnsi="Times New Roman" w:cs="Times New Roman"/>
                <w:b/>
                <w:bCs/>
                <w:color w:val="FFFFFF"/>
              </w:rPr>
              <w:t>Место IMD</w:t>
            </w:r>
            <w:r w:rsidRPr="0048225B">
              <w:rPr>
                <w:rFonts w:ascii="Times New Roman" w:eastAsia="Times New Roman" w:hAnsi="Times New Roman" w:cs="Times New Roman"/>
                <w:b/>
                <w:bCs/>
                <w:color w:val="FFFFFF"/>
              </w:rPr>
              <w:br/>
              <w:t>WDCR 2024</w:t>
            </w:r>
          </w:p>
        </w:tc>
        <w:tc>
          <w:tcPr>
            <w:tcW w:w="910" w:type="dxa"/>
            <w:tcBorders>
              <w:top w:val="nil"/>
              <w:left w:val="nil"/>
              <w:bottom w:val="single" w:sz="4" w:space="0" w:color="auto"/>
              <w:right w:val="single" w:sz="8" w:space="0" w:color="auto"/>
            </w:tcBorders>
            <w:shd w:val="clear" w:color="000000" w:fill="1E2761"/>
            <w:vAlign w:val="center"/>
            <w:hideMark/>
          </w:tcPr>
          <w:p w:rsidR="006E53DB" w:rsidRPr="0048225B" w:rsidRDefault="006E53DB" w:rsidP="008D21D5">
            <w:pPr>
              <w:spacing w:after="0" w:line="240" w:lineRule="auto"/>
              <w:jc w:val="center"/>
              <w:rPr>
                <w:rFonts w:ascii="Times New Roman" w:eastAsia="Times New Roman" w:hAnsi="Times New Roman" w:cs="Times New Roman"/>
                <w:b/>
                <w:bCs/>
                <w:color w:val="FFFFFF"/>
              </w:rPr>
            </w:pPr>
            <w:r w:rsidRPr="0048225B">
              <w:rPr>
                <w:rFonts w:ascii="Times New Roman" w:eastAsia="Times New Roman" w:hAnsi="Times New Roman" w:cs="Times New Roman"/>
                <w:b/>
                <w:bCs/>
                <w:color w:val="FFFFFF"/>
              </w:rPr>
              <w:t>OECD DGI</w:t>
            </w:r>
          </w:p>
        </w:tc>
      </w:tr>
      <w:tr w:rsidR="006E53DB" w:rsidRPr="00C4631A" w:rsidTr="008D21D5">
        <w:trPr>
          <w:trHeight w:val="288"/>
        </w:trPr>
        <w:tc>
          <w:tcPr>
            <w:tcW w:w="1287" w:type="dxa"/>
            <w:tcBorders>
              <w:top w:val="nil"/>
              <w:left w:val="single" w:sz="8" w:space="0" w:color="auto"/>
              <w:bottom w:val="single" w:sz="4" w:space="0" w:color="auto"/>
              <w:right w:val="single" w:sz="4" w:space="0" w:color="auto"/>
            </w:tcBorders>
            <w:shd w:val="clear" w:color="auto" w:fill="auto"/>
            <w:vAlign w:val="center"/>
            <w:hideMark/>
          </w:tcPr>
          <w:p w:rsidR="006E53DB" w:rsidRPr="0048225B" w:rsidRDefault="006E53DB" w:rsidP="008D21D5">
            <w:pPr>
              <w:spacing w:after="0" w:line="240" w:lineRule="auto"/>
              <w:rPr>
                <w:rFonts w:ascii="Times New Roman" w:eastAsia="Times New Roman" w:hAnsi="Times New Roman" w:cs="Times New Roman"/>
                <w:b/>
                <w:bCs/>
                <w:color w:val="185FA5"/>
              </w:rPr>
            </w:pPr>
            <w:r w:rsidRPr="0048225B">
              <w:rPr>
                <w:rFonts w:ascii="Times New Roman" w:eastAsia="Times New Roman" w:hAnsi="Times New Roman" w:cs="Times New Roman"/>
                <w:b/>
                <w:bCs/>
                <w:color w:val="185FA5"/>
              </w:rPr>
              <w:t>Эстония</w:t>
            </w:r>
          </w:p>
        </w:tc>
        <w:tc>
          <w:tcPr>
            <w:tcW w:w="2130" w:type="dxa"/>
            <w:tcBorders>
              <w:top w:val="nil"/>
              <w:left w:val="nil"/>
              <w:bottom w:val="single" w:sz="4" w:space="0" w:color="auto"/>
              <w:right w:val="single" w:sz="4" w:space="0" w:color="auto"/>
            </w:tcBorders>
            <w:shd w:val="clear" w:color="auto" w:fill="auto"/>
            <w:vAlign w:val="center"/>
            <w:hideMark/>
          </w:tcPr>
          <w:p w:rsidR="006E53DB" w:rsidRPr="0048225B" w:rsidRDefault="006E53DB" w:rsidP="008D21D5">
            <w:pPr>
              <w:spacing w:after="0" w:line="240" w:lineRule="auto"/>
              <w:jc w:val="center"/>
              <w:rPr>
                <w:rFonts w:ascii="Times New Roman" w:eastAsia="Times New Roman" w:hAnsi="Times New Roman" w:cs="Times New Roman"/>
                <w:color w:val="000000"/>
              </w:rPr>
            </w:pPr>
            <w:r w:rsidRPr="0048225B">
              <w:rPr>
                <w:rFonts w:ascii="Times New Roman" w:eastAsia="Times New Roman" w:hAnsi="Times New Roman" w:cs="Times New Roman"/>
                <w:color w:val="000000"/>
              </w:rPr>
              <w:t>Малое цифровое государство</w:t>
            </w:r>
          </w:p>
        </w:tc>
        <w:tc>
          <w:tcPr>
            <w:tcW w:w="1356" w:type="dxa"/>
            <w:tcBorders>
              <w:top w:val="nil"/>
              <w:left w:val="nil"/>
              <w:bottom w:val="single" w:sz="4" w:space="0" w:color="auto"/>
              <w:right w:val="single" w:sz="4" w:space="0" w:color="auto"/>
            </w:tcBorders>
            <w:shd w:val="clear" w:color="auto" w:fill="auto"/>
            <w:vAlign w:val="center"/>
            <w:hideMark/>
          </w:tcPr>
          <w:p w:rsidR="006E53DB" w:rsidRPr="0048225B" w:rsidRDefault="006E53DB" w:rsidP="008D21D5">
            <w:pPr>
              <w:spacing w:after="0" w:line="240" w:lineRule="auto"/>
              <w:jc w:val="center"/>
              <w:rPr>
                <w:rFonts w:ascii="Times New Roman" w:eastAsia="Times New Roman" w:hAnsi="Times New Roman" w:cs="Times New Roman"/>
                <w:color w:val="000000"/>
              </w:rPr>
            </w:pPr>
            <w:r w:rsidRPr="0048225B">
              <w:rPr>
                <w:rFonts w:ascii="Times New Roman" w:eastAsia="Times New Roman" w:hAnsi="Times New Roman" w:cs="Times New Roman"/>
                <w:color w:val="000000"/>
              </w:rPr>
              <w:t>0,9727</w:t>
            </w:r>
          </w:p>
        </w:tc>
        <w:tc>
          <w:tcPr>
            <w:tcW w:w="1024" w:type="dxa"/>
            <w:tcBorders>
              <w:top w:val="nil"/>
              <w:left w:val="nil"/>
              <w:bottom w:val="single" w:sz="4" w:space="0" w:color="auto"/>
              <w:right w:val="single" w:sz="4" w:space="0" w:color="auto"/>
            </w:tcBorders>
            <w:shd w:val="clear" w:color="auto" w:fill="auto"/>
            <w:vAlign w:val="center"/>
            <w:hideMark/>
          </w:tcPr>
          <w:p w:rsidR="006E53DB" w:rsidRPr="0048225B" w:rsidRDefault="006E53DB" w:rsidP="008D21D5">
            <w:pPr>
              <w:spacing w:after="0" w:line="240" w:lineRule="auto"/>
              <w:jc w:val="center"/>
              <w:rPr>
                <w:rFonts w:ascii="Times New Roman" w:eastAsia="Times New Roman" w:hAnsi="Times New Roman" w:cs="Times New Roman"/>
                <w:color w:val="000000"/>
              </w:rPr>
            </w:pPr>
            <w:r w:rsidRPr="0048225B">
              <w:rPr>
                <w:rFonts w:ascii="Times New Roman" w:eastAsia="Times New Roman" w:hAnsi="Times New Roman" w:cs="Times New Roman"/>
                <w:color w:val="000000"/>
              </w:rPr>
              <w:t>№ 2</w:t>
            </w:r>
          </w:p>
        </w:tc>
        <w:tc>
          <w:tcPr>
            <w:tcW w:w="1003" w:type="dxa"/>
            <w:tcBorders>
              <w:top w:val="nil"/>
              <w:left w:val="nil"/>
              <w:bottom w:val="single" w:sz="4" w:space="0" w:color="auto"/>
              <w:right w:val="single" w:sz="4" w:space="0" w:color="auto"/>
            </w:tcBorders>
            <w:shd w:val="clear" w:color="auto" w:fill="auto"/>
            <w:vAlign w:val="center"/>
            <w:hideMark/>
          </w:tcPr>
          <w:p w:rsidR="006E53DB" w:rsidRPr="0048225B" w:rsidRDefault="006E53DB" w:rsidP="008D21D5">
            <w:pPr>
              <w:spacing w:after="0" w:line="240" w:lineRule="auto"/>
              <w:jc w:val="center"/>
              <w:rPr>
                <w:rFonts w:ascii="Times New Roman" w:eastAsia="Times New Roman" w:hAnsi="Times New Roman" w:cs="Times New Roman"/>
                <w:color w:val="000000"/>
              </w:rPr>
            </w:pPr>
            <w:r w:rsidRPr="0048225B">
              <w:rPr>
                <w:rFonts w:ascii="Times New Roman" w:eastAsia="Times New Roman" w:hAnsi="Times New Roman" w:cs="Times New Roman"/>
                <w:color w:val="000000"/>
              </w:rPr>
              <w:t>67,85</w:t>
            </w:r>
          </w:p>
        </w:tc>
        <w:tc>
          <w:tcPr>
            <w:tcW w:w="1000" w:type="dxa"/>
            <w:tcBorders>
              <w:top w:val="nil"/>
              <w:left w:val="nil"/>
              <w:bottom w:val="single" w:sz="4" w:space="0" w:color="auto"/>
              <w:right w:val="single" w:sz="4" w:space="0" w:color="auto"/>
            </w:tcBorders>
            <w:shd w:val="clear" w:color="auto" w:fill="auto"/>
            <w:vAlign w:val="center"/>
            <w:hideMark/>
          </w:tcPr>
          <w:p w:rsidR="006E53DB" w:rsidRPr="0048225B" w:rsidRDefault="006E53DB" w:rsidP="008D21D5">
            <w:pPr>
              <w:spacing w:after="0" w:line="240" w:lineRule="auto"/>
              <w:jc w:val="center"/>
              <w:rPr>
                <w:rFonts w:ascii="Times New Roman" w:eastAsia="Times New Roman" w:hAnsi="Times New Roman" w:cs="Times New Roman"/>
                <w:color w:val="000000"/>
              </w:rPr>
            </w:pPr>
            <w:r w:rsidRPr="0048225B">
              <w:rPr>
                <w:rFonts w:ascii="Times New Roman" w:eastAsia="Times New Roman" w:hAnsi="Times New Roman" w:cs="Times New Roman"/>
                <w:color w:val="000000"/>
              </w:rPr>
              <w:t>№ 18</w:t>
            </w:r>
          </w:p>
        </w:tc>
        <w:tc>
          <w:tcPr>
            <w:tcW w:w="1075" w:type="dxa"/>
            <w:tcBorders>
              <w:top w:val="nil"/>
              <w:left w:val="nil"/>
              <w:bottom w:val="single" w:sz="4" w:space="0" w:color="auto"/>
              <w:right w:val="single" w:sz="4" w:space="0" w:color="auto"/>
            </w:tcBorders>
            <w:shd w:val="clear" w:color="auto" w:fill="auto"/>
            <w:vAlign w:val="center"/>
            <w:hideMark/>
          </w:tcPr>
          <w:p w:rsidR="006E53DB" w:rsidRPr="0048225B" w:rsidRDefault="006E53DB" w:rsidP="008D21D5">
            <w:pPr>
              <w:spacing w:after="0" w:line="240" w:lineRule="auto"/>
              <w:jc w:val="center"/>
              <w:rPr>
                <w:rFonts w:ascii="Times New Roman" w:eastAsia="Times New Roman" w:hAnsi="Times New Roman" w:cs="Times New Roman"/>
                <w:color w:val="000000"/>
              </w:rPr>
            </w:pPr>
            <w:r w:rsidRPr="0048225B">
              <w:rPr>
                <w:rFonts w:ascii="Times New Roman" w:eastAsia="Times New Roman" w:hAnsi="Times New Roman" w:cs="Times New Roman"/>
                <w:color w:val="000000"/>
              </w:rPr>
              <w:t>№ 24</w:t>
            </w:r>
          </w:p>
        </w:tc>
        <w:tc>
          <w:tcPr>
            <w:tcW w:w="910" w:type="dxa"/>
            <w:tcBorders>
              <w:top w:val="nil"/>
              <w:left w:val="nil"/>
              <w:bottom w:val="single" w:sz="4" w:space="0" w:color="auto"/>
              <w:right w:val="single" w:sz="8" w:space="0" w:color="auto"/>
            </w:tcBorders>
            <w:shd w:val="clear" w:color="auto" w:fill="auto"/>
            <w:vAlign w:val="center"/>
            <w:hideMark/>
          </w:tcPr>
          <w:p w:rsidR="006E53DB" w:rsidRPr="0048225B" w:rsidRDefault="006E53DB" w:rsidP="008D21D5">
            <w:pPr>
              <w:spacing w:after="0" w:line="240" w:lineRule="auto"/>
              <w:jc w:val="center"/>
              <w:rPr>
                <w:rFonts w:ascii="Times New Roman" w:eastAsia="Times New Roman" w:hAnsi="Times New Roman" w:cs="Times New Roman"/>
                <w:color w:val="000000"/>
              </w:rPr>
            </w:pPr>
            <w:r w:rsidRPr="0048225B">
              <w:rPr>
                <w:rFonts w:ascii="Times New Roman" w:eastAsia="Times New Roman" w:hAnsi="Times New Roman" w:cs="Times New Roman"/>
                <w:color w:val="000000"/>
              </w:rPr>
              <w:t>Топ-10</w:t>
            </w:r>
          </w:p>
        </w:tc>
      </w:tr>
      <w:tr w:rsidR="006E53DB" w:rsidRPr="00C4631A" w:rsidTr="008D21D5">
        <w:trPr>
          <w:trHeight w:val="288"/>
        </w:trPr>
        <w:tc>
          <w:tcPr>
            <w:tcW w:w="1287" w:type="dxa"/>
            <w:tcBorders>
              <w:top w:val="nil"/>
              <w:left w:val="single" w:sz="8" w:space="0" w:color="auto"/>
              <w:bottom w:val="single" w:sz="4" w:space="0" w:color="auto"/>
              <w:right w:val="single" w:sz="4" w:space="0" w:color="auto"/>
            </w:tcBorders>
            <w:shd w:val="clear" w:color="000000" w:fill="F5F5F5"/>
            <w:vAlign w:val="center"/>
            <w:hideMark/>
          </w:tcPr>
          <w:p w:rsidR="006E53DB" w:rsidRPr="0048225B" w:rsidRDefault="006E53DB" w:rsidP="008D21D5">
            <w:pPr>
              <w:spacing w:after="0" w:line="240" w:lineRule="auto"/>
              <w:rPr>
                <w:rFonts w:ascii="Times New Roman" w:eastAsia="Times New Roman" w:hAnsi="Times New Roman" w:cs="Times New Roman"/>
                <w:b/>
                <w:bCs/>
                <w:color w:val="C8102E"/>
              </w:rPr>
            </w:pPr>
            <w:r w:rsidRPr="0048225B">
              <w:rPr>
                <w:rFonts w:ascii="Times New Roman" w:eastAsia="Times New Roman" w:hAnsi="Times New Roman" w:cs="Times New Roman"/>
                <w:b/>
                <w:bCs/>
                <w:color w:val="C8102E"/>
              </w:rPr>
              <w:t>Респ. Корея</w:t>
            </w:r>
          </w:p>
        </w:tc>
        <w:tc>
          <w:tcPr>
            <w:tcW w:w="2130" w:type="dxa"/>
            <w:tcBorders>
              <w:top w:val="nil"/>
              <w:left w:val="nil"/>
              <w:bottom w:val="single" w:sz="4" w:space="0" w:color="auto"/>
              <w:right w:val="single" w:sz="4" w:space="0" w:color="auto"/>
            </w:tcBorders>
            <w:shd w:val="clear" w:color="000000" w:fill="F5F5F5"/>
            <w:vAlign w:val="center"/>
            <w:hideMark/>
          </w:tcPr>
          <w:p w:rsidR="006E53DB" w:rsidRPr="0048225B" w:rsidRDefault="006E53DB" w:rsidP="008D21D5">
            <w:pPr>
              <w:spacing w:after="0" w:line="240" w:lineRule="auto"/>
              <w:jc w:val="center"/>
              <w:rPr>
                <w:rFonts w:ascii="Times New Roman" w:eastAsia="Times New Roman" w:hAnsi="Times New Roman" w:cs="Times New Roman"/>
                <w:color w:val="000000"/>
              </w:rPr>
            </w:pPr>
            <w:r w:rsidRPr="0048225B">
              <w:rPr>
                <w:rFonts w:ascii="Times New Roman" w:eastAsia="Times New Roman" w:hAnsi="Times New Roman" w:cs="Times New Roman"/>
                <w:color w:val="000000"/>
              </w:rPr>
              <w:t>Developmental state (крупная)</w:t>
            </w:r>
          </w:p>
        </w:tc>
        <w:tc>
          <w:tcPr>
            <w:tcW w:w="1356" w:type="dxa"/>
            <w:tcBorders>
              <w:top w:val="nil"/>
              <w:left w:val="nil"/>
              <w:bottom w:val="single" w:sz="4" w:space="0" w:color="auto"/>
              <w:right w:val="single" w:sz="4" w:space="0" w:color="auto"/>
            </w:tcBorders>
            <w:shd w:val="clear" w:color="000000" w:fill="F5F5F5"/>
            <w:vAlign w:val="center"/>
            <w:hideMark/>
          </w:tcPr>
          <w:p w:rsidR="006E53DB" w:rsidRPr="0048225B" w:rsidRDefault="006E53DB" w:rsidP="008D21D5">
            <w:pPr>
              <w:spacing w:after="0" w:line="240" w:lineRule="auto"/>
              <w:jc w:val="center"/>
              <w:rPr>
                <w:rFonts w:ascii="Times New Roman" w:eastAsia="Times New Roman" w:hAnsi="Times New Roman" w:cs="Times New Roman"/>
                <w:color w:val="000000"/>
              </w:rPr>
            </w:pPr>
            <w:r w:rsidRPr="0048225B">
              <w:rPr>
                <w:rFonts w:ascii="Times New Roman" w:eastAsia="Times New Roman" w:hAnsi="Times New Roman" w:cs="Times New Roman"/>
                <w:color w:val="000000"/>
              </w:rPr>
              <w:t>0,9679</w:t>
            </w:r>
          </w:p>
        </w:tc>
        <w:tc>
          <w:tcPr>
            <w:tcW w:w="1024" w:type="dxa"/>
            <w:tcBorders>
              <w:top w:val="nil"/>
              <w:left w:val="nil"/>
              <w:bottom w:val="single" w:sz="4" w:space="0" w:color="auto"/>
              <w:right w:val="single" w:sz="4" w:space="0" w:color="auto"/>
            </w:tcBorders>
            <w:shd w:val="clear" w:color="000000" w:fill="F5F5F5"/>
            <w:vAlign w:val="center"/>
            <w:hideMark/>
          </w:tcPr>
          <w:p w:rsidR="006E53DB" w:rsidRPr="0048225B" w:rsidRDefault="006E53DB" w:rsidP="008D21D5">
            <w:pPr>
              <w:spacing w:after="0" w:line="240" w:lineRule="auto"/>
              <w:jc w:val="center"/>
              <w:rPr>
                <w:rFonts w:ascii="Times New Roman" w:eastAsia="Times New Roman" w:hAnsi="Times New Roman" w:cs="Times New Roman"/>
                <w:color w:val="000000"/>
              </w:rPr>
            </w:pPr>
            <w:r w:rsidRPr="0048225B">
              <w:rPr>
                <w:rFonts w:ascii="Times New Roman" w:eastAsia="Times New Roman" w:hAnsi="Times New Roman" w:cs="Times New Roman"/>
                <w:color w:val="000000"/>
              </w:rPr>
              <w:t>№ 4</w:t>
            </w:r>
          </w:p>
        </w:tc>
        <w:tc>
          <w:tcPr>
            <w:tcW w:w="1003" w:type="dxa"/>
            <w:tcBorders>
              <w:top w:val="nil"/>
              <w:left w:val="nil"/>
              <w:bottom w:val="single" w:sz="4" w:space="0" w:color="auto"/>
              <w:right w:val="single" w:sz="4" w:space="0" w:color="auto"/>
            </w:tcBorders>
            <w:shd w:val="clear" w:color="000000" w:fill="F5F5F5"/>
            <w:vAlign w:val="center"/>
            <w:hideMark/>
          </w:tcPr>
          <w:p w:rsidR="006E53DB" w:rsidRPr="0048225B" w:rsidRDefault="006E53DB" w:rsidP="008D21D5">
            <w:pPr>
              <w:spacing w:after="0" w:line="240" w:lineRule="auto"/>
              <w:jc w:val="center"/>
              <w:rPr>
                <w:rFonts w:ascii="Times New Roman" w:eastAsia="Times New Roman" w:hAnsi="Times New Roman" w:cs="Times New Roman"/>
                <w:color w:val="000000"/>
              </w:rPr>
            </w:pPr>
            <w:r w:rsidRPr="0048225B">
              <w:rPr>
                <w:rFonts w:ascii="Times New Roman" w:eastAsia="Times New Roman" w:hAnsi="Times New Roman" w:cs="Times New Roman"/>
                <w:color w:val="000000"/>
              </w:rPr>
              <w:t>72,5</w:t>
            </w:r>
          </w:p>
        </w:tc>
        <w:tc>
          <w:tcPr>
            <w:tcW w:w="1000" w:type="dxa"/>
            <w:tcBorders>
              <w:top w:val="nil"/>
              <w:left w:val="nil"/>
              <w:bottom w:val="single" w:sz="4" w:space="0" w:color="auto"/>
              <w:right w:val="single" w:sz="4" w:space="0" w:color="auto"/>
            </w:tcBorders>
            <w:shd w:val="clear" w:color="000000" w:fill="F5F5F5"/>
            <w:vAlign w:val="center"/>
            <w:hideMark/>
          </w:tcPr>
          <w:p w:rsidR="006E53DB" w:rsidRPr="0048225B" w:rsidRDefault="006E53DB" w:rsidP="008D21D5">
            <w:pPr>
              <w:spacing w:after="0" w:line="240" w:lineRule="auto"/>
              <w:jc w:val="center"/>
              <w:rPr>
                <w:rFonts w:ascii="Times New Roman" w:eastAsia="Times New Roman" w:hAnsi="Times New Roman" w:cs="Times New Roman"/>
                <w:color w:val="000000"/>
              </w:rPr>
            </w:pPr>
            <w:r w:rsidRPr="0048225B">
              <w:rPr>
                <w:rFonts w:ascii="Times New Roman" w:eastAsia="Times New Roman" w:hAnsi="Times New Roman" w:cs="Times New Roman"/>
                <w:color w:val="000000"/>
              </w:rPr>
              <w:t>№ 5</w:t>
            </w:r>
          </w:p>
        </w:tc>
        <w:tc>
          <w:tcPr>
            <w:tcW w:w="1075" w:type="dxa"/>
            <w:tcBorders>
              <w:top w:val="nil"/>
              <w:left w:val="nil"/>
              <w:bottom w:val="single" w:sz="4" w:space="0" w:color="auto"/>
              <w:right w:val="single" w:sz="4" w:space="0" w:color="auto"/>
            </w:tcBorders>
            <w:shd w:val="clear" w:color="000000" w:fill="F5F5F5"/>
            <w:vAlign w:val="center"/>
            <w:hideMark/>
          </w:tcPr>
          <w:p w:rsidR="006E53DB" w:rsidRPr="0048225B" w:rsidRDefault="006E53DB" w:rsidP="008D21D5">
            <w:pPr>
              <w:spacing w:after="0" w:line="240" w:lineRule="auto"/>
              <w:jc w:val="center"/>
              <w:rPr>
                <w:rFonts w:ascii="Times New Roman" w:eastAsia="Times New Roman" w:hAnsi="Times New Roman" w:cs="Times New Roman"/>
                <w:color w:val="000000"/>
              </w:rPr>
            </w:pPr>
            <w:r w:rsidRPr="0048225B">
              <w:rPr>
                <w:rFonts w:ascii="Times New Roman" w:eastAsia="Times New Roman" w:hAnsi="Times New Roman" w:cs="Times New Roman"/>
                <w:color w:val="000000"/>
              </w:rPr>
              <w:t>№ 16</w:t>
            </w:r>
          </w:p>
        </w:tc>
        <w:tc>
          <w:tcPr>
            <w:tcW w:w="910" w:type="dxa"/>
            <w:tcBorders>
              <w:top w:val="nil"/>
              <w:left w:val="nil"/>
              <w:bottom w:val="single" w:sz="4" w:space="0" w:color="auto"/>
              <w:right w:val="single" w:sz="8" w:space="0" w:color="auto"/>
            </w:tcBorders>
            <w:shd w:val="clear" w:color="000000" w:fill="F5F5F5"/>
            <w:vAlign w:val="center"/>
            <w:hideMark/>
          </w:tcPr>
          <w:p w:rsidR="006E53DB" w:rsidRPr="0048225B" w:rsidRDefault="006E53DB" w:rsidP="008D21D5">
            <w:pPr>
              <w:spacing w:after="0" w:line="240" w:lineRule="auto"/>
              <w:jc w:val="center"/>
              <w:rPr>
                <w:rFonts w:ascii="Times New Roman" w:eastAsia="Times New Roman" w:hAnsi="Times New Roman" w:cs="Times New Roman"/>
                <w:color w:val="000000"/>
              </w:rPr>
            </w:pPr>
            <w:r w:rsidRPr="0048225B">
              <w:rPr>
                <w:rFonts w:ascii="Times New Roman" w:eastAsia="Times New Roman" w:hAnsi="Times New Roman" w:cs="Times New Roman"/>
                <w:color w:val="000000"/>
              </w:rPr>
              <w:t xml:space="preserve">№ 1 </w:t>
            </w:r>
            <w:r w:rsidRPr="0048225B">
              <w:rPr>
                <w:rFonts w:ascii="Segoe UI Symbol" w:eastAsia="Times New Roman" w:hAnsi="Segoe UI Symbol" w:cs="Segoe UI Symbol"/>
                <w:color w:val="000000"/>
              </w:rPr>
              <w:t>✓</w:t>
            </w:r>
          </w:p>
        </w:tc>
      </w:tr>
      <w:tr w:rsidR="006E53DB" w:rsidRPr="00C4631A" w:rsidTr="008D21D5">
        <w:trPr>
          <w:trHeight w:val="288"/>
        </w:trPr>
        <w:tc>
          <w:tcPr>
            <w:tcW w:w="1287" w:type="dxa"/>
            <w:tcBorders>
              <w:top w:val="nil"/>
              <w:left w:val="single" w:sz="8" w:space="0" w:color="auto"/>
              <w:bottom w:val="single" w:sz="4" w:space="0" w:color="auto"/>
              <w:right w:val="single" w:sz="4" w:space="0" w:color="auto"/>
            </w:tcBorders>
            <w:shd w:val="clear" w:color="auto" w:fill="auto"/>
            <w:vAlign w:val="center"/>
            <w:hideMark/>
          </w:tcPr>
          <w:p w:rsidR="006E53DB" w:rsidRPr="0048225B" w:rsidRDefault="006E53DB" w:rsidP="008D21D5">
            <w:pPr>
              <w:spacing w:after="0" w:line="240" w:lineRule="auto"/>
              <w:rPr>
                <w:rFonts w:ascii="Times New Roman" w:eastAsia="Times New Roman" w:hAnsi="Times New Roman" w:cs="Times New Roman"/>
                <w:b/>
                <w:bCs/>
                <w:color w:val="EF3340"/>
              </w:rPr>
            </w:pPr>
            <w:r w:rsidRPr="0048225B">
              <w:rPr>
                <w:rFonts w:ascii="Times New Roman" w:eastAsia="Times New Roman" w:hAnsi="Times New Roman" w:cs="Times New Roman"/>
                <w:b/>
                <w:bCs/>
                <w:color w:val="EF3340"/>
              </w:rPr>
              <w:t>Сингапур</w:t>
            </w:r>
          </w:p>
        </w:tc>
        <w:tc>
          <w:tcPr>
            <w:tcW w:w="2130" w:type="dxa"/>
            <w:tcBorders>
              <w:top w:val="nil"/>
              <w:left w:val="nil"/>
              <w:bottom w:val="single" w:sz="4" w:space="0" w:color="auto"/>
              <w:right w:val="single" w:sz="4" w:space="0" w:color="auto"/>
            </w:tcBorders>
            <w:shd w:val="clear" w:color="auto" w:fill="auto"/>
            <w:vAlign w:val="center"/>
            <w:hideMark/>
          </w:tcPr>
          <w:p w:rsidR="006E53DB" w:rsidRPr="0048225B" w:rsidRDefault="006E53DB" w:rsidP="008D21D5">
            <w:pPr>
              <w:spacing w:after="0" w:line="240" w:lineRule="auto"/>
              <w:jc w:val="center"/>
              <w:rPr>
                <w:rFonts w:ascii="Times New Roman" w:eastAsia="Times New Roman" w:hAnsi="Times New Roman" w:cs="Times New Roman"/>
                <w:color w:val="000000"/>
              </w:rPr>
            </w:pPr>
            <w:r w:rsidRPr="0048225B">
              <w:rPr>
                <w:rFonts w:ascii="Times New Roman" w:eastAsia="Times New Roman" w:hAnsi="Times New Roman" w:cs="Times New Roman"/>
                <w:color w:val="000000"/>
              </w:rPr>
              <w:t>Глобальный эталон</w:t>
            </w:r>
          </w:p>
        </w:tc>
        <w:tc>
          <w:tcPr>
            <w:tcW w:w="1356" w:type="dxa"/>
            <w:tcBorders>
              <w:top w:val="nil"/>
              <w:left w:val="nil"/>
              <w:bottom w:val="single" w:sz="4" w:space="0" w:color="auto"/>
              <w:right w:val="single" w:sz="4" w:space="0" w:color="auto"/>
            </w:tcBorders>
            <w:shd w:val="clear" w:color="auto" w:fill="auto"/>
            <w:vAlign w:val="center"/>
            <w:hideMark/>
          </w:tcPr>
          <w:p w:rsidR="006E53DB" w:rsidRPr="0048225B" w:rsidRDefault="006E53DB" w:rsidP="008D21D5">
            <w:pPr>
              <w:spacing w:after="0" w:line="240" w:lineRule="auto"/>
              <w:jc w:val="center"/>
              <w:rPr>
                <w:rFonts w:ascii="Times New Roman" w:eastAsia="Times New Roman" w:hAnsi="Times New Roman" w:cs="Times New Roman"/>
                <w:color w:val="000000"/>
              </w:rPr>
            </w:pPr>
            <w:r w:rsidRPr="0048225B">
              <w:rPr>
                <w:rFonts w:ascii="Times New Roman" w:eastAsia="Times New Roman" w:hAnsi="Times New Roman" w:cs="Times New Roman"/>
                <w:color w:val="000000"/>
              </w:rPr>
              <w:t>0,9691</w:t>
            </w:r>
          </w:p>
        </w:tc>
        <w:tc>
          <w:tcPr>
            <w:tcW w:w="1024" w:type="dxa"/>
            <w:tcBorders>
              <w:top w:val="nil"/>
              <w:left w:val="nil"/>
              <w:bottom w:val="single" w:sz="4" w:space="0" w:color="auto"/>
              <w:right w:val="single" w:sz="4" w:space="0" w:color="auto"/>
            </w:tcBorders>
            <w:shd w:val="clear" w:color="auto" w:fill="auto"/>
            <w:vAlign w:val="center"/>
            <w:hideMark/>
          </w:tcPr>
          <w:p w:rsidR="006E53DB" w:rsidRPr="0048225B" w:rsidRDefault="006E53DB" w:rsidP="008D21D5">
            <w:pPr>
              <w:spacing w:after="0" w:line="240" w:lineRule="auto"/>
              <w:jc w:val="center"/>
              <w:rPr>
                <w:rFonts w:ascii="Times New Roman" w:eastAsia="Times New Roman" w:hAnsi="Times New Roman" w:cs="Times New Roman"/>
                <w:color w:val="000000"/>
              </w:rPr>
            </w:pPr>
            <w:r w:rsidRPr="0048225B">
              <w:rPr>
                <w:rFonts w:ascii="Times New Roman" w:eastAsia="Times New Roman" w:hAnsi="Times New Roman" w:cs="Times New Roman"/>
                <w:color w:val="000000"/>
              </w:rPr>
              <w:t>№ 3</w:t>
            </w:r>
          </w:p>
        </w:tc>
        <w:tc>
          <w:tcPr>
            <w:tcW w:w="1003" w:type="dxa"/>
            <w:tcBorders>
              <w:top w:val="nil"/>
              <w:left w:val="nil"/>
              <w:bottom w:val="single" w:sz="4" w:space="0" w:color="auto"/>
              <w:right w:val="single" w:sz="4" w:space="0" w:color="auto"/>
            </w:tcBorders>
            <w:shd w:val="clear" w:color="auto" w:fill="auto"/>
            <w:vAlign w:val="center"/>
            <w:hideMark/>
          </w:tcPr>
          <w:p w:rsidR="006E53DB" w:rsidRPr="0048225B" w:rsidRDefault="006E53DB" w:rsidP="008D21D5">
            <w:pPr>
              <w:spacing w:after="0" w:line="240" w:lineRule="auto"/>
              <w:jc w:val="center"/>
              <w:rPr>
                <w:rFonts w:ascii="Times New Roman" w:eastAsia="Times New Roman" w:hAnsi="Times New Roman" w:cs="Times New Roman"/>
                <w:color w:val="000000"/>
              </w:rPr>
            </w:pPr>
            <w:r w:rsidRPr="0048225B">
              <w:rPr>
                <w:rFonts w:ascii="Times New Roman" w:eastAsia="Times New Roman" w:hAnsi="Times New Roman" w:cs="Times New Roman"/>
                <w:color w:val="000000"/>
              </w:rPr>
              <w:t>79,4</w:t>
            </w:r>
          </w:p>
        </w:tc>
        <w:tc>
          <w:tcPr>
            <w:tcW w:w="1000" w:type="dxa"/>
            <w:tcBorders>
              <w:top w:val="nil"/>
              <w:left w:val="nil"/>
              <w:bottom w:val="single" w:sz="4" w:space="0" w:color="auto"/>
              <w:right w:val="single" w:sz="4" w:space="0" w:color="auto"/>
            </w:tcBorders>
            <w:shd w:val="clear" w:color="auto" w:fill="auto"/>
            <w:vAlign w:val="center"/>
            <w:hideMark/>
          </w:tcPr>
          <w:p w:rsidR="006E53DB" w:rsidRPr="0048225B" w:rsidRDefault="006E53DB" w:rsidP="008D21D5">
            <w:pPr>
              <w:spacing w:after="0" w:line="240" w:lineRule="auto"/>
              <w:jc w:val="center"/>
              <w:rPr>
                <w:rFonts w:ascii="Times New Roman" w:eastAsia="Times New Roman" w:hAnsi="Times New Roman" w:cs="Times New Roman"/>
                <w:color w:val="000000"/>
              </w:rPr>
            </w:pPr>
            <w:r w:rsidRPr="0048225B">
              <w:rPr>
                <w:rFonts w:ascii="Times New Roman" w:eastAsia="Times New Roman" w:hAnsi="Times New Roman" w:cs="Times New Roman"/>
                <w:color w:val="000000"/>
              </w:rPr>
              <w:t>№ 2</w:t>
            </w:r>
          </w:p>
        </w:tc>
        <w:tc>
          <w:tcPr>
            <w:tcW w:w="1075" w:type="dxa"/>
            <w:tcBorders>
              <w:top w:val="nil"/>
              <w:left w:val="nil"/>
              <w:bottom w:val="single" w:sz="4" w:space="0" w:color="auto"/>
              <w:right w:val="single" w:sz="4" w:space="0" w:color="auto"/>
            </w:tcBorders>
            <w:shd w:val="clear" w:color="auto" w:fill="auto"/>
            <w:vAlign w:val="center"/>
            <w:hideMark/>
          </w:tcPr>
          <w:p w:rsidR="006E53DB" w:rsidRPr="0048225B" w:rsidRDefault="006E53DB" w:rsidP="008D21D5">
            <w:pPr>
              <w:spacing w:after="0" w:line="240" w:lineRule="auto"/>
              <w:jc w:val="center"/>
              <w:rPr>
                <w:rFonts w:ascii="Times New Roman" w:eastAsia="Times New Roman" w:hAnsi="Times New Roman" w:cs="Times New Roman"/>
                <w:color w:val="000000"/>
              </w:rPr>
            </w:pPr>
            <w:r w:rsidRPr="0048225B">
              <w:rPr>
                <w:rFonts w:ascii="Times New Roman" w:eastAsia="Times New Roman" w:hAnsi="Times New Roman" w:cs="Times New Roman"/>
                <w:color w:val="000000"/>
              </w:rPr>
              <w:t xml:space="preserve">№ 1 </w:t>
            </w:r>
            <w:r w:rsidRPr="0048225B">
              <w:rPr>
                <w:rFonts w:ascii="Segoe UI Symbol" w:eastAsia="Times New Roman" w:hAnsi="Segoe UI Symbol" w:cs="Segoe UI Symbol"/>
                <w:color w:val="000000"/>
              </w:rPr>
              <w:t>✓</w:t>
            </w:r>
          </w:p>
        </w:tc>
        <w:tc>
          <w:tcPr>
            <w:tcW w:w="910" w:type="dxa"/>
            <w:tcBorders>
              <w:top w:val="nil"/>
              <w:left w:val="nil"/>
              <w:bottom w:val="single" w:sz="4" w:space="0" w:color="auto"/>
              <w:right w:val="single" w:sz="8" w:space="0" w:color="auto"/>
            </w:tcBorders>
            <w:shd w:val="clear" w:color="auto" w:fill="auto"/>
            <w:vAlign w:val="center"/>
            <w:hideMark/>
          </w:tcPr>
          <w:p w:rsidR="006E53DB" w:rsidRPr="0048225B" w:rsidRDefault="006E53DB" w:rsidP="008D21D5">
            <w:pPr>
              <w:spacing w:after="0" w:line="240" w:lineRule="auto"/>
              <w:jc w:val="center"/>
              <w:rPr>
                <w:rFonts w:ascii="Times New Roman" w:eastAsia="Times New Roman" w:hAnsi="Times New Roman" w:cs="Times New Roman"/>
                <w:color w:val="000000"/>
              </w:rPr>
            </w:pPr>
            <w:r w:rsidRPr="0048225B">
              <w:rPr>
                <w:rFonts w:ascii="Times New Roman" w:eastAsia="Times New Roman" w:hAnsi="Times New Roman" w:cs="Times New Roman"/>
                <w:color w:val="000000"/>
              </w:rPr>
              <w:t>Топ-5</w:t>
            </w:r>
          </w:p>
        </w:tc>
      </w:tr>
      <w:tr w:rsidR="006E53DB" w:rsidRPr="00C4631A" w:rsidTr="008D21D5">
        <w:trPr>
          <w:trHeight w:val="300"/>
        </w:trPr>
        <w:tc>
          <w:tcPr>
            <w:tcW w:w="1287" w:type="dxa"/>
            <w:tcBorders>
              <w:top w:val="nil"/>
              <w:left w:val="single" w:sz="8" w:space="0" w:color="auto"/>
              <w:bottom w:val="single" w:sz="8" w:space="0" w:color="auto"/>
              <w:right w:val="single" w:sz="4" w:space="0" w:color="auto"/>
            </w:tcBorders>
            <w:shd w:val="clear" w:color="000000" w:fill="F5F5F5"/>
            <w:vAlign w:val="center"/>
            <w:hideMark/>
          </w:tcPr>
          <w:p w:rsidR="006E53DB" w:rsidRPr="0048225B" w:rsidRDefault="006E53DB" w:rsidP="008D21D5">
            <w:pPr>
              <w:spacing w:after="0" w:line="240" w:lineRule="auto"/>
              <w:rPr>
                <w:rFonts w:ascii="Times New Roman" w:eastAsia="Times New Roman" w:hAnsi="Times New Roman" w:cs="Times New Roman"/>
                <w:b/>
                <w:bCs/>
                <w:color w:val="3B6D11"/>
              </w:rPr>
            </w:pPr>
            <w:r w:rsidRPr="0048225B">
              <w:rPr>
                <w:rFonts w:ascii="Times New Roman" w:eastAsia="Times New Roman" w:hAnsi="Times New Roman" w:cs="Times New Roman"/>
                <w:b/>
                <w:bCs/>
                <w:color w:val="3B6D11"/>
              </w:rPr>
              <w:t>Польша</w:t>
            </w:r>
          </w:p>
        </w:tc>
        <w:tc>
          <w:tcPr>
            <w:tcW w:w="2130" w:type="dxa"/>
            <w:tcBorders>
              <w:top w:val="nil"/>
              <w:left w:val="nil"/>
              <w:bottom w:val="single" w:sz="8" w:space="0" w:color="auto"/>
              <w:right w:val="single" w:sz="4" w:space="0" w:color="auto"/>
            </w:tcBorders>
            <w:shd w:val="clear" w:color="000000" w:fill="F5F5F5"/>
            <w:vAlign w:val="center"/>
            <w:hideMark/>
          </w:tcPr>
          <w:p w:rsidR="006E53DB" w:rsidRPr="0048225B" w:rsidRDefault="006E53DB" w:rsidP="008D21D5">
            <w:pPr>
              <w:spacing w:after="0" w:line="240" w:lineRule="auto"/>
              <w:jc w:val="center"/>
              <w:rPr>
                <w:rFonts w:ascii="Times New Roman" w:eastAsia="Times New Roman" w:hAnsi="Times New Roman" w:cs="Times New Roman"/>
                <w:color w:val="000000"/>
              </w:rPr>
            </w:pPr>
            <w:r w:rsidRPr="0048225B">
              <w:rPr>
                <w:rFonts w:ascii="Times New Roman" w:eastAsia="Times New Roman" w:hAnsi="Times New Roman" w:cs="Times New Roman"/>
                <w:color w:val="000000"/>
              </w:rPr>
              <w:t>Догоняющая (CEE)</w:t>
            </w:r>
          </w:p>
        </w:tc>
        <w:tc>
          <w:tcPr>
            <w:tcW w:w="1356" w:type="dxa"/>
            <w:tcBorders>
              <w:top w:val="nil"/>
              <w:left w:val="nil"/>
              <w:bottom w:val="single" w:sz="8" w:space="0" w:color="auto"/>
              <w:right w:val="single" w:sz="4" w:space="0" w:color="auto"/>
            </w:tcBorders>
            <w:shd w:val="clear" w:color="000000" w:fill="F5F5F5"/>
            <w:vAlign w:val="center"/>
            <w:hideMark/>
          </w:tcPr>
          <w:p w:rsidR="006E53DB" w:rsidRPr="0048225B" w:rsidRDefault="006E53DB" w:rsidP="008D21D5">
            <w:pPr>
              <w:spacing w:after="0" w:line="240" w:lineRule="auto"/>
              <w:jc w:val="center"/>
              <w:rPr>
                <w:rFonts w:ascii="Times New Roman" w:eastAsia="Times New Roman" w:hAnsi="Times New Roman" w:cs="Times New Roman"/>
                <w:color w:val="000000"/>
              </w:rPr>
            </w:pPr>
            <w:r w:rsidRPr="0048225B">
              <w:rPr>
                <w:rFonts w:ascii="Times New Roman" w:eastAsia="Times New Roman" w:hAnsi="Times New Roman" w:cs="Times New Roman"/>
                <w:color w:val="000000"/>
              </w:rPr>
              <w:t>0,8677</w:t>
            </w:r>
          </w:p>
        </w:tc>
        <w:tc>
          <w:tcPr>
            <w:tcW w:w="1024" w:type="dxa"/>
            <w:tcBorders>
              <w:top w:val="nil"/>
              <w:left w:val="nil"/>
              <w:bottom w:val="single" w:sz="8" w:space="0" w:color="auto"/>
              <w:right w:val="single" w:sz="4" w:space="0" w:color="auto"/>
            </w:tcBorders>
            <w:shd w:val="clear" w:color="000000" w:fill="F5F5F5"/>
            <w:vAlign w:val="center"/>
            <w:hideMark/>
          </w:tcPr>
          <w:p w:rsidR="006E53DB" w:rsidRPr="0048225B" w:rsidRDefault="006E53DB" w:rsidP="008D21D5">
            <w:pPr>
              <w:spacing w:after="0" w:line="240" w:lineRule="auto"/>
              <w:jc w:val="center"/>
              <w:rPr>
                <w:rFonts w:ascii="Times New Roman" w:eastAsia="Times New Roman" w:hAnsi="Times New Roman" w:cs="Times New Roman"/>
                <w:color w:val="000000"/>
              </w:rPr>
            </w:pPr>
            <w:r w:rsidRPr="0048225B">
              <w:rPr>
                <w:rFonts w:ascii="Times New Roman" w:eastAsia="Times New Roman" w:hAnsi="Times New Roman" w:cs="Times New Roman"/>
                <w:color w:val="000000"/>
              </w:rPr>
              <w:t>№ 30</w:t>
            </w:r>
          </w:p>
        </w:tc>
        <w:tc>
          <w:tcPr>
            <w:tcW w:w="1003" w:type="dxa"/>
            <w:tcBorders>
              <w:top w:val="nil"/>
              <w:left w:val="nil"/>
              <w:bottom w:val="single" w:sz="8" w:space="0" w:color="auto"/>
              <w:right w:val="single" w:sz="4" w:space="0" w:color="auto"/>
            </w:tcBorders>
            <w:shd w:val="clear" w:color="000000" w:fill="F5F5F5"/>
            <w:vAlign w:val="center"/>
            <w:hideMark/>
          </w:tcPr>
          <w:p w:rsidR="006E53DB" w:rsidRPr="0048225B" w:rsidRDefault="006E53DB" w:rsidP="008D21D5">
            <w:pPr>
              <w:spacing w:after="0" w:line="240" w:lineRule="auto"/>
              <w:jc w:val="center"/>
              <w:rPr>
                <w:rFonts w:ascii="Times New Roman" w:eastAsia="Times New Roman" w:hAnsi="Times New Roman" w:cs="Times New Roman"/>
                <w:color w:val="000000"/>
              </w:rPr>
            </w:pPr>
            <w:r w:rsidRPr="0048225B">
              <w:rPr>
                <w:rFonts w:ascii="Times New Roman" w:eastAsia="Times New Roman" w:hAnsi="Times New Roman" w:cs="Times New Roman"/>
                <w:color w:val="000000"/>
              </w:rPr>
              <w:t>59,4</w:t>
            </w:r>
          </w:p>
        </w:tc>
        <w:tc>
          <w:tcPr>
            <w:tcW w:w="1000" w:type="dxa"/>
            <w:tcBorders>
              <w:top w:val="nil"/>
              <w:left w:val="nil"/>
              <w:bottom w:val="single" w:sz="8" w:space="0" w:color="auto"/>
              <w:right w:val="single" w:sz="4" w:space="0" w:color="auto"/>
            </w:tcBorders>
            <w:shd w:val="clear" w:color="000000" w:fill="F5F5F5"/>
            <w:vAlign w:val="center"/>
            <w:hideMark/>
          </w:tcPr>
          <w:p w:rsidR="006E53DB" w:rsidRPr="0048225B" w:rsidRDefault="006E53DB" w:rsidP="008D21D5">
            <w:pPr>
              <w:spacing w:after="0" w:line="240" w:lineRule="auto"/>
              <w:jc w:val="center"/>
              <w:rPr>
                <w:rFonts w:ascii="Times New Roman" w:eastAsia="Times New Roman" w:hAnsi="Times New Roman" w:cs="Times New Roman"/>
                <w:color w:val="000000"/>
              </w:rPr>
            </w:pPr>
            <w:r w:rsidRPr="0048225B">
              <w:rPr>
                <w:rFonts w:ascii="Times New Roman" w:eastAsia="Times New Roman" w:hAnsi="Times New Roman" w:cs="Times New Roman"/>
                <w:color w:val="000000"/>
              </w:rPr>
              <w:t>№ 32</w:t>
            </w:r>
          </w:p>
        </w:tc>
        <w:tc>
          <w:tcPr>
            <w:tcW w:w="1075" w:type="dxa"/>
            <w:tcBorders>
              <w:top w:val="nil"/>
              <w:left w:val="nil"/>
              <w:bottom w:val="single" w:sz="8" w:space="0" w:color="auto"/>
              <w:right w:val="single" w:sz="4" w:space="0" w:color="auto"/>
            </w:tcBorders>
            <w:shd w:val="clear" w:color="000000" w:fill="F5F5F5"/>
            <w:vAlign w:val="center"/>
            <w:hideMark/>
          </w:tcPr>
          <w:p w:rsidR="006E53DB" w:rsidRPr="0048225B" w:rsidRDefault="006E53DB" w:rsidP="008D21D5">
            <w:pPr>
              <w:spacing w:after="0" w:line="240" w:lineRule="auto"/>
              <w:jc w:val="center"/>
              <w:rPr>
                <w:rFonts w:ascii="Times New Roman" w:eastAsia="Times New Roman" w:hAnsi="Times New Roman" w:cs="Times New Roman"/>
                <w:color w:val="000000"/>
              </w:rPr>
            </w:pPr>
            <w:r w:rsidRPr="0048225B">
              <w:rPr>
                <w:rFonts w:ascii="Times New Roman" w:eastAsia="Times New Roman" w:hAnsi="Times New Roman" w:cs="Times New Roman"/>
                <w:color w:val="000000"/>
              </w:rPr>
              <w:t>№ 41–43</w:t>
            </w:r>
          </w:p>
        </w:tc>
        <w:tc>
          <w:tcPr>
            <w:tcW w:w="910" w:type="dxa"/>
            <w:tcBorders>
              <w:top w:val="nil"/>
              <w:left w:val="nil"/>
              <w:bottom w:val="single" w:sz="8" w:space="0" w:color="auto"/>
              <w:right w:val="single" w:sz="8" w:space="0" w:color="auto"/>
            </w:tcBorders>
            <w:shd w:val="clear" w:color="000000" w:fill="F5F5F5"/>
            <w:vAlign w:val="center"/>
            <w:hideMark/>
          </w:tcPr>
          <w:p w:rsidR="006E53DB" w:rsidRPr="0048225B" w:rsidRDefault="006E53DB" w:rsidP="008D21D5">
            <w:pPr>
              <w:spacing w:after="0" w:line="240" w:lineRule="auto"/>
              <w:jc w:val="center"/>
              <w:rPr>
                <w:rFonts w:ascii="Times New Roman" w:eastAsia="Times New Roman" w:hAnsi="Times New Roman" w:cs="Times New Roman"/>
                <w:color w:val="000000"/>
              </w:rPr>
            </w:pPr>
            <w:r w:rsidRPr="0048225B">
              <w:rPr>
                <w:rFonts w:ascii="Times New Roman" w:eastAsia="Times New Roman" w:hAnsi="Times New Roman" w:cs="Times New Roman"/>
                <w:color w:val="000000"/>
              </w:rPr>
              <w:t>—</w:t>
            </w:r>
          </w:p>
        </w:tc>
      </w:tr>
    </w:tbl>
    <w:p w:rsidR="006E53DB" w:rsidRDefault="006E53DB" w:rsidP="006E53DB">
      <w:pPr>
        <w:spacing w:after="0" w:line="360" w:lineRule="auto"/>
        <w:rPr>
          <w:rFonts w:ascii="Times New Roman" w:eastAsia="Times New Roman" w:hAnsi="Times New Roman" w:cs="Times New Roman"/>
          <w:b/>
          <w:bCs/>
        </w:rPr>
      </w:pPr>
    </w:p>
    <w:p w:rsidR="006E53DB" w:rsidRPr="00E26E25" w:rsidRDefault="006E53DB" w:rsidP="006E53DB">
      <w:pPr>
        <w:spacing w:after="0" w:line="360" w:lineRule="auto"/>
        <w:ind w:firstLine="709"/>
        <w:jc w:val="both"/>
        <w:rPr>
          <w:rFonts w:ascii="Times New Roman" w:hAnsi="Times New Roman" w:cs="Times New Roman"/>
          <w:sz w:val="28"/>
          <w:szCs w:val="28"/>
        </w:rPr>
      </w:pPr>
      <w:bookmarkStart w:id="5" w:name="_GoBack"/>
      <w:bookmarkEnd w:id="5"/>
    </w:p>
    <w:p w:rsidR="00D37B22" w:rsidRPr="00E26E25" w:rsidRDefault="00D37B22" w:rsidP="006E53DB">
      <w:p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sz w:val="28"/>
          <w:szCs w:val="28"/>
        </w:rPr>
        <w:t>Таблица 2.1. Позиции четырёх стран в международных индексах цифровой зрелости (2024)</w:t>
      </w:r>
    </w:p>
    <w:p w:rsidR="00D37B22" w:rsidRPr="00E26E25" w:rsidRDefault="00D37B22" w:rsidP="006E53DB">
      <w:pPr>
        <w:spacing w:after="0" w:line="360" w:lineRule="auto"/>
        <w:ind w:firstLine="709"/>
        <w:jc w:val="both"/>
        <w:rPr>
          <w:rFonts w:ascii="Times New Roman" w:hAnsi="Times New Roman" w:cs="Times New Roman"/>
          <w:sz w:val="28"/>
          <w:szCs w:val="28"/>
          <w:lang w:val="en-CA"/>
        </w:rPr>
      </w:pPr>
      <w:r w:rsidRPr="00E26E25">
        <w:rPr>
          <w:rFonts w:ascii="Times New Roman" w:hAnsi="Times New Roman" w:cs="Times New Roman"/>
          <w:i/>
          <w:iCs/>
          <w:sz w:val="28"/>
          <w:szCs w:val="28"/>
        </w:rPr>
        <w:t>Источники</w:t>
      </w:r>
      <w:r w:rsidRPr="00E26E25">
        <w:rPr>
          <w:rFonts w:ascii="Times New Roman" w:hAnsi="Times New Roman" w:cs="Times New Roman"/>
          <w:i/>
          <w:iCs/>
          <w:sz w:val="28"/>
          <w:szCs w:val="28"/>
          <w:lang w:val="en-CA"/>
        </w:rPr>
        <w:t>: UN DESA (EGDI 2024); Portulans Institute (NRI 2024); IMD WDCR 2024.</w:t>
      </w:r>
    </w:p>
    <w:p w:rsidR="00D37B22" w:rsidRPr="00E26E25" w:rsidRDefault="00D37B22" w:rsidP="006E53DB">
      <w:p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sz w:val="28"/>
          <w:szCs w:val="28"/>
        </w:rPr>
        <w:t>Данные таблицы 2.1 показывают, что все четыре страны занимают заметные позиции в международных рейтингах цифровой зрелости, однако достигают этих результатов разными путями. Эстония опирается на модель компактного цифрового государства, Республика Корея - на государственно-направляемую цифровую модернизацию, Сингапур - на высокий уровень институциональной координации и цифровой конкурентоспособности, а Польша - на постепенную догоняющую цифровизацию в рамках европейской интеграции.</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Эстония: модель «цифрового государства» малой постсоветской экономики. Цифровая трансформация Эстонии началась с программы Tiger Leap (Tiigrihüpe), запущенной в 1996 году и направленной на компьютеризацию школ, подключение их к интернету, подготовку учителей и создание учебного контента на эстонском языке</w:t>
      </w:r>
      <w:r>
        <w:footnoteReference w:id="35"/>
      </w:r>
      <w:r>
        <w:rPr>
          <w:rFonts w:ascii="Times New Roman" w:hAnsi="Times New Roman" w:cs="Times New Roman"/>
          <w:sz w:val="28"/>
          <w:szCs w:val="28"/>
        </w:rPr>
        <w:t>. К 2000 году все школы Эстонии были оснащены компьютерами, а к 2001 году подключены к интернету</w:t>
      </w:r>
      <w:r>
        <w:footnoteReference w:id="36"/>
      </w:r>
      <w:r>
        <w:rPr>
          <w:rFonts w:ascii="Times New Roman" w:hAnsi="Times New Roman" w:cs="Times New Roman"/>
          <w:sz w:val="28"/>
          <w:szCs w:val="28"/>
        </w:rPr>
        <w:t>. Благодаря этому Эстония сформировала раннюю базу цифровой грамотности и подготовила общество к дальнейшему развитию электронного государства.</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Следующим важным этапом стало создание технологической основы эстонского цифрового государства. Центральное место в этой модели заняла платформа X-Road (X-tee) - распределённая система обмена данными между государственными и частными информационными системами. Проект был </w:t>
      </w:r>
      <w:r>
        <w:rPr>
          <w:rFonts w:ascii="Times New Roman" w:hAnsi="Times New Roman" w:cs="Times New Roman"/>
          <w:sz w:val="28"/>
          <w:szCs w:val="28"/>
        </w:rPr>
        <w:lastRenderedPageBreak/>
        <w:t>развёрнут в 2001 году и построен на принципе децентрализации: данные хранятся в исходных реестрах и передаются по запросу через защищённые каналы с использованием цифровой подписи</w:t>
      </w:r>
      <w:r>
        <w:footnoteReference w:id="37"/>
      </w:r>
      <w:r>
        <w:rPr>
          <w:rFonts w:ascii="Times New Roman" w:hAnsi="Times New Roman" w:cs="Times New Roman"/>
          <w:sz w:val="28"/>
          <w:szCs w:val="28"/>
        </w:rPr>
        <w:t>. К настоящему времени X-Road объединяет более 450 организаций, включая свыше 150 учреждений государственного сектора, обеспечивает работу около 1300 информационных систем и обрабатывает примерно 2,2 млрд транзакций в год</w:t>
      </w:r>
      <w:r>
        <w:footnoteReference w:id="38"/>
      </w:r>
      <w:r>
        <w:rPr>
          <w:rFonts w:ascii="Times New Roman" w:hAnsi="Times New Roman" w:cs="Times New Roman"/>
          <w:sz w:val="28"/>
          <w:szCs w:val="28"/>
        </w:rPr>
        <w:t>. В дальнейшем открытие исходного кода центральных компонентов X-Road под лицензией MIT усилило международное значение этой модели - в частности, в 2018 году были соединены системы обмена данными Эстонии и Финляндии.</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Продолжением этой модели стала программа электронного резидентства, которая позволила Эстонии использовать цифровую инфраструктуру не только внутри страны, но и за её пределами. Программа e-Residency, запущенная в конце 2014 года, стала одним из ключевых инструментов экспорта цифровой инфраструктуры Эстонии. По состоянию на 2025 год статус электронного резидента получили более 128 тыс. человек из 185 стран, ими основано свыше 36 тыс. эстонских компаний, а совокупный прямой экономический эффект программы для государственного бюджета составил 342 млн евро</w:t>
      </w:r>
      <w:r>
        <w:footnoteReference w:id="39"/>
      </w:r>
      <w:r>
        <w:rPr>
          <w:rFonts w:ascii="Times New Roman" w:hAnsi="Times New Roman" w:cs="Times New Roman"/>
          <w:sz w:val="28"/>
          <w:szCs w:val="28"/>
        </w:rPr>
        <w:t>. В 2024 году e-резиденты создали 4818 новых компаний, а налоговые поступления от программы достигли 66,8 млн евро</w:t>
      </w:r>
      <w:r>
        <w:footnoteReference w:id="40"/>
      </w:r>
      <w:r>
        <w:rPr>
          <w:rFonts w:ascii="Times New Roman" w:hAnsi="Times New Roman" w:cs="Times New Roman"/>
          <w:sz w:val="28"/>
          <w:szCs w:val="28"/>
        </w:rPr>
        <w:t>. В Индексе развития электронного правительства ООН EGDI 2024 года Эстония заняла 2-е место в мире со значением индекса 0,9727</w:t>
      </w:r>
      <w:r>
        <w:footnoteReference w:id="41"/>
      </w:r>
      <w:r>
        <w:rPr>
          <w:rFonts w:ascii="Times New Roman" w:hAnsi="Times New Roman" w:cs="Times New Roman"/>
          <w:sz w:val="28"/>
          <w:szCs w:val="28"/>
        </w:rPr>
        <w:t xml:space="preserve">. В итоге эстонская модель цифровой трансформации опирается на сочетание </w:t>
      </w:r>
      <w:r>
        <w:rPr>
          <w:rFonts w:ascii="Times New Roman" w:hAnsi="Times New Roman" w:cs="Times New Roman"/>
          <w:sz w:val="28"/>
          <w:szCs w:val="28"/>
        </w:rPr>
        <w:lastRenderedPageBreak/>
        <w:t>цифровой грамотности, межведомственной интероперабельности, цифровой идентификации и продвижения государственных цифровых решений на международном уровне.</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Республика Корея: модель государственно-направляемой цифровой модернизации. Цифровая трансформация Республики Корея отличается сильной ролью государства, долгосрочным планированием и использованием фискальных стимулов для ускорения технологического развития. Одним из центральных программных документов стал Корейский новый курс (Korean New Deal), объявленный 14 июля 2020 года. Общий объём инвестиций программы на 2020-2025 годы составил 160 трлн вон, или около 133 млрд долларов США, из которых 114,1 трлн вон финансировалось центральным правительством, что соответствовало 5,9% ВВП 2020 года</w:t>
      </w:r>
      <w:r>
        <w:footnoteReference w:id="42"/>
      </w:r>
      <w:r>
        <w:rPr>
          <w:rFonts w:ascii="Times New Roman" w:hAnsi="Times New Roman" w:cs="Times New Roman"/>
          <w:sz w:val="28"/>
          <w:szCs w:val="28"/>
        </w:rPr>
        <w:t>. Программа была направлена на создание 1,9 млн рабочих мест и включала три основных блока: Digital New Deal, Green New Deal и укрепление системы социальной защиты.</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Центральным цифровым блоком этой программы стал Digital New Deal. На его реализацию было выделено 58,2 трлн вон, из которых 44,8 трлн финансировались из государственной казны</w:t>
      </w:r>
      <w:r>
        <w:footnoteReference w:id="43"/>
      </w:r>
      <w:r>
        <w:rPr>
          <w:rFonts w:ascii="Times New Roman" w:hAnsi="Times New Roman" w:cs="Times New Roman"/>
          <w:sz w:val="28"/>
          <w:szCs w:val="28"/>
        </w:rPr>
        <w:t xml:space="preserve">. В основе программы лежала концепция DNA - Data, Network, AI, которая связывала развитие данных, сетевой инфраструктуры и искусственного интеллекта с модернизацией ключевых секторов экономики. В практическом плане программа включала создание отраслевых платформ больших данных, внедрение 5G и блокчейн в государственные услуги, оснащение 18 больниц технологиями 5G и интернета вещей, разработку программного обеспечения для диагностики 12 заболеваний, а также подключение более 310 000 классов к </w:t>
      </w:r>
      <w:r>
        <w:rPr>
          <w:rFonts w:ascii="Times New Roman" w:hAnsi="Times New Roman" w:cs="Times New Roman"/>
          <w:sz w:val="28"/>
          <w:szCs w:val="28"/>
        </w:rPr>
        <w:lastRenderedPageBreak/>
        <w:t>высокоскоростному беспроводному интернету</w:t>
      </w:r>
      <w:r>
        <w:footnoteReference w:id="44"/>
      </w:r>
      <w:r>
        <w:rPr>
          <w:rFonts w:ascii="Times New Roman" w:hAnsi="Times New Roman" w:cs="Times New Roman"/>
          <w:sz w:val="28"/>
          <w:szCs w:val="28"/>
        </w:rPr>
        <w:t>. Дополнительно в июле 2021 года был объявлен Korean New Deal 2.0, в рамках которого общий бюджет программы был расширен примерно до 220 трлн вон.</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Первые результаты реализации цифрового курса получили положительную оценку. По данным Министерства науки и ИКТ Кореи, совокупный бюджет, направленный на развитие ведущих цифровых технологий в первый год реализации Digital New Deal, составил 10,1 трлн вон, или 8,7 млрд долларов США</w:t>
      </w:r>
      <w:r>
        <w:footnoteReference w:id="45"/>
      </w:r>
      <w:r>
        <w:rPr>
          <w:rFonts w:ascii="Times New Roman" w:hAnsi="Times New Roman" w:cs="Times New Roman"/>
          <w:sz w:val="28"/>
          <w:szCs w:val="28"/>
        </w:rPr>
        <w:t>. Реализация программы также отразилась на международных позициях страны: в рейтинге цифровой конкурентоспособности IMD Республика Корея поднялась с 10-го места в 2019 году на 8-е в 2020 году, а в индексе готовности правительств к использованию искусственного интеллекта Oxford Insights - с 26-го на 7-е место. Ещё в декабре 2019 года Корея приняла Национальную стратегию в области искусственного интеллекта, предусматривающую цель войти в тройку наиболее конкурентоспособных цифровых экономик мира к 2030 году и инвестиции в размере 1 трлн вон на развитие ИИ-полупроводников в течение 10 лет</w:t>
      </w:r>
      <w:r>
        <w:footnoteReference w:id="46"/>
      </w:r>
      <w:r>
        <w:rPr>
          <w:rFonts w:ascii="Times New Roman" w:hAnsi="Times New Roman" w:cs="Times New Roman"/>
          <w:sz w:val="28"/>
          <w:szCs w:val="28"/>
        </w:rPr>
        <w:t>. В EGDI 2024 Республика Корея занимает 4-е место со значением индекса 0,9679, а в OECD Digital Government Index 2023 - 1-е место среди стран ОЭСР</w:t>
      </w:r>
      <w:r>
        <w:footnoteReference w:id="47"/>
      </w:r>
      <w:r>
        <w:rPr>
          <w:rFonts w:ascii="Times New Roman" w:hAnsi="Times New Roman" w:cs="Times New Roman"/>
          <w:sz w:val="28"/>
          <w:szCs w:val="28"/>
        </w:rPr>
        <w:t>. В целом корейская модель отличается крупным масштабом государственных инвестиций и тесной связью цифровой трансформации с антикризисной политикой - Digital New Deal был запущен именно как ответ на последствия пандемии COVID-19.</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Сингапур: модель города-государства как глобального эталона цифровой конкурентоспособности. Инициатива Smart Nation была объявлена в 2014 году и стала основой сингапурской стратегии цифровой трансформации, ориентированной на внедрение информационно-коммуникационных технологий, цифровых платформ, сетей и больших данных в государственное управление и экономику</w:t>
      </w:r>
      <w:r>
        <w:footnoteReference w:id="48"/>
      </w:r>
      <w:r>
        <w:rPr>
          <w:rFonts w:ascii="Times New Roman" w:hAnsi="Times New Roman" w:cs="Times New Roman"/>
          <w:sz w:val="28"/>
          <w:szCs w:val="28"/>
        </w:rPr>
        <w:t>. Для реализации этой политики были созданы специализированные институты - GovTech и Smart Nation and Digital Government Group, которые объединили стратегическое планирование и техническую реализацию цифровых сервисов. В 2023 году координация цифровой повестки была передана Министерству цифрового развития и информации, что отражает дальнейшее институциональное укрепление цифровой трансформации.</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Практические результаты сингапурской модели проявляются в устойчивом росте цифровой экономики и широком распространении цифровых сервисов. Её вклад в ВВП Сингапура увеличился с 13,3% в 2017 году до 17,7% в 2023 году при среднегодовом темпе роста 11,2%, что почти вдвое превышало темп роста экономики в целом</w:t>
      </w:r>
      <w:r>
        <w:footnoteReference w:id="49"/>
      </w:r>
      <w:r>
        <w:rPr>
          <w:rFonts w:ascii="Times New Roman" w:hAnsi="Times New Roman" w:cs="Times New Roman"/>
          <w:sz w:val="28"/>
          <w:szCs w:val="28"/>
        </w:rPr>
        <w:t>. Около 99% домохозяйств подключены к интернету, а 99% государственных услуг доступны в цифровом формате. Ключевыми элементами цифровой инфраструктуры являются Singpass как единая система цифровой идентификации, платёжная система PayNow и платформа Virtual Singapore - трёхмерный цифровой двойник городской среды, используемый для моделирования сценариев городского развития</w:t>
      </w:r>
      <w:r>
        <w:footnoteReference w:id="50"/>
      </w:r>
      <w:r>
        <w:rPr>
          <w:rFonts w:ascii="Times New Roman" w:hAnsi="Times New Roman" w:cs="Times New Roman"/>
          <w:sz w:val="28"/>
          <w:szCs w:val="28"/>
        </w:rPr>
        <w:t xml:space="preserve">. В период пандемии COVID-19 Сингапур оперативно развернул систему TraceTogether для отслеживания контактов - это показало </w:t>
      </w:r>
      <w:r>
        <w:rPr>
          <w:rFonts w:ascii="Times New Roman" w:hAnsi="Times New Roman" w:cs="Times New Roman"/>
          <w:sz w:val="28"/>
          <w:szCs w:val="28"/>
        </w:rPr>
        <w:lastRenderedPageBreak/>
        <w:t>способность цифровой инфраструктуры быстро адаптироваться к кризисным условиям.</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Следующим этапом стала обновлённая стратегия Smart Nation 2.0. В октябре 2024 года премьер-министр Лоуренс Вонг представил концепцию Smart Nation 2.0, одним из ключевых элементов которой стало выделение 120 млн сингапурских долларов на программу AI for Science для развития междисциплинарных исследований в области искусственного интеллекта</w:t>
      </w:r>
      <w:r>
        <w:footnoteReference w:id="51"/>
      </w:r>
      <w:r>
        <w:rPr>
          <w:rFonts w:ascii="Times New Roman" w:hAnsi="Times New Roman" w:cs="Times New Roman"/>
          <w:sz w:val="28"/>
          <w:szCs w:val="28"/>
        </w:rPr>
        <w:t>. Новая стратегия переносит акцент с создания базовой цифровой инфраструктуры на практическое использование технологий - прежде всего генеративного искусственного интеллекта. В IMD World Digital Competitiveness Ranking 2024 Сингапур занимает 1-е место в мире, в Network Readiness Index 2024 - 2-е место, а в EGDI 2024 - 3-е место со значением индекса 0,9691</w:t>
      </w:r>
      <w:r>
        <w:footnoteReference w:id="52"/>
      </w:r>
      <w:r>
        <w:rPr>
          <w:rFonts w:ascii="Times New Roman" w:hAnsi="Times New Roman" w:cs="Times New Roman"/>
          <w:sz w:val="28"/>
          <w:szCs w:val="28"/>
        </w:rPr>
        <w:t>. Отличительная черта сингапурской модели - сочетание стратегического государственного планирования, активного участия частного сектора и системной интеграции цифровых решений в городскую среду.</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Польша: модель догоняющей цифровизации переходной экономики. Цифровая трансформация Польши отличается от моделей Эстонии, Республики Корея и Сингапура тем, что развивалась не как единая централизованная стратегия, а как постепенный процесс сближения с цифровыми стандартами Европейского союза. Важную роль в этом сыграли финансовые инструменты ЕС, развитие внутреннего ИКТ-сектора и модернизация государственных цифровых сервисов. Первым крупным программным документом стала программа «Цифровая Польша» на период 2014-2020 годов с бюджетом около 2,17 млрд евро, направленная на развитие </w:t>
      </w:r>
      <w:r>
        <w:rPr>
          <w:rFonts w:ascii="Times New Roman" w:hAnsi="Times New Roman" w:cs="Times New Roman"/>
          <w:sz w:val="28"/>
          <w:szCs w:val="28"/>
        </w:rPr>
        <w:lastRenderedPageBreak/>
        <w:t>широкополосной инфраструктуры и цифровых государственных сервисов</w:t>
      </w:r>
      <w:r>
        <w:footnoteReference w:id="53"/>
      </w:r>
      <w:r>
        <w:rPr>
          <w:rFonts w:ascii="Times New Roman" w:hAnsi="Times New Roman" w:cs="Times New Roman"/>
          <w:sz w:val="28"/>
          <w:szCs w:val="28"/>
        </w:rPr>
        <w:t>. Её продолжением стала программа FERC на период 2021-2027 годов, реализуемая под координацией Министерства цифровых дел и Центра проектов «Цифровая Польша»</w:t>
      </w:r>
      <w:r>
        <w:footnoteReference w:id="54"/>
      </w:r>
      <w:r>
        <w:rPr>
          <w:rFonts w:ascii="Times New Roman" w:hAnsi="Times New Roman" w:cs="Times New Roman"/>
          <w:sz w:val="28"/>
          <w:szCs w:val="28"/>
        </w:rPr>
        <w:t>.</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Заметным результатом этой политики стало развитие цифровых государственных сервисов. Одним из символов польской цифровой трансформации стало мобильное приложение mObywatel, запущенное в 2017 году. В 2020 году в приложение были интегрированы электронные рецепты и мобильные водительские удостоверения, что расширило его практическое использование. 14 июля 2023 года вступил в силу закон, уравнявший юридическую силу цифрового удостоверения личности mDowód в приложении mObywatel 2.0 с пластиковым документом</w:t>
      </w:r>
      <w:r>
        <w:footnoteReference w:id="55"/>
      </w:r>
      <w:r>
        <w:rPr>
          <w:rFonts w:ascii="Times New Roman" w:hAnsi="Times New Roman" w:cs="Times New Roman"/>
          <w:sz w:val="28"/>
          <w:szCs w:val="28"/>
        </w:rPr>
        <w:t>. К 2025 году число пользователей mObywatel превысило 10 млн человек, то есть около трети населения страны; цифровое водительское удостоверение используют 5,5 млн граждан, цифровое свидетельство о регистрации транспортного средства - 5,7 млн, а через приложение доступно более 40 государственных услуг</w:t>
      </w:r>
      <w:r>
        <w:footnoteReference w:id="56"/>
      </w:r>
      <w:r>
        <w:rPr>
          <w:rFonts w:ascii="Times New Roman" w:hAnsi="Times New Roman" w:cs="Times New Roman"/>
          <w:sz w:val="28"/>
          <w:szCs w:val="28"/>
        </w:rPr>
        <w:t>. Параллельно Польша развивает Profil Zaufany и платформу ePUAP, которые обеспечивают доступ к государственным порталам, электронное подписание документов и взаимодействие с органами власти.</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Вместе с тем польская модель показывает разрыв между развитием государственных цифровых сервисов и уровнем цифровой зрелости населения и бизнеса. По данным Digital Decade Report Европейской комиссии за 2024 год, базовыми цифровыми навыками обладают 44% населения </w:t>
      </w:r>
      <w:r>
        <w:rPr>
          <w:rFonts w:ascii="Times New Roman" w:hAnsi="Times New Roman" w:cs="Times New Roman"/>
          <w:sz w:val="28"/>
          <w:szCs w:val="28"/>
        </w:rPr>
        <w:lastRenderedPageBreak/>
        <w:t>Польши при среднем показателе по ЕС 56%; искусственный интеллект полностью внедрили 3,7% компаний при среднем уровне ЕС 8%, а аналитику данных используют 19,3% компаний при среднем уровне ЕС 33,2%</w:t>
      </w:r>
      <w:r>
        <w:footnoteReference w:id="57"/>
      </w:r>
      <w:r>
        <w:rPr>
          <w:rFonts w:ascii="Times New Roman" w:hAnsi="Times New Roman" w:cs="Times New Roman"/>
          <w:sz w:val="28"/>
          <w:szCs w:val="28"/>
        </w:rPr>
        <w:t>. Согласно OECD Digital Economy Outlook 2024, среднегодовой темп роста ИКТ-сектора Польши за период 2013-2023 годов превысил 8%</w:t>
      </w:r>
      <w:r>
        <w:footnoteReference w:id="58"/>
      </w:r>
      <w:r>
        <w:rPr>
          <w:rFonts w:ascii="Times New Roman" w:hAnsi="Times New Roman" w:cs="Times New Roman"/>
          <w:sz w:val="28"/>
          <w:szCs w:val="28"/>
        </w:rPr>
        <w:t>. Поэтому Польша представляет собой модель «конвергенции с ограничениями»: при развитии цифрового государства и ИКТ-сектора сохраняются проблемы с цифровыми навыками и внедрением технологий в частном секторе. Именно поэтому польский опыт особенно важен для стран с переходной экономикой, включая Узбекистан.</w:t>
      </w:r>
    </w:p>
    <w:p w:rsidR="00D37B22" w:rsidRPr="00E26E25" w:rsidRDefault="00D37B22" w:rsidP="006E53DB">
      <w:p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sz w:val="28"/>
          <w:szCs w:val="28"/>
        </w:rPr>
        <w:t>Сравнительный синтез четырёх моделей. Сравнение выбранных стран показывает, что во всех четырёх случаях цифровая трансформация опирается на институциональный центр координации: RIA в Эстонии, MSIT в Республике Корея, GovTech/MDDI в Сингапуре и Ministerstwo Cyfryzacji в Польше. Общей чертой также является использование цифровой идентификации как основы электронных государственных сервисов: e-ID и Mobile-ID в Эстонии, национального цифрового идентификатора в Корее, Singpass в Сингапуре, mObywatel и Profil Zaufany в Польше.</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Различия между моделями связаны прежде всего с масштабом инвестиций, институциональной средой и балансом между ролью государства и частного сектора. Корейская модель выделяется самым крупным объёмом государственных вложений: в рамках Korean New Deal общий объём финансирования составил 160 трлн вон на 2020-2025 годы, что соответствовало 5,9% ВВП 2020 года. Эстонская модель, напротив, показывает, что интероперабельность и цифровая идентификация могут стать основой цифрового государства даже при сравнительно ограниченных ресурсах. Сингапурская модель отличается высокой степенью интеграции </w:t>
      </w:r>
      <w:r>
        <w:rPr>
          <w:rFonts w:ascii="Times New Roman" w:hAnsi="Times New Roman" w:cs="Times New Roman"/>
          <w:sz w:val="28"/>
          <w:szCs w:val="28"/>
        </w:rPr>
        <w:lastRenderedPageBreak/>
        <w:t>цифровых решений в городскую среду и значительным вкладом цифровой экономики в ВВП: в 2023 году этот показатель достиг 17,7%</w:t>
      </w:r>
      <w:r>
        <w:footnoteReference w:id="59"/>
      </w:r>
      <w:r>
        <w:rPr>
          <w:rFonts w:ascii="Times New Roman" w:hAnsi="Times New Roman" w:cs="Times New Roman"/>
          <w:sz w:val="28"/>
          <w:szCs w:val="28"/>
        </w:rPr>
        <w:t>. Польская модель отражает особенности догоняющей цифровизации, где развитые государственные сервисы сочетаются с более низкой цифровой зрелостью населения и частного сектора.</w:t>
      </w:r>
    </w:p>
    <w:p w:rsidR="00D37B22" w:rsidRPr="00E26E25" w:rsidRDefault="00D37B22" w:rsidP="006E53DB">
      <w:p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sz w:val="28"/>
          <w:szCs w:val="28"/>
        </w:rPr>
        <w:t>Выбранные страны представляют разные модели цифровой трансформации: Эстония - модель интероперабельного цифрового государства, Республика Корея - государственно-направляемую цифровую модернизацию, Сингапур - высокоинтегрированную цифровую экономику города-государства, а Польша - конвергенцию с определёнными ограничениями. Это показывает, что цифровизация развивается не по единой универсальной схеме, а через разные институциональные траектории. В следующем параграфе рассматривается, как эти экономики реагировали на глобальные кризисы 2020-2022 годов с учётом уровня цифровой зрелости.</w:t>
      </w:r>
    </w:p>
    <w:p w:rsidR="00D37B22" w:rsidRPr="00E26E25" w:rsidRDefault="00D37B22" w:rsidP="006E53DB">
      <w:p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b/>
          <w:bCs/>
          <w:sz w:val="28"/>
          <w:szCs w:val="28"/>
        </w:rPr>
        <w:t>2.2. Реакция национальных экономик на глобальные кризисы 2020-2022 годов в контексте уровня цифровой зрелости</w:t>
      </w:r>
    </w:p>
    <w:p w:rsidR="00D37B22" w:rsidRPr="00E26E25" w:rsidRDefault="00D37B22" w:rsidP="006E53DB">
      <w:p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sz w:val="28"/>
          <w:szCs w:val="28"/>
        </w:rPr>
        <w:t xml:space="preserve">Для согласования сравнительного анализа с эконометрической моделью, представленной в параграфе 2.3, в работе выделяются два кризисных года. 2020 год рассматривается как период острой фазы пандемии COVID-19 и максимального падения ВВП, а 2022 год - как период энергетического и инфляционного шока, связанного с геополитической эскалацией. При этом 2021 год трактуется как этап восстановления, а не как самостоятельный кризисный эпизод. В эконометрической модели эти кризисные годы отражены через бинарные дамми-переменные Crisis_COVID и Crisis_Geo, что позволяет отдельно оценить их влияние на зависимую переменную при контроле уровня цифровизации. Такое разделение важно, поскольку пандемия COVID-19 выступила шоком неэкономического происхождения и ограничила физическую мобильность, тогда как кризис 2022 года проявился </w:t>
      </w:r>
      <w:r w:rsidRPr="00E26E25">
        <w:rPr>
          <w:rFonts w:ascii="Times New Roman" w:hAnsi="Times New Roman" w:cs="Times New Roman"/>
          <w:sz w:val="28"/>
          <w:szCs w:val="28"/>
        </w:rPr>
        <w:lastRenderedPageBreak/>
        <w:t>преимущественно через энергетический, ценовой и инфляционный каналы. Это позволяет оценить не только способность цифровой инфраструктуры смягчать последствия кризисов, но и её ограничения в условиях шоков, находящихся вне прямого воздействия цифровых технологий.</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Реакция Эстонии. В 2020 году экономика Эстонии продемонстрировала сравнительно мягкое падение: снижение ВВП составило 3,0% против среднего показателя по Европейскому союзу на уровне -6,1%</w:t>
      </w:r>
      <w:r>
        <w:footnoteReference w:id="60"/>
      </w:r>
      <w:r>
        <w:rPr>
          <w:rFonts w:ascii="Times New Roman" w:hAnsi="Times New Roman" w:cs="Times New Roman"/>
          <w:sz w:val="28"/>
          <w:szCs w:val="28"/>
        </w:rPr>
        <w:t>. Уже в 2021 году экономика восстановилась с темпом роста 8,6%, что стало одним из наиболее высоких показателей в ЕС</w:t>
      </w:r>
      <w:r>
        <w:footnoteReference w:id="61"/>
      </w:r>
      <w:r>
        <w:rPr>
          <w:rFonts w:ascii="Times New Roman" w:hAnsi="Times New Roman" w:cs="Times New Roman"/>
          <w:sz w:val="28"/>
          <w:szCs w:val="28"/>
        </w:rPr>
        <w:t>. Такой результат можно связать с высоким уровнем цифровой зрелости страны и возможностями инфраструктуры X-Road, которая помогла сохранить непрерывность государственных функций при ограничении физического взаимодействия. В период пандемии 99% государственных услуг сохранили доступность в цифровом формате, а правительство оперативно ввело новые онлайн-сервисы - упрощённые процедуры регистрации браков, рождений и обращений за пособиями через инфраструктуру e-ID и X-Road.</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Вместе с тем кризис 2022 года выявил пределы эстонской цифровой модели в условиях энергетического и ценового шока. Отказ от российских энергоносителей и высокая чувствительность к региональным энергетическим рынкам сопровождались падением ВВП на 1,3% в 2022 году и инфляцией, превысившей 19% по гармонизированному индексу потребительских цен</w:t>
      </w:r>
      <w:r>
        <w:footnoteReference w:id="62"/>
      </w:r>
      <w:r>
        <w:rPr>
          <w:rFonts w:ascii="Times New Roman" w:hAnsi="Times New Roman" w:cs="Times New Roman"/>
          <w:sz w:val="28"/>
          <w:szCs w:val="28"/>
        </w:rPr>
        <w:t xml:space="preserve">. Это подтверждает вывод первой главы: цифровая зрелость помогает смягчать шоки мобильности и информационной асимметрии, но не устраняет уязвимость к ценовым потрясениям, связанным со структурой энергетического баланса. План восстановления и устойчивости </w:t>
      </w:r>
      <w:r>
        <w:rPr>
          <w:rFonts w:ascii="Times New Roman" w:hAnsi="Times New Roman" w:cs="Times New Roman"/>
          <w:sz w:val="28"/>
          <w:szCs w:val="28"/>
        </w:rPr>
        <w:lastRenderedPageBreak/>
        <w:t>Эстонии, утверждённый в 2021 году, предусматривал 953,3 млн евро, или около 3,4% ВВП 2019 года; при этом 21,5% ресурсов было направлено на цифровую трансформацию, а 41,5% - на климатические цели</w:t>
      </w:r>
      <w:r>
        <w:footnoteReference w:id="63"/>
      </w:r>
      <w:r>
        <w:rPr>
          <w:rFonts w:ascii="Times New Roman" w:hAnsi="Times New Roman" w:cs="Times New Roman"/>
          <w:sz w:val="28"/>
          <w:szCs w:val="28"/>
        </w:rPr>
        <w:t>. Это показывает, что адаптация Эстонии была направлена сразу на два блока рисков - цифровую трансформацию и энергетико-климатическую устойчивость.</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Реакция Республики Корея. В 2020 году экономика Республики Корея показала наиболее мягкое падение среди рассматриваемых стран: ВВП снизился лишь на 0,7%, а докризисный уровень экономической активности был восстановлен уже к маю 2021 года. В 2021 году рост ВВП составил 4,6%, что стало наиболее высоким показателем за одиннадцать лет и было связано, в частности, с устойчивым внешним спросом на полупроводники и потребительскую электронику</w:t>
      </w:r>
      <w:r>
        <w:footnoteReference w:id="64"/>
      </w:r>
      <w:r>
        <w:rPr>
          <w:rFonts w:ascii="Times New Roman" w:hAnsi="Times New Roman" w:cs="Times New Roman"/>
          <w:sz w:val="28"/>
          <w:szCs w:val="28"/>
        </w:rPr>
        <w:t>. Такая мягкость спада отражает сочетание трёх факторов: эффективной системы цифрового отслеживания контактов, масштабного фискального стимулирования в рамках Korean New Deal и устойчивости экспортных ИКТ-секторов в условиях роста глобального спроса на цифровые технологии</w:t>
      </w:r>
      <w:r>
        <w:footnoteReference w:id="65"/>
      </w:r>
      <w:r>
        <w:rPr>
          <w:rFonts w:ascii="Times New Roman" w:hAnsi="Times New Roman" w:cs="Times New Roman"/>
          <w:sz w:val="28"/>
          <w:szCs w:val="28"/>
        </w:rPr>
        <w:t>.</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2022 году Республика Корея сохранила положительный рост ВВП на уровне 2,7%, тогда как ряд европейских экономик сильнее ощутил последствия энергетического кризиса. Инфляция достигла пика в июле 2022 года на уровне 6,3%, что стало максимальным значением с ноября 1998 года, однако этот показатель оставался ниже уровней, наблюдавшихся во многих европейских странах</w:t>
      </w:r>
      <w:r>
        <w:footnoteReference w:id="66"/>
      </w:r>
      <w:r>
        <w:rPr>
          <w:rFonts w:ascii="Times New Roman" w:hAnsi="Times New Roman" w:cs="Times New Roman"/>
          <w:sz w:val="28"/>
          <w:szCs w:val="28"/>
        </w:rPr>
        <w:t xml:space="preserve">. В 2023 году прогноз роста ВВП был снижен до 1,4%, </w:t>
      </w:r>
      <w:r>
        <w:rPr>
          <w:rFonts w:ascii="Times New Roman" w:hAnsi="Times New Roman" w:cs="Times New Roman"/>
          <w:sz w:val="28"/>
          <w:szCs w:val="28"/>
        </w:rPr>
        <w:lastRenderedPageBreak/>
        <w:t>что отражало замедление экспортного цикла полупроводников. В этом контексте цифровая трансформация Кореи в рамках Digital New Deal выступила не только инструментом краткосрочной стабилизации в период пандемии, но и механизмом укрепления долгосрочной конкурентоспособности экономики</w:t>
      </w:r>
      <w:r>
        <w:footnoteReference w:id="67"/>
      </w:r>
      <w:r>
        <w:rPr>
          <w:rFonts w:ascii="Times New Roman" w:hAnsi="Times New Roman" w:cs="Times New Roman"/>
          <w:sz w:val="28"/>
          <w:szCs w:val="28"/>
        </w:rPr>
        <w:t>. Это подтверждается улучшением позиции Республики Корея в рейтинге цифровой конкурентоспособности IMD: страна поднялась с 10-го места в 2019 году на 8-е в 2020 году.</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Реакция Сингапура. В 2020 году экономика Сингапура сократилась на 3,9% - что отражало высокую зависимость страны от международной торговли, туризма и трансграничной мобильности. Однако уже в 2021 году ВВП вырос на 7,6%, а в 2022 году - на 3,6%, что подтверждает способность экономики быстро возвращаться на траекторию роста после кризисного шока</w:t>
      </w:r>
      <w:r>
        <w:footnoteReference w:id="68"/>
      </w:r>
      <w:r>
        <w:rPr>
          <w:rFonts w:ascii="Times New Roman" w:hAnsi="Times New Roman" w:cs="Times New Roman"/>
          <w:sz w:val="28"/>
          <w:szCs w:val="28"/>
        </w:rPr>
        <w:t>. Важную роль в этом сыграла быстрая мобилизация цифровой инфраструктуры. В марте 2020 года GovTech в течение восьми недель разработал и запустил приложение TraceTogether - первое в мире национальное цифровое приложение для отслеживания контактов; к началу 2022 года в нём было зарегистрировано более 6,2 млн пользователей</w:t>
      </w:r>
      <w:r>
        <w:footnoteReference w:id="69"/>
      </w:r>
      <w:r>
        <w:rPr>
          <w:rFonts w:ascii="Times New Roman" w:hAnsi="Times New Roman" w:cs="Times New Roman"/>
          <w:sz w:val="28"/>
          <w:szCs w:val="28"/>
        </w:rPr>
        <w:t>.</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Цифровая инфраструктура также усилила санитарное и фискальное реагирование государства. Использование TraceTogether позволило сократить время между выявлением случая заболевания и установлением близких контактов с четырёх дней до менее чем полутора суток</w:t>
      </w:r>
      <w:r>
        <w:footnoteReference w:id="70"/>
      </w:r>
      <w:r>
        <w:rPr>
          <w:rFonts w:ascii="Times New Roman" w:hAnsi="Times New Roman" w:cs="Times New Roman"/>
          <w:sz w:val="28"/>
          <w:szCs w:val="28"/>
        </w:rPr>
        <w:t xml:space="preserve">. Одновременно цифровые системы обеспечили быструю реализацию бюджетной поддержки: </w:t>
      </w:r>
      <w:r>
        <w:rPr>
          <w:rFonts w:ascii="Times New Roman" w:hAnsi="Times New Roman" w:cs="Times New Roman"/>
          <w:sz w:val="28"/>
          <w:szCs w:val="28"/>
        </w:rPr>
        <w:lastRenderedPageBreak/>
        <w:t>в 2020 году правительство Сингапура объявило четыре пакета фискального стимулирования общим объёмом более 20% ВВП 2019 года, включая субсидии на заработную плату до 75% от первых 4600 сингапурских долларов и денежные переводы домохозяйствам</w:t>
      </w:r>
      <w:r>
        <w:footnoteReference w:id="71"/>
      </w:r>
      <w:r>
        <w:rPr>
          <w:rFonts w:ascii="Times New Roman" w:hAnsi="Times New Roman" w:cs="Times New Roman"/>
          <w:sz w:val="28"/>
          <w:szCs w:val="28"/>
        </w:rPr>
        <w:t>. Национальная система цифровой идентификации Singpass и платёжная инфраструктура позволили точнее направлять поддержку населению и бизнесу, сокращая временные лаги и издержки фискальной трансмиссии. В 2022 году инфляция в Сингапуре достигла 6,1%, что потребовало нескольких раундов денежно-кредитного ужесточения со стороны Денежно-кредитного управления Сингапура.</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Реакция Польши. В 2020 году экономика Польши сократилась на 2,0%, что стало одним из наиболее мягких спадов в Европейском союзе - значительно лучше среднего показателя по ЕС на уровне -6,1%</w:t>
      </w:r>
      <w:r>
        <w:footnoteReference w:id="72"/>
      </w:r>
      <w:r>
        <w:rPr>
          <w:rFonts w:ascii="Times New Roman" w:hAnsi="Times New Roman" w:cs="Times New Roman"/>
          <w:sz w:val="28"/>
          <w:szCs w:val="28"/>
        </w:rPr>
        <w:t>. В 2021 году рост ВВП составил 5,9%, а в 2022 году - 4,9% несмотря на войну в Украине, энергетический кризис и рост инфляции</w:t>
      </w:r>
      <w:r>
        <w:footnoteReference w:id="73"/>
      </w:r>
      <w:r>
        <w:rPr>
          <w:rFonts w:ascii="Times New Roman" w:hAnsi="Times New Roman" w:cs="Times New Roman"/>
          <w:sz w:val="28"/>
          <w:szCs w:val="28"/>
        </w:rPr>
        <w:t>. Такая устойчивость объясняется несколькими факторами: крупным внутренним рынком, диверсифицированной структурой экономики, гибким обменным курсом злотого и масштабным пакетом антикризисных мер Tarcza Antykryzysowa объёмом около 55 млрд долларов США. Цифровой компонент также имел значение: расширение функционала mObywatel, интеграция электронных рецептов и цифровых водительских удостоверений в 2020 году помогли сохранить часть административных процедур в дистанционном формате.</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Вместе с тем кризис 2022 года показал более высокую чувствительность Польши к энергетическому и инфляционному шоку. Это </w:t>
      </w:r>
      <w:r>
        <w:rPr>
          <w:rFonts w:ascii="Times New Roman" w:hAnsi="Times New Roman" w:cs="Times New Roman"/>
          <w:sz w:val="28"/>
          <w:szCs w:val="28"/>
        </w:rPr>
        <w:lastRenderedPageBreak/>
        <w:t>было связано с зависимостью от угольной энергетики - одной из самых высоких среди стран Международного энергетического агентства - и долей ископаемого топлива на уровне 85% общего энергоснабжения в 2020 году. Дополнительное давление создали близость к зоне конфликта и значительный приток украинских беженцев. Инфляция в Польше достигла 18,4% в феврале 2023 года</w:t>
      </w:r>
      <w:r>
        <w:footnoteReference w:id="74"/>
      </w:r>
      <w:r>
        <w:rPr>
          <w:rFonts w:ascii="Times New Roman" w:hAnsi="Times New Roman" w:cs="Times New Roman"/>
          <w:sz w:val="28"/>
          <w:szCs w:val="28"/>
        </w:rPr>
        <w:t>. Для смягчения последствий правительство ввело Антиинфляционный щит, включавший снижение НДС на электроэнергию с 23% до 5%, на отопление - с 23% до 8%, а также снижение НДС и акцизов на топливо; общая стоимость этих мер составила около 2,1% ВВП</w:t>
      </w:r>
      <w:r>
        <w:footnoteReference w:id="75"/>
      </w:r>
      <w:r>
        <w:rPr>
          <w:rFonts w:ascii="Times New Roman" w:hAnsi="Times New Roman" w:cs="Times New Roman"/>
          <w:sz w:val="28"/>
          <w:szCs w:val="28"/>
        </w:rPr>
        <w:t>. Сравнение польского и эстонского кейсов показывает, что цифровая зрелость помогает смягчать шоки мобильности и административных ограничений, но не устраняет структурную уязвимость к энергетическим и ценовым потрясениям.</w:t>
      </w:r>
    </w:p>
    <w:p w:rsidR="00D37B22" w:rsidRPr="00E26E25" w:rsidRDefault="00D37B22"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Сравнительный синтез. Сопоставление траекторий четырёх экономик за 2020-2022 годы даёт несколько важных выводов. Во-первых, в период пандемийного шока 2020 года все четыре страны показали более мягкое падение ВВП, чем средний показатель по Европейскому союзу: в Республике Корея снижение составило 0,7%, в Польше - 2,0%, в Эстонии - 3,0%, в Сингапуре - 3,9%, тогда как средний спад по ЕС достиг -6,1%. Это подтверждает, что высокий уровень цифровой зрелости может повышать устойчивость экономик к шокам, связанным с ограничением физической мобильности и административных процессов. Во-вторых, в 2021 году все четыре страны показали быстрое восстановление: наиболее высокие темпы роста - у Эстонии (8,6%) и Сингапура (7,6%), тогда как Польша выросла на 5,9%, а Республика Корея - на 4,6%</w:t>
      </w:r>
      <w:r>
        <w:footnoteReference w:id="76"/>
      </w:r>
      <w:r>
        <w:rPr>
          <w:rFonts w:ascii="Times New Roman" w:hAnsi="Times New Roman" w:cs="Times New Roman"/>
          <w:sz w:val="28"/>
          <w:szCs w:val="28"/>
        </w:rPr>
        <w:t xml:space="preserve">. Такая динамика показывает, что </w:t>
      </w:r>
      <w:r>
        <w:rPr>
          <w:rFonts w:ascii="Times New Roman" w:hAnsi="Times New Roman" w:cs="Times New Roman"/>
          <w:sz w:val="28"/>
          <w:szCs w:val="28"/>
        </w:rPr>
        <w:lastRenderedPageBreak/>
        <w:t>цифровая инфраструктура могла поддержать восстановление деловой активности, государственных сервисов и потребительского спроса. Динамика реального ВВП четырёх рассматриваемых стран в сопоставлении со средним показателем по Европейскому союзу за 2019-2022 годы представлена на рисунке 2.1.</w:t>
      </w:r>
    </w:p>
    <w:p w:rsidR="00D37B22" w:rsidRPr="00E26E25" w:rsidRDefault="00D37B22" w:rsidP="006E53DB">
      <w:p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sz w:val="28"/>
          <w:szCs w:val="28"/>
        </w:rPr>
        <w:t>Рисунок 2.1 Динамика реального валового внутреннего продукта в Эстонии, Республике Корея, Сингапуре и Польше в сопоставлении со средним показателем по Европейскому союзу, 2019-2022 гг., %</w:t>
      </w:r>
    </w:p>
    <w:p w:rsidR="00D37B22" w:rsidRPr="00E26E25" w:rsidRDefault="00D37B22" w:rsidP="006E53DB">
      <w:pPr>
        <w:spacing w:after="0" w:line="360" w:lineRule="auto"/>
        <w:ind w:firstLine="709"/>
        <w:jc w:val="both"/>
        <w:rPr>
          <w:rFonts w:ascii="Times New Roman" w:hAnsi="Times New Roman" w:cs="Times New Roman"/>
          <w:sz w:val="28"/>
          <w:szCs w:val="28"/>
        </w:rPr>
      </w:pPr>
      <w:r w:rsidRPr="00E26E25">
        <w:rPr>
          <w:rFonts w:ascii="Times New Roman" w:hAnsi="Times New Roman" w:cs="Times New Roman"/>
          <w:i/>
          <w:iCs/>
          <w:sz w:val="28"/>
          <w:szCs w:val="28"/>
        </w:rPr>
        <w:t xml:space="preserve">ИсточникЖ составлено автором по данным ШЬА Цщкдв Усщтщьшс Щгедщщл (Фзкшд </w:t>
      </w:r>
      <w:proofErr w:type="gramStart"/>
      <w:r w:rsidRPr="00E26E25">
        <w:rPr>
          <w:rFonts w:ascii="Times New Roman" w:hAnsi="Times New Roman" w:cs="Times New Roman"/>
          <w:i/>
          <w:iCs/>
          <w:sz w:val="28"/>
          <w:szCs w:val="28"/>
        </w:rPr>
        <w:t>2024)б</w:t>
      </w:r>
      <w:proofErr w:type="gramEnd"/>
      <w:r w:rsidRPr="00E26E25">
        <w:rPr>
          <w:rFonts w:ascii="Times New Roman" w:hAnsi="Times New Roman" w:cs="Times New Roman"/>
          <w:i/>
          <w:iCs/>
          <w:sz w:val="28"/>
          <w:szCs w:val="28"/>
        </w:rPr>
        <w:t xml:space="preserve"> Угкщыефею</w:t>
      </w:r>
    </w:p>
    <w:p w:rsidR="00721D4F" w:rsidRPr="00721D4F" w:rsidRDefault="00721D4F" w:rsidP="006E53DB">
      <w:pPr>
        <w:spacing w:after="0" w:line="360" w:lineRule="auto"/>
        <w:ind w:firstLine="709"/>
        <w:jc w:val="both"/>
        <w:rPr>
          <w:rFonts w:ascii="Times New Roman" w:hAnsi="Times New Roman" w:cs="Times New Roman"/>
          <w:sz w:val="28"/>
          <w:szCs w:val="28"/>
        </w:rPr>
      </w:pPr>
      <w:r w:rsidRPr="00721D4F">
        <w:rPr>
          <w:rFonts w:ascii="Times New Roman" w:hAnsi="Times New Roman" w:cs="Times New Roman"/>
          <w:sz w:val="28"/>
          <w:szCs w:val="28"/>
        </w:rPr>
        <w:t>В-третьих, энергетический и инфляционный шок 2022 года показал ограничения цифровой зрелости. Она могла поддерживать государственные сервисы, бизнес-процессы и коммуникации, но не устраняла ценовые уязвимости, связанные со структурой энергетики и внешними рынками. Поэтому Эстония и Польша, более зависимые от ископаемого топлива и региональных энергетических рисков, столкнулись с более высокой инфляцией, чем Республика Корея и Сингапур. Сопоставление пиковых значений потребительской инфляции четырёх стран представлено на рисунке 2.2.</w:t>
      </w:r>
    </w:p>
    <w:p w:rsidR="00721D4F" w:rsidRPr="00721D4F" w:rsidRDefault="00721D4F" w:rsidP="006E53DB">
      <w:pPr>
        <w:spacing w:after="0" w:line="360" w:lineRule="auto"/>
        <w:ind w:firstLine="709"/>
        <w:jc w:val="both"/>
        <w:rPr>
          <w:rFonts w:ascii="Times New Roman" w:hAnsi="Times New Roman" w:cs="Times New Roman"/>
          <w:sz w:val="28"/>
          <w:szCs w:val="28"/>
        </w:rPr>
      </w:pPr>
      <w:r w:rsidRPr="00721D4F">
        <w:rPr>
          <w:rFonts w:ascii="Times New Roman" w:hAnsi="Times New Roman" w:cs="Times New Roman"/>
          <w:sz w:val="28"/>
          <w:szCs w:val="28"/>
        </w:rPr>
        <w:t>Рисунок 2.2 Пиковые значения потребительской инфляции в Эстонии, Польше, Республике Корея и Сингапуре в 2022 году, %</w:t>
      </w:r>
    </w:p>
    <w:p w:rsidR="00721D4F" w:rsidRPr="00721D4F" w:rsidRDefault="00721D4F" w:rsidP="006E53DB">
      <w:pPr>
        <w:spacing w:after="0" w:line="360" w:lineRule="auto"/>
        <w:ind w:firstLine="709"/>
        <w:jc w:val="both"/>
        <w:rPr>
          <w:rFonts w:ascii="Times New Roman" w:hAnsi="Times New Roman" w:cs="Times New Roman"/>
          <w:sz w:val="28"/>
          <w:szCs w:val="28"/>
          <w:lang w:val="en-CA"/>
        </w:rPr>
      </w:pPr>
      <w:r w:rsidRPr="00721D4F">
        <w:rPr>
          <w:rFonts w:ascii="Times New Roman" w:hAnsi="Times New Roman" w:cs="Times New Roman"/>
          <w:i/>
          <w:iCs/>
          <w:sz w:val="28"/>
          <w:szCs w:val="28"/>
        </w:rPr>
        <w:t>Источник</w:t>
      </w:r>
      <w:r w:rsidRPr="00721D4F">
        <w:rPr>
          <w:rFonts w:ascii="Times New Roman" w:hAnsi="Times New Roman" w:cs="Times New Roman"/>
          <w:i/>
          <w:iCs/>
          <w:sz w:val="28"/>
          <w:szCs w:val="28"/>
          <w:lang w:val="en-CA"/>
        </w:rPr>
        <w:t xml:space="preserve">: </w:t>
      </w:r>
      <w:r w:rsidRPr="00721D4F">
        <w:rPr>
          <w:rFonts w:ascii="Times New Roman" w:hAnsi="Times New Roman" w:cs="Times New Roman"/>
          <w:i/>
          <w:iCs/>
          <w:sz w:val="28"/>
          <w:szCs w:val="28"/>
        </w:rPr>
        <w:t>составлено</w:t>
      </w:r>
      <w:r w:rsidRPr="00721D4F">
        <w:rPr>
          <w:rFonts w:ascii="Times New Roman" w:hAnsi="Times New Roman" w:cs="Times New Roman"/>
          <w:i/>
          <w:iCs/>
          <w:sz w:val="28"/>
          <w:szCs w:val="28"/>
          <w:lang w:val="en-CA"/>
        </w:rPr>
        <w:t xml:space="preserve"> </w:t>
      </w:r>
      <w:r w:rsidRPr="00721D4F">
        <w:rPr>
          <w:rFonts w:ascii="Times New Roman" w:hAnsi="Times New Roman" w:cs="Times New Roman"/>
          <w:i/>
          <w:iCs/>
          <w:sz w:val="28"/>
          <w:szCs w:val="28"/>
        </w:rPr>
        <w:t>автором</w:t>
      </w:r>
      <w:r w:rsidRPr="00721D4F">
        <w:rPr>
          <w:rFonts w:ascii="Times New Roman" w:hAnsi="Times New Roman" w:cs="Times New Roman"/>
          <w:i/>
          <w:iCs/>
          <w:sz w:val="28"/>
          <w:szCs w:val="28"/>
          <w:lang w:val="en-CA"/>
        </w:rPr>
        <w:t xml:space="preserve"> </w:t>
      </w:r>
      <w:r w:rsidRPr="00721D4F">
        <w:rPr>
          <w:rFonts w:ascii="Times New Roman" w:hAnsi="Times New Roman" w:cs="Times New Roman"/>
          <w:i/>
          <w:iCs/>
          <w:sz w:val="28"/>
          <w:szCs w:val="28"/>
        </w:rPr>
        <w:t>по</w:t>
      </w:r>
      <w:r w:rsidRPr="00721D4F">
        <w:rPr>
          <w:rFonts w:ascii="Times New Roman" w:hAnsi="Times New Roman" w:cs="Times New Roman"/>
          <w:i/>
          <w:iCs/>
          <w:sz w:val="28"/>
          <w:szCs w:val="28"/>
          <w:lang w:val="en-CA"/>
        </w:rPr>
        <w:t xml:space="preserve"> </w:t>
      </w:r>
      <w:r w:rsidRPr="00721D4F">
        <w:rPr>
          <w:rFonts w:ascii="Times New Roman" w:hAnsi="Times New Roman" w:cs="Times New Roman"/>
          <w:i/>
          <w:iCs/>
          <w:sz w:val="28"/>
          <w:szCs w:val="28"/>
        </w:rPr>
        <w:t>данным</w:t>
      </w:r>
      <w:r w:rsidRPr="00721D4F">
        <w:rPr>
          <w:rFonts w:ascii="Times New Roman" w:hAnsi="Times New Roman" w:cs="Times New Roman"/>
          <w:i/>
          <w:iCs/>
          <w:sz w:val="28"/>
          <w:szCs w:val="28"/>
          <w:lang w:val="en-CA"/>
        </w:rPr>
        <w:t xml:space="preserve"> Eurostat (HICP), Bank of Korea, Monetary Authority of Singapore.</w:t>
      </w:r>
    </w:p>
    <w:p w:rsidR="00721D4F" w:rsidRPr="00721D4F" w:rsidRDefault="00721D4F" w:rsidP="006E53DB">
      <w:pPr>
        <w:spacing w:after="0" w:line="360" w:lineRule="auto"/>
        <w:ind w:firstLine="709"/>
        <w:jc w:val="both"/>
        <w:rPr>
          <w:rFonts w:ascii="Times New Roman" w:hAnsi="Times New Roman" w:cs="Times New Roman"/>
          <w:sz w:val="28"/>
          <w:szCs w:val="28"/>
        </w:rPr>
      </w:pPr>
      <w:r w:rsidRPr="00721D4F">
        <w:rPr>
          <w:rFonts w:ascii="Times New Roman" w:hAnsi="Times New Roman" w:cs="Times New Roman"/>
          <w:sz w:val="28"/>
          <w:szCs w:val="28"/>
        </w:rPr>
        <w:t>В-четвёртых, во всех четырёх странах значительную роль сыграли фискальные меры, реализованные с опорой на цифровую инфраструктуру. Их масштаб различался - от 2,1% ВВП в Польше до более чем 20% ВВП в Сингапуре. Это показывает, что цифровая инфраструктура важна не только для развития электронного государства, но и для более быстрой передачи антикризисной поддержки населению и бизнесу.</w:t>
      </w:r>
    </w:p>
    <w:p w:rsidR="00721D4F" w:rsidRPr="00721D4F" w:rsidRDefault="00721D4F" w:rsidP="006E53DB">
      <w:pPr>
        <w:spacing w:after="0" w:line="360" w:lineRule="auto"/>
        <w:ind w:firstLine="709"/>
        <w:jc w:val="both"/>
        <w:rPr>
          <w:rFonts w:ascii="Times New Roman" w:hAnsi="Times New Roman" w:cs="Times New Roman"/>
          <w:sz w:val="28"/>
          <w:szCs w:val="28"/>
        </w:rPr>
      </w:pPr>
      <w:r w:rsidRPr="00721D4F">
        <w:rPr>
          <w:rFonts w:ascii="Times New Roman" w:hAnsi="Times New Roman" w:cs="Times New Roman"/>
          <w:sz w:val="28"/>
          <w:szCs w:val="28"/>
        </w:rPr>
        <w:lastRenderedPageBreak/>
        <w:t>Полученные наблюдения создают основу для дальнейшего количественного анализа. Для проверки выявленных закономерностей нужно перейти от описательного сравнения стран к статистической оценке связи между цифровизацией и показателями устойчивости национальных экономик. Поэтому следующий параграф посвящён эконометрическому моделированию на панельных данных за 2010-2024 годы.</w:t>
      </w:r>
    </w:p>
    <w:p w:rsidR="00721D4F" w:rsidRPr="00721D4F" w:rsidRDefault="00721D4F" w:rsidP="006E53DB">
      <w:pPr>
        <w:spacing w:after="0" w:line="360" w:lineRule="auto"/>
        <w:ind w:firstLine="709"/>
        <w:jc w:val="both"/>
        <w:rPr>
          <w:rFonts w:ascii="Times New Roman" w:hAnsi="Times New Roman" w:cs="Times New Roman"/>
          <w:sz w:val="28"/>
          <w:szCs w:val="28"/>
        </w:rPr>
      </w:pPr>
      <w:r w:rsidRPr="00721D4F">
        <w:rPr>
          <w:rFonts w:ascii="Times New Roman" w:hAnsi="Times New Roman" w:cs="Times New Roman"/>
          <w:b/>
          <w:bCs/>
          <w:sz w:val="28"/>
          <w:szCs w:val="28"/>
        </w:rPr>
        <w:t>2.3. Эконометрическая оценка влияния цифровизации на устойчивость национальных экономик на основе панельных данных</w:t>
      </w:r>
    </w:p>
    <w:p w:rsidR="00721D4F" w:rsidRPr="00721D4F" w:rsidRDefault="00721D4F"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Сравнительный анализ четырёх стран-лидеров цифровой трансформации в параграфе 2.1 и анализ их реакции на кризисы 2020 и 2022 годов в параграфе 2.2 показали общую закономерность: экономики с более высоким уровнем цифровой зрелости проходили кризисные периоды мягче и быстрее возвращались к росту. В этом параграфе наблюдение проверяется количественно с использованием эконометрической модели на панельных данных. Количественная проверка выдвинутых гипотез осуществлена на несбалансированной панели 49 стран за период 2010-2024 годов с использованием данных Всемирного банка (World Development Indicators)</w:t>
      </w:r>
      <w:r>
        <w:footnoteReference w:id="77"/>
      </w:r>
      <w:r>
        <w:rPr>
          <w:rFonts w:ascii="Times New Roman" w:hAnsi="Times New Roman" w:cs="Times New Roman"/>
          <w:sz w:val="28"/>
          <w:szCs w:val="28"/>
        </w:rPr>
        <w:t>.</w:t>
      </w:r>
    </w:p>
    <w:p w:rsidR="00721D4F" w:rsidRPr="00721D4F" w:rsidRDefault="00721D4F" w:rsidP="006E53DB">
      <w:pPr>
        <w:spacing w:after="0" w:line="360" w:lineRule="auto"/>
        <w:ind w:firstLine="709"/>
        <w:jc w:val="both"/>
        <w:rPr>
          <w:rFonts w:ascii="Times New Roman" w:hAnsi="Times New Roman" w:cs="Times New Roman"/>
          <w:sz w:val="28"/>
          <w:szCs w:val="28"/>
        </w:rPr>
      </w:pPr>
      <w:r w:rsidRPr="00721D4F">
        <w:rPr>
          <w:rFonts w:ascii="Times New Roman" w:hAnsi="Times New Roman" w:cs="Times New Roman"/>
          <w:sz w:val="28"/>
          <w:szCs w:val="28"/>
        </w:rPr>
        <w:t>Исследование строится на двух гипотезах. Основная гипотеза (H₁) предполагает, что уровень цифровизации национальной экономики, выраженный через долю интернет-пользователей, положительно связан с ВВП на душу населения и может смягчать негативное влияние глобальных кризисов. Вспомогательная гипотеза (H₂) состоит в том, что сила и статистическая значимость этого эффекта различаются между тремя группами стран - развитыми, переходными и развивающимися экономиками.</w:t>
      </w:r>
    </w:p>
    <w:p w:rsidR="00721D4F" w:rsidRPr="00721D4F" w:rsidRDefault="00721D4F"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Выборка включает 49 стран, классифицированных на три группы в соответствии с критериями Всемирного банка</w:t>
      </w:r>
      <w:r>
        <w:footnoteReference w:id="78"/>
      </w:r>
      <w:r>
        <w:rPr>
          <w:rFonts w:ascii="Times New Roman" w:hAnsi="Times New Roman" w:cs="Times New Roman"/>
          <w:sz w:val="28"/>
          <w:szCs w:val="28"/>
        </w:rPr>
        <w:t xml:space="preserve"> и методологией ЮНКТАД</w:t>
      </w:r>
      <w:r>
        <w:footnoteReference w:id="79"/>
      </w:r>
      <w:r>
        <w:rPr>
          <w:rFonts w:ascii="Times New Roman" w:hAnsi="Times New Roman" w:cs="Times New Roman"/>
          <w:sz w:val="28"/>
          <w:szCs w:val="28"/>
        </w:rPr>
        <w:t xml:space="preserve">: </w:t>
      </w:r>
      <w:r>
        <w:rPr>
          <w:rFonts w:ascii="Times New Roman" w:hAnsi="Times New Roman" w:cs="Times New Roman"/>
          <w:sz w:val="28"/>
          <w:szCs w:val="28"/>
        </w:rPr>
        <w:lastRenderedPageBreak/>
        <w:t>22 развитых экономики ОЭСР с высоким доходом (ВВП на душу свыше 25 тысяч долларов в ценах 2015 года), 16 переходных экономик (постсоветские и постсоциалистические страны со средним доходом, включая Эстонию, Польшу, Казахстан и Турцию) и 11 развивающихся экономик с низким и нижне-средним доходом (включая Узбекистан, Китай, Индию, Бразилию). После исключения наблюдений с пропущенными значениями итоговая панель содержит 707 наблюдений: 330 - по группе развитых стран, 233 - по переходным экономикам и 144 - по развивающимся экономикам.</w:t>
      </w:r>
    </w:p>
    <w:p w:rsidR="00721D4F" w:rsidRPr="00721D4F" w:rsidRDefault="00721D4F" w:rsidP="006E53DB">
      <w:pPr>
        <w:spacing w:after="0" w:line="360" w:lineRule="auto"/>
        <w:ind w:firstLine="709"/>
        <w:jc w:val="both"/>
        <w:rPr>
          <w:rFonts w:ascii="Times New Roman" w:hAnsi="Times New Roman" w:cs="Times New Roman"/>
          <w:sz w:val="28"/>
          <w:szCs w:val="28"/>
        </w:rPr>
      </w:pPr>
      <w:r w:rsidRPr="00721D4F">
        <w:rPr>
          <w:rFonts w:ascii="Times New Roman" w:hAnsi="Times New Roman" w:cs="Times New Roman"/>
          <w:sz w:val="28"/>
          <w:szCs w:val="28"/>
        </w:rPr>
        <w:t>Зависимая переменная - натуральный логарифм ВВП на душу населения в постоянных ценах 2015 года (NY.GDP.PCAP.KD). Основной регрессор - логарифм доли интернет-пользователей (IT.NET.USER.ZS). Контрольные переменные включают логарифм валового накопления основного капитала (NE.GDI.FTOT.ZS), инфляцию (FP.CPI.TOTL.ZG), безработицу (SL.UEM.TOTL.ZS) и долю экспорта высокотехнологичных товаров (TX.VAL.TECH.MF.ZS). Кризисные периоды идентифицированы через две раздельные дамми-переменные: Crisis_COVID (2020 год) и Crisis_Geo (2022 год). Включение interaction terms log_internet × Crisis_COVID и log_internet × Crisis_Geo позволяет тестировать гипотезу о дифференциальном антикризисном эффекте цифровизации. Спецификация модели оценивается отдельно для каждой из трёх групп стран.</w:t>
      </w:r>
    </w:p>
    <w:p w:rsidR="00721D4F" w:rsidRPr="00721D4F" w:rsidRDefault="00721D4F" w:rsidP="006E53DB">
      <w:pPr>
        <w:spacing w:after="0" w:line="360" w:lineRule="auto"/>
        <w:ind w:firstLine="709"/>
        <w:jc w:val="both"/>
        <w:rPr>
          <w:rFonts w:ascii="Times New Roman" w:hAnsi="Times New Roman" w:cs="Times New Roman"/>
          <w:sz w:val="28"/>
          <w:szCs w:val="28"/>
        </w:rPr>
      </w:pPr>
      <w:r w:rsidRPr="00721D4F">
        <w:rPr>
          <w:rFonts w:ascii="Times New Roman" w:hAnsi="Times New Roman" w:cs="Times New Roman"/>
          <w:sz w:val="28"/>
          <w:szCs w:val="28"/>
        </w:rPr>
        <w:t xml:space="preserve">Описательная статистика по группам стран, представленная в таблице 2.2, показывает заметные различия по основным переменным модели. Средний логарифм ВВП на душу населения составляет 10,694 в группе развитых стран, 9,153 в переходных и 8,480 в развивающихся экономиках - что соответствует примерно 44 000, 9 400 и 4 800 долларов соответственно. Средний уровень интернет-проникновения равен 86,8%, 72,4% и 55,6%, а средняя инфляция в развивающихся экономиках (4,76%) заметно выше, чем в развитых странах (2,06%). Распределение переменных на рисунке 2.3 в виде </w:t>
      </w:r>
      <w:r w:rsidRPr="00721D4F">
        <w:rPr>
          <w:rFonts w:ascii="Times New Roman" w:hAnsi="Times New Roman" w:cs="Times New Roman"/>
          <w:sz w:val="28"/>
          <w:szCs w:val="28"/>
        </w:rPr>
        <w:lastRenderedPageBreak/>
        <w:t>диаграмм размаха подтверждает различия между группами и обосновывает необходимость раздельного эконометрического анализа.</w:t>
      </w:r>
    </w:p>
    <w:p w:rsidR="00721D4F" w:rsidRPr="00721D4F" w:rsidRDefault="00721D4F" w:rsidP="006E53DB">
      <w:pPr>
        <w:spacing w:after="0" w:line="360" w:lineRule="auto"/>
        <w:ind w:firstLine="709"/>
        <w:jc w:val="both"/>
        <w:rPr>
          <w:rFonts w:ascii="Times New Roman" w:hAnsi="Times New Roman" w:cs="Times New Roman"/>
          <w:sz w:val="28"/>
          <w:szCs w:val="28"/>
        </w:rPr>
      </w:pPr>
      <w:r w:rsidRPr="00721D4F">
        <w:rPr>
          <w:rFonts w:ascii="Times New Roman" w:hAnsi="Times New Roman" w:cs="Times New Roman"/>
          <w:sz w:val="28"/>
          <w:szCs w:val="28"/>
        </w:rPr>
        <w:t>Таблица 2.2 - Описательная статистика основных переменных модели по группам стран</w:t>
      </w:r>
    </w:p>
    <w:p w:rsidR="00721D4F" w:rsidRPr="00721D4F" w:rsidRDefault="00721D4F" w:rsidP="006E53DB">
      <w:pPr>
        <w:spacing w:after="0" w:line="360" w:lineRule="auto"/>
        <w:ind w:firstLine="709"/>
        <w:jc w:val="both"/>
        <w:rPr>
          <w:rFonts w:ascii="Times New Roman" w:hAnsi="Times New Roman" w:cs="Times New Roman"/>
          <w:sz w:val="28"/>
          <w:szCs w:val="28"/>
        </w:rPr>
      </w:pPr>
      <w:r w:rsidRPr="00721D4F">
        <w:rPr>
          <w:rFonts w:ascii="Times New Roman" w:hAnsi="Times New Roman" w:cs="Times New Roman"/>
          <w:i/>
          <w:iCs/>
          <w:sz w:val="28"/>
          <w:szCs w:val="28"/>
        </w:rPr>
        <w:t>Источник: составлено автором на основе данных Всемирного банка и результатов обработки в RStudio.</w:t>
      </w:r>
    </w:p>
    <w:p w:rsidR="00721D4F" w:rsidRPr="00721D4F" w:rsidRDefault="00721D4F" w:rsidP="006E53DB">
      <w:pPr>
        <w:spacing w:after="0" w:line="360" w:lineRule="auto"/>
        <w:ind w:firstLine="709"/>
        <w:jc w:val="both"/>
        <w:rPr>
          <w:rFonts w:ascii="Times New Roman" w:hAnsi="Times New Roman" w:cs="Times New Roman"/>
          <w:sz w:val="28"/>
          <w:szCs w:val="28"/>
        </w:rPr>
      </w:pPr>
      <w:r w:rsidRPr="00721D4F">
        <w:rPr>
          <w:rFonts w:ascii="Times New Roman" w:hAnsi="Times New Roman" w:cs="Times New Roman"/>
          <w:sz w:val="28"/>
          <w:szCs w:val="28"/>
        </w:rPr>
        <w:t>Рисунок 2.3 - Boxplot-распределение переменных эконометрической модели по группам стран</w:t>
      </w:r>
    </w:p>
    <w:p w:rsidR="00721D4F" w:rsidRPr="00721D4F" w:rsidRDefault="00721D4F" w:rsidP="006E53DB">
      <w:pPr>
        <w:spacing w:after="0" w:line="360" w:lineRule="auto"/>
        <w:ind w:firstLine="709"/>
        <w:jc w:val="both"/>
        <w:rPr>
          <w:rFonts w:ascii="Times New Roman" w:hAnsi="Times New Roman" w:cs="Times New Roman"/>
          <w:sz w:val="28"/>
          <w:szCs w:val="28"/>
        </w:rPr>
      </w:pPr>
      <w:r w:rsidRPr="00721D4F">
        <w:rPr>
          <w:rFonts w:ascii="Times New Roman" w:hAnsi="Times New Roman" w:cs="Times New Roman"/>
          <w:i/>
          <w:iCs/>
          <w:sz w:val="28"/>
          <w:szCs w:val="28"/>
        </w:rPr>
        <w:t>Источник: составлено автором на основе результатов эконометрического моделирования в RStudio.</w:t>
      </w:r>
    </w:p>
    <w:p w:rsidR="00721D4F" w:rsidRPr="00721D4F" w:rsidRDefault="00721D4F" w:rsidP="006E53DB">
      <w:pPr>
        <w:spacing w:after="0" w:line="360" w:lineRule="auto"/>
        <w:ind w:firstLine="709"/>
        <w:jc w:val="both"/>
        <w:rPr>
          <w:rFonts w:ascii="Times New Roman" w:hAnsi="Times New Roman" w:cs="Times New Roman"/>
          <w:sz w:val="28"/>
          <w:szCs w:val="28"/>
        </w:rPr>
      </w:pPr>
      <w:r w:rsidRPr="00721D4F">
        <w:rPr>
          <w:rFonts w:ascii="Times New Roman" w:hAnsi="Times New Roman" w:cs="Times New Roman"/>
          <w:sz w:val="28"/>
          <w:szCs w:val="28"/>
        </w:rPr>
        <w:t>Необходимость раздельной оценки по группам стран дополнительно подтверждается тестом Чоу на структурную однородность, результаты которого представлены в таблице 2.3. Значение F-статистики составило 5,3377 (df₁ = 18; df₂ = 631; p = 1,151 × 10⁻¹¹), что позволяет отвергнуть нулевую гипотезу об одинаковости коэффициентов между тремя группами стран на уровне значимости менее 0,001. Оценка единой модели по всей выборке дала бы смещённую интерпретацию результатов, поскольку параметры влияния цифровизации на экономический рост различаются между развитыми, переходными и развивающимися экономиками.</w:t>
      </w:r>
    </w:p>
    <w:p w:rsidR="00721D4F" w:rsidRPr="00721D4F" w:rsidRDefault="00721D4F" w:rsidP="006E53DB">
      <w:pPr>
        <w:spacing w:after="0" w:line="360" w:lineRule="auto"/>
        <w:ind w:firstLine="709"/>
        <w:jc w:val="both"/>
        <w:rPr>
          <w:rFonts w:ascii="Times New Roman" w:hAnsi="Times New Roman" w:cs="Times New Roman"/>
          <w:sz w:val="28"/>
          <w:szCs w:val="28"/>
        </w:rPr>
      </w:pPr>
      <w:r w:rsidRPr="00721D4F">
        <w:rPr>
          <w:rFonts w:ascii="Times New Roman" w:hAnsi="Times New Roman" w:cs="Times New Roman"/>
          <w:sz w:val="28"/>
          <w:szCs w:val="28"/>
        </w:rPr>
        <w:t>Таблица 2.3 - Результаты теста Чоу на структурную однородность между группами стран</w:t>
      </w:r>
    </w:p>
    <w:p w:rsidR="00721D4F" w:rsidRPr="00721D4F" w:rsidRDefault="00721D4F" w:rsidP="006E53DB">
      <w:pPr>
        <w:spacing w:after="0" w:line="360" w:lineRule="auto"/>
        <w:ind w:firstLine="709"/>
        <w:jc w:val="both"/>
        <w:rPr>
          <w:rFonts w:ascii="Times New Roman" w:hAnsi="Times New Roman" w:cs="Times New Roman"/>
          <w:sz w:val="28"/>
          <w:szCs w:val="28"/>
        </w:rPr>
      </w:pPr>
      <w:r w:rsidRPr="00721D4F">
        <w:rPr>
          <w:rFonts w:ascii="Times New Roman" w:hAnsi="Times New Roman" w:cs="Times New Roman"/>
          <w:i/>
          <w:iCs/>
          <w:sz w:val="28"/>
          <w:szCs w:val="28"/>
        </w:rPr>
        <w:t>Источник: составлено автором на основе результатов эконометрического моделирования в RStudio.</w:t>
      </w:r>
    </w:p>
    <w:p w:rsidR="00721D4F" w:rsidRPr="00721D4F" w:rsidRDefault="00721D4F"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Выбор между моделями с фиксированными (FE) и случайными (RE) эффектами был сделан на основе теста Хаусмана и дополнительной теоретической аргументации. Формальный тест Хаусмана для группы развитых стран (χ² = 4,576; p = 0,87) и переходных экономик (χ² = 1,363; p = 0,998) указывает на допустимость RE-модели. В группе развивающихся экономик RE-модель не была идентифицирована из-за сингулярной матрицы - это связано с небольшим размером подвыборки: 144 наблюдения на 11 </w:t>
      </w:r>
      <w:r>
        <w:rPr>
          <w:rFonts w:ascii="Times New Roman" w:hAnsi="Times New Roman" w:cs="Times New Roman"/>
          <w:sz w:val="28"/>
          <w:szCs w:val="28"/>
        </w:rPr>
        <w:lastRenderedPageBreak/>
        <w:t>стран при 9 переменных. Тем не менее во всех трёх группах используется FE-модель по четырём причинам. Во-первых, это обеспечивает сопоставимость результатов между группами. Во-вторых, страновая гетерогенность - качество институтов, географическое положение, историческая траектория развития - с высокой вероятностью коррелирует с уровнем цифровизации, что делает FE состоятельным, а RE - несостоятельным. В-третьих, диагностика остатков показала чувствительность теста Хаусмана к гетероскедастичности, что может завышать p-value</w:t>
      </w:r>
      <w:r>
        <w:footnoteReference w:id="80"/>
      </w:r>
      <w:r>
        <w:rPr>
          <w:rFonts w:ascii="Times New Roman" w:hAnsi="Times New Roman" w:cs="Times New Roman"/>
          <w:sz w:val="28"/>
          <w:szCs w:val="28"/>
        </w:rPr>
        <w:t>. В-четвёртых, в панельных исследованиях межстрановых различий в цифровизации модель с фиксированными эффектами является более надёжным выбором.</w:t>
      </w:r>
    </w:p>
    <w:p w:rsidR="00721D4F" w:rsidRPr="00721D4F" w:rsidRDefault="00721D4F"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Диагностика остатков проводилась отдельно для каждой группы стран. Тест Бройша-Пагана выявил гетероскедастичность в группах развитых экономик (BP = 87,210; p = 5,9 × 10⁻¹⁵) и переходных экономик (BP = 38,888; p = 1,21 × 10⁻⁵), тогда как в группе развивающихся стран гомоскедастичность не отвергается (BP = 11,790; p = 0,225). Тест Вулдриджа показал наличие серийной автокорреляции во всех трёх группах (p </w:t>
      </w:r>
      <w:proofErr w:type="gramStart"/>
      <w:r>
        <w:rPr>
          <w:rFonts w:ascii="Times New Roman" w:hAnsi="Times New Roman" w:cs="Times New Roman"/>
          <w:sz w:val="28"/>
          <w:szCs w:val="28"/>
        </w:rPr>
        <w:t>&lt; 2</w:t>
      </w:r>
      <w:proofErr w:type="gramEnd"/>
      <w:r>
        <w:rPr>
          <w:rFonts w:ascii="Times New Roman" w:hAnsi="Times New Roman" w:cs="Times New Roman"/>
          <w:sz w:val="28"/>
          <w:szCs w:val="28"/>
        </w:rPr>
        <w:t xml:space="preserve"> × 10⁻¹⁶). Выявленная гетероскедастичность и автокорреляция обосновывают применение кластеризованных по странам стандартных ошибок HC1 во всех спецификациях модели</w:t>
      </w:r>
      <w:r>
        <w:footnoteReference w:id="81"/>
      </w:r>
      <w:r>
        <w:rPr>
          <w:rFonts w:ascii="Times New Roman" w:hAnsi="Times New Roman" w:cs="Times New Roman"/>
          <w:sz w:val="28"/>
          <w:szCs w:val="28"/>
        </w:rPr>
        <w:t>. Итоговые результаты оценки FE-моделей представлены в таблице 2.4.</w:t>
      </w:r>
    </w:p>
    <w:p w:rsidR="00721D4F" w:rsidRPr="00721D4F" w:rsidRDefault="00721D4F" w:rsidP="006E53DB">
      <w:pPr>
        <w:spacing w:after="0" w:line="360" w:lineRule="auto"/>
        <w:ind w:firstLine="709"/>
        <w:jc w:val="both"/>
        <w:rPr>
          <w:rFonts w:ascii="Times New Roman" w:hAnsi="Times New Roman" w:cs="Times New Roman"/>
          <w:sz w:val="28"/>
          <w:szCs w:val="28"/>
        </w:rPr>
      </w:pPr>
      <w:r w:rsidRPr="00721D4F">
        <w:rPr>
          <w:rFonts w:ascii="Times New Roman" w:hAnsi="Times New Roman" w:cs="Times New Roman"/>
          <w:sz w:val="28"/>
          <w:szCs w:val="28"/>
        </w:rPr>
        <w:t>Таблица 2.4 - Результаты оценки FE-моделей по группам стран</w:t>
      </w:r>
    </w:p>
    <w:p w:rsidR="00721D4F" w:rsidRPr="00721D4F" w:rsidRDefault="00721D4F" w:rsidP="006E53DB">
      <w:pPr>
        <w:spacing w:after="0" w:line="360" w:lineRule="auto"/>
        <w:ind w:firstLine="709"/>
        <w:jc w:val="both"/>
        <w:rPr>
          <w:rFonts w:ascii="Times New Roman" w:hAnsi="Times New Roman" w:cs="Times New Roman"/>
          <w:sz w:val="28"/>
          <w:szCs w:val="28"/>
        </w:rPr>
      </w:pPr>
      <w:r w:rsidRPr="00721D4F">
        <w:rPr>
          <w:rFonts w:ascii="Times New Roman" w:hAnsi="Times New Roman" w:cs="Times New Roman"/>
          <w:i/>
          <w:iCs/>
          <w:sz w:val="28"/>
          <w:szCs w:val="28"/>
        </w:rPr>
        <w:t>Источник: составлено автором на основе результатов эконометрического моделирования в RStudio.</w:t>
      </w:r>
    </w:p>
    <w:p w:rsidR="00721D4F" w:rsidRPr="00721D4F" w:rsidRDefault="00721D4F" w:rsidP="006E53DB">
      <w:pPr>
        <w:spacing w:after="0" w:line="360" w:lineRule="auto"/>
        <w:ind w:firstLine="709"/>
        <w:jc w:val="both"/>
        <w:rPr>
          <w:rFonts w:ascii="Times New Roman" w:hAnsi="Times New Roman" w:cs="Times New Roman"/>
          <w:sz w:val="28"/>
          <w:szCs w:val="28"/>
        </w:rPr>
      </w:pPr>
      <w:r w:rsidRPr="00721D4F">
        <w:rPr>
          <w:rFonts w:ascii="Times New Roman" w:hAnsi="Times New Roman" w:cs="Times New Roman"/>
          <w:sz w:val="28"/>
          <w:szCs w:val="28"/>
        </w:rPr>
        <w:t xml:space="preserve">Результаты FE-модели для группы развитых стран (22 страны, 330 наблюдений) показывают, что цифровизация влияет как на общий уровень экономического роста, так и на реакцию экономики в кризисные периоды. </w:t>
      </w:r>
      <w:r w:rsidRPr="00721D4F">
        <w:rPr>
          <w:rFonts w:ascii="Times New Roman" w:hAnsi="Times New Roman" w:cs="Times New Roman"/>
          <w:sz w:val="28"/>
          <w:szCs w:val="28"/>
        </w:rPr>
        <w:lastRenderedPageBreak/>
        <w:t>Коэффициент при log_internet составил β = 0,2117 (p = 0,050), что указывает на положительную эластичность: рост интернет-проникновения на 1% связан с увеличением ВВП на душу населения примерно на 0,21% при прочих равных условиях. Коэффициент при Crisis_COVID равен β = -1,7942 (p = 0,002), отражая значительное отрицательное воздействие пандемийного шока. При этом interaction term log_internet × Crisis_COVID положителен и статистически значим: β = 0,3940 (p = 0,003) - это говорит о смягчающей роли цифровизации в период пандемии. Аналогично</w:t>
      </w:r>
      <w:r w:rsidRPr="00721D4F">
        <w:rPr>
          <w:rFonts w:ascii="Times New Roman" w:hAnsi="Times New Roman" w:cs="Times New Roman"/>
          <w:sz w:val="28"/>
          <w:szCs w:val="28"/>
          <w:lang w:val="en-CA"/>
        </w:rPr>
        <w:t xml:space="preserve">, interaction term log_internet × Crisis_Geo </w:t>
      </w:r>
      <w:r w:rsidRPr="00721D4F">
        <w:rPr>
          <w:rFonts w:ascii="Times New Roman" w:hAnsi="Times New Roman" w:cs="Times New Roman"/>
          <w:sz w:val="28"/>
          <w:szCs w:val="28"/>
        </w:rPr>
        <w:t>также</w:t>
      </w:r>
      <w:r w:rsidRPr="00721D4F">
        <w:rPr>
          <w:rFonts w:ascii="Times New Roman" w:hAnsi="Times New Roman" w:cs="Times New Roman"/>
          <w:sz w:val="28"/>
          <w:szCs w:val="28"/>
          <w:lang w:val="en-CA"/>
        </w:rPr>
        <w:t xml:space="preserve"> </w:t>
      </w:r>
      <w:r w:rsidRPr="00721D4F">
        <w:rPr>
          <w:rFonts w:ascii="Times New Roman" w:hAnsi="Times New Roman" w:cs="Times New Roman"/>
          <w:sz w:val="28"/>
          <w:szCs w:val="28"/>
        </w:rPr>
        <w:t>значим</w:t>
      </w:r>
      <w:r w:rsidRPr="00721D4F">
        <w:rPr>
          <w:rFonts w:ascii="Times New Roman" w:hAnsi="Times New Roman" w:cs="Times New Roman"/>
          <w:sz w:val="28"/>
          <w:szCs w:val="28"/>
          <w:lang w:val="en-CA"/>
        </w:rPr>
        <w:t xml:space="preserve">: </w:t>
      </w:r>
      <w:r w:rsidRPr="00721D4F">
        <w:rPr>
          <w:rFonts w:ascii="Times New Roman" w:hAnsi="Times New Roman" w:cs="Times New Roman"/>
          <w:sz w:val="28"/>
          <w:szCs w:val="28"/>
        </w:rPr>
        <w:t>β</w:t>
      </w:r>
      <w:r w:rsidRPr="00721D4F">
        <w:rPr>
          <w:rFonts w:ascii="Times New Roman" w:hAnsi="Times New Roman" w:cs="Times New Roman"/>
          <w:sz w:val="28"/>
          <w:szCs w:val="28"/>
          <w:lang w:val="en-CA"/>
        </w:rPr>
        <w:t xml:space="preserve"> = 0,3943 (p = 0,020). </w:t>
      </w:r>
      <w:r w:rsidRPr="00721D4F">
        <w:rPr>
          <w:rFonts w:ascii="Times New Roman" w:hAnsi="Times New Roman" w:cs="Times New Roman"/>
          <w:sz w:val="28"/>
          <w:szCs w:val="28"/>
        </w:rPr>
        <w:t>Следовательно, в развитых странах более высокий уровень интернет-проникновения был связан с меньшим негативным эффектом кризисов 2020 и 2022 годов.</w:t>
      </w:r>
    </w:p>
    <w:p w:rsidR="00721D4F" w:rsidRPr="00721D4F" w:rsidRDefault="00721D4F" w:rsidP="006E53DB">
      <w:pPr>
        <w:spacing w:after="0" w:line="360" w:lineRule="auto"/>
        <w:ind w:firstLine="709"/>
        <w:jc w:val="both"/>
        <w:rPr>
          <w:rFonts w:ascii="Times New Roman" w:hAnsi="Times New Roman" w:cs="Times New Roman"/>
          <w:sz w:val="28"/>
          <w:szCs w:val="28"/>
        </w:rPr>
      </w:pPr>
      <w:r w:rsidRPr="00721D4F">
        <w:rPr>
          <w:rFonts w:ascii="Times New Roman" w:hAnsi="Times New Roman" w:cs="Times New Roman"/>
          <w:sz w:val="28"/>
          <w:szCs w:val="28"/>
        </w:rPr>
        <w:t xml:space="preserve">Для группы переходных экономик (16 стран, 233 наблюдения) основной эффект цифровизации оказался наиболее выраженным: коэффициент при log_internet составил β = 0,3085 (p </w:t>
      </w:r>
      <w:proofErr w:type="gramStart"/>
      <w:r w:rsidRPr="00721D4F">
        <w:rPr>
          <w:rFonts w:ascii="Times New Roman" w:hAnsi="Times New Roman" w:cs="Times New Roman"/>
          <w:sz w:val="28"/>
          <w:szCs w:val="28"/>
        </w:rPr>
        <w:t>&lt; 0,001</w:t>
      </w:r>
      <w:proofErr w:type="gramEnd"/>
      <w:r w:rsidRPr="00721D4F">
        <w:rPr>
          <w:rFonts w:ascii="Times New Roman" w:hAnsi="Times New Roman" w:cs="Times New Roman"/>
          <w:sz w:val="28"/>
          <w:szCs w:val="28"/>
        </w:rPr>
        <w:t>). Рост интернет-проникновения на 1% связан с увеличением ВВП на душу населения примерно на 0,31% при прочих равных условиях. Однако кризисные interaction terms статистически незначимы: β_covid = 0,1105 (p = 0,661), β_geo = -0,1252 (p = 0,456). В переходных экономиках цифровизация выступает скорее устойчивым фактором роста, чем подтверждённым антикризисным буфером. Отрицательный знак коэффициента при геополитическом кризисе может быть связан со спецификой выборки - она включает страны, непосредственно затронутые шоком 2022 года, когда цифровизация не могла компенсировать структурные потери от разрыва торговых и энергетических цепочек.</w:t>
      </w:r>
    </w:p>
    <w:p w:rsidR="00721D4F" w:rsidRPr="00721D4F" w:rsidRDefault="00721D4F" w:rsidP="006E53DB">
      <w:pPr>
        <w:spacing w:after="0" w:line="360" w:lineRule="auto"/>
        <w:ind w:firstLine="709"/>
        <w:jc w:val="both"/>
        <w:rPr>
          <w:rFonts w:ascii="Times New Roman" w:hAnsi="Times New Roman" w:cs="Times New Roman"/>
          <w:sz w:val="28"/>
          <w:szCs w:val="28"/>
        </w:rPr>
      </w:pPr>
      <w:r w:rsidRPr="00721D4F">
        <w:rPr>
          <w:rFonts w:ascii="Times New Roman" w:hAnsi="Times New Roman" w:cs="Times New Roman"/>
          <w:sz w:val="28"/>
          <w:szCs w:val="28"/>
        </w:rPr>
        <w:t xml:space="preserve">Для группы развивающихся экономик, включающей Узбекистан (11 стран, 144 наблюдения), основной эффект цифровизации также положителен и статистически значим: β = 0,1978 (p </w:t>
      </w:r>
      <w:proofErr w:type="gramStart"/>
      <w:r w:rsidRPr="00721D4F">
        <w:rPr>
          <w:rFonts w:ascii="Times New Roman" w:hAnsi="Times New Roman" w:cs="Times New Roman"/>
          <w:sz w:val="28"/>
          <w:szCs w:val="28"/>
        </w:rPr>
        <w:t>&lt; 0,001</w:t>
      </w:r>
      <w:proofErr w:type="gramEnd"/>
      <w:r w:rsidRPr="00721D4F">
        <w:rPr>
          <w:rFonts w:ascii="Times New Roman" w:hAnsi="Times New Roman" w:cs="Times New Roman"/>
          <w:sz w:val="28"/>
          <w:szCs w:val="28"/>
        </w:rPr>
        <w:t xml:space="preserve">). Рост интернет-проникновения на 1% связан с увеличением ВВП на душу населения примерно на 0,20% при прочих равных условиях. При этом кризисные interaction terms незначимы: β_covid = 0,0184 (p = 0,697), β_geo = 0,0457 (p = 0,641). При текущем уровне цифровой зрелости развивающихся экономик цифровизация уже </w:t>
      </w:r>
      <w:r w:rsidRPr="00721D4F">
        <w:rPr>
          <w:rFonts w:ascii="Times New Roman" w:hAnsi="Times New Roman" w:cs="Times New Roman"/>
          <w:sz w:val="28"/>
          <w:szCs w:val="28"/>
        </w:rPr>
        <w:lastRenderedPageBreak/>
        <w:t>поддерживает экономический рост, но пока не даёт устойчивого буферного эффекта при внешних шоках. Для Узбекистана это означает, что расширение цифрового доступа само по себе даёт положительный эффект, однако для смягчения внешних шоков нужен более высокий уровень цифровой инфраструктуры, институциональной интеграции и использования цифровых технологий в бизнесе. Дополнительно стоит учитывать ограничение статистической мощности: 144 наблюдения по 11 странам при 9 переменных снижают вероятность выявления слабых эффектов.</w:t>
      </w:r>
    </w:p>
    <w:p w:rsidR="00721D4F" w:rsidRPr="00721D4F" w:rsidRDefault="00721D4F" w:rsidP="006E53DB">
      <w:pPr>
        <w:spacing w:after="0" w:line="360" w:lineRule="auto"/>
        <w:ind w:firstLine="709"/>
        <w:jc w:val="both"/>
        <w:rPr>
          <w:rFonts w:ascii="Times New Roman" w:hAnsi="Times New Roman" w:cs="Times New Roman"/>
          <w:sz w:val="28"/>
          <w:szCs w:val="28"/>
        </w:rPr>
      </w:pPr>
      <w:r w:rsidRPr="00721D4F">
        <w:rPr>
          <w:rFonts w:ascii="Times New Roman" w:hAnsi="Times New Roman" w:cs="Times New Roman"/>
          <w:sz w:val="28"/>
          <w:szCs w:val="28"/>
        </w:rPr>
        <w:t>Визуальное сопоставление интернет-проникновения и ВВП на душу населения в кризисные годы представлено на рисунке 2.4. Этот рисунок дополняет результаты FE-моделей: развитые экономики находятся в зоне более высоких значений интернет-проникновения и ВВП на душу населения, тогда как переходные и развивающиеся страны показывают более неоднородную траекторию цифрово-экономического развития.</w:t>
      </w:r>
    </w:p>
    <w:p w:rsidR="00721D4F" w:rsidRPr="00721D4F" w:rsidRDefault="00721D4F" w:rsidP="006E53DB">
      <w:pPr>
        <w:spacing w:after="0" w:line="360" w:lineRule="auto"/>
        <w:ind w:firstLine="709"/>
        <w:jc w:val="both"/>
        <w:rPr>
          <w:rFonts w:ascii="Times New Roman" w:hAnsi="Times New Roman" w:cs="Times New Roman"/>
          <w:sz w:val="28"/>
          <w:szCs w:val="28"/>
        </w:rPr>
      </w:pPr>
      <w:r w:rsidRPr="00721D4F">
        <w:rPr>
          <w:rFonts w:ascii="Times New Roman" w:hAnsi="Times New Roman" w:cs="Times New Roman"/>
          <w:sz w:val="28"/>
          <w:szCs w:val="28"/>
        </w:rPr>
        <w:t>Рисунок 2.4 - Взаимосвязь между уровнем интернет-проникновения и ВВП на душу населения в кризисные годы по группам стран</w:t>
      </w:r>
    </w:p>
    <w:p w:rsidR="00721D4F" w:rsidRPr="00721D4F" w:rsidRDefault="00721D4F" w:rsidP="006E53DB">
      <w:pPr>
        <w:spacing w:after="0" w:line="360" w:lineRule="auto"/>
        <w:ind w:firstLine="709"/>
        <w:jc w:val="both"/>
        <w:rPr>
          <w:rFonts w:ascii="Times New Roman" w:hAnsi="Times New Roman" w:cs="Times New Roman"/>
          <w:sz w:val="28"/>
          <w:szCs w:val="28"/>
        </w:rPr>
      </w:pPr>
      <w:r w:rsidRPr="00721D4F">
        <w:rPr>
          <w:rFonts w:ascii="Times New Roman" w:hAnsi="Times New Roman" w:cs="Times New Roman"/>
          <w:i/>
          <w:iCs/>
          <w:sz w:val="28"/>
          <w:szCs w:val="28"/>
        </w:rPr>
        <w:t>Источник: составлено автором на основе результатов эконометрического моделирования в RStudio.</w:t>
      </w:r>
    </w:p>
    <w:p w:rsidR="00721D4F" w:rsidRPr="00721D4F" w:rsidRDefault="00721D4F" w:rsidP="006E53DB">
      <w:pPr>
        <w:spacing w:after="0" w:line="360" w:lineRule="auto"/>
        <w:ind w:firstLine="709"/>
        <w:jc w:val="both"/>
        <w:rPr>
          <w:rFonts w:ascii="Times New Roman" w:hAnsi="Times New Roman" w:cs="Times New Roman"/>
          <w:sz w:val="28"/>
          <w:szCs w:val="28"/>
        </w:rPr>
      </w:pPr>
      <w:r w:rsidRPr="00721D4F">
        <w:rPr>
          <w:rFonts w:ascii="Times New Roman" w:hAnsi="Times New Roman" w:cs="Times New Roman"/>
          <w:sz w:val="28"/>
          <w:szCs w:val="28"/>
        </w:rPr>
        <w:t>Полученные коэффициенты позволяют построить условные прогнозные сценарии и сравнить потенциальный эффект дальнейшего роста интернет-проникновения между группами стран. Эти расчёты не являются полноценным макроэкономическим прогнозом - они основаны на предположении неизменности прочих факторов (ceteris paribus) и позволяют оценить относительный вклад цифровизации в динамику ВВП на душу населения. Сводные прогнозные значения по трём группам стран на 2025-2030 годы представлены в таблице 2.5. Детальная интерпретация сценария для Узбекистана и оценка его практического эффекта рассматриваются в §3.3 этой работы.</w:t>
      </w:r>
    </w:p>
    <w:p w:rsidR="00721D4F" w:rsidRPr="00721D4F" w:rsidRDefault="00721D4F" w:rsidP="006E53DB">
      <w:pPr>
        <w:spacing w:after="0" w:line="360" w:lineRule="auto"/>
        <w:ind w:firstLine="709"/>
        <w:jc w:val="both"/>
        <w:rPr>
          <w:rFonts w:ascii="Times New Roman" w:hAnsi="Times New Roman" w:cs="Times New Roman"/>
          <w:sz w:val="28"/>
          <w:szCs w:val="28"/>
        </w:rPr>
      </w:pPr>
      <w:r w:rsidRPr="00721D4F">
        <w:rPr>
          <w:rFonts w:ascii="Times New Roman" w:hAnsi="Times New Roman" w:cs="Times New Roman"/>
          <w:sz w:val="28"/>
          <w:szCs w:val="28"/>
        </w:rPr>
        <w:t>Таблица 2.5 - Прогноз ВВП на душу населения по группам стран на 2025-2030 годы (FE-модели)</w:t>
      </w:r>
    </w:p>
    <w:p w:rsidR="00721D4F" w:rsidRPr="00721D4F" w:rsidRDefault="00721D4F" w:rsidP="006E53DB">
      <w:pPr>
        <w:spacing w:after="0" w:line="360" w:lineRule="auto"/>
        <w:ind w:firstLine="709"/>
        <w:jc w:val="both"/>
        <w:rPr>
          <w:rFonts w:ascii="Times New Roman" w:hAnsi="Times New Roman" w:cs="Times New Roman"/>
          <w:sz w:val="28"/>
          <w:szCs w:val="28"/>
        </w:rPr>
      </w:pPr>
      <w:r w:rsidRPr="00721D4F">
        <w:rPr>
          <w:rFonts w:ascii="Times New Roman" w:hAnsi="Times New Roman" w:cs="Times New Roman"/>
          <w:i/>
          <w:iCs/>
          <w:sz w:val="28"/>
          <w:szCs w:val="28"/>
        </w:rPr>
        <w:lastRenderedPageBreak/>
        <w:t>Источник: составлено автором на основе результатов эконометрического моделирования в RStudio.</w:t>
      </w:r>
    </w:p>
    <w:p w:rsidR="00721D4F" w:rsidRPr="00721D4F" w:rsidRDefault="00721D4F" w:rsidP="006E53DB">
      <w:pPr>
        <w:spacing w:after="0" w:line="360" w:lineRule="auto"/>
        <w:ind w:firstLine="709"/>
        <w:jc w:val="both"/>
        <w:rPr>
          <w:rFonts w:ascii="Times New Roman" w:hAnsi="Times New Roman" w:cs="Times New Roman"/>
          <w:sz w:val="28"/>
          <w:szCs w:val="28"/>
        </w:rPr>
      </w:pPr>
      <w:r w:rsidRPr="00721D4F">
        <w:rPr>
          <w:rFonts w:ascii="Times New Roman" w:hAnsi="Times New Roman" w:cs="Times New Roman"/>
          <w:sz w:val="28"/>
          <w:szCs w:val="28"/>
        </w:rPr>
        <w:t>Проведённый эконометрический анализ на несбалансированной панели 49 стран за 2010-2024 годы (707 наблюдений) даёт несколько выводов. Основная гипотеза (H₁) подтверждается: коэффициент при log_internet положителен и статистически значим во всех трёх группах - β = 0,212 для развитых, β = 0,309 для переходных и β = 0,198 для развивающихся экономик. Вспомогательная гипотеза (H₂) также получает подтверждение: тест Чоу отвергает однородность коэффициентов между группами стран (p = 1,15 × 10⁻¹¹), а антикризисные interaction terms значимы только для развитых стран - β_covid = 0,394 (p = 0,003), β_geo = 0,394 (p = 0,020). Для переходных и развивающихся экономик такие эффекты статистически не подтверждаются. В развивающихся странах, включая Узбекистан, цифровизация пока выступает прежде всего фактором экономического роста, но ещё не выполняет устойчивую функцию макроэкономического стабилизатора. Полученные результаты создают количественную основу для практических рекомендаций, рассматриваемых в параграфах 3.2 и 3.3.</w:t>
      </w:r>
    </w:p>
    <w:p w:rsidR="00721D4F" w:rsidRDefault="00721D4F" w:rsidP="006E53DB">
      <w:pPr>
        <w:spacing w:after="0" w:line="360" w:lineRule="auto"/>
        <w:ind w:firstLine="709"/>
        <w:jc w:val="both"/>
        <w:rPr>
          <w:rFonts w:ascii="Times New Roman" w:hAnsi="Times New Roman" w:cs="Times New Roman"/>
          <w:sz w:val="28"/>
          <w:szCs w:val="28"/>
        </w:rPr>
      </w:pPr>
      <w:r w:rsidRPr="00721D4F">
        <w:rPr>
          <w:rFonts w:ascii="Times New Roman" w:hAnsi="Times New Roman" w:cs="Times New Roman"/>
          <w:b/>
          <w:bCs/>
          <w:sz w:val="28"/>
          <w:szCs w:val="28"/>
        </w:rPr>
        <w:t>Выводы по второй главе.</w:t>
      </w:r>
      <w:r w:rsidRPr="00721D4F">
        <w:rPr>
          <w:rFonts w:ascii="Times New Roman" w:hAnsi="Times New Roman" w:cs="Times New Roman"/>
          <w:sz w:val="28"/>
          <w:szCs w:val="28"/>
        </w:rPr>
        <w:t xml:space="preserve"> Проведённый анализ показал, что цифровизация повышает устойчивость национальных экономик, однако её эффект зависит от типа кризиса и уровня цифровой зрелости страны. В 2020 году Эстония, Республика Корея, Сингапур и Польша показали более мягкое падение ВВП по сравнению со средним показателем ЕС - это связано с развитием цифрового государства, онлайн-сервисов и механизмов адресной поддержки. Кризис 2022 года показал ограничения цифровизации: энергетические и геополитические шоки не компенсируются цифровыми технологиями даже при высоком уровне цифровой инфраструктуры. Эконометрический анализ на панели 49 стран за 2010-2024 годы подтвердил положительную связь между интернет-проникновением и ВВП на душу населения: коэффициент составил β = 0,2117 для развитых экономик, β = 0,3085 для переходных и β = 0,1978 для развивающихся. Тест Чоу подтвердил </w:t>
      </w:r>
      <w:r w:rsidRPr="00721D4F">
        <w:rPr>
          <w:rFonts w:ascii="Times New Roman" w:hAnsi="Times New Roman" w:cs="Times New Roman"/>
          <w:sz w:val="28"/>
          <w:szCs w:val="28"/>
        </w:rPr>
        <w:lastRenderedPageBreak/>
        <w:t>структурные различия между группами стран (p = 1,151 × 10⁻¹¹). Антикризисный буферный эффект цифровизации выявлен только в группе развитых стран: interaction term при COVID-19 составил β = 0,3940 (p = 0,003), при кризисе 2022 года - β = 0,3943 (p = 0,020). Цифровизация выступает фактором роста во всех группах стран, но функцию макроэкономического стабилизатора начинает выполнять только при высоком уровне цифровой зрелости. Для Узбекистана это означает, что расширение интернет-проникновения может усиливать экономический рост, однако для антикризисного эффекта нужна более глубокая цифровизация экономики и частного сектора.</w:t>
      </w:r>
    </w:p>
    <w:p w:rsidR="00EA258C" w:rsidRPr="00BD0E91" w:rsidRDefault="00EA258C" w:rsidP="006E53DB">
      <w:pPr>
        <w:pStyle w:val="1"/>
        <w:spacing w:before="0" w:after="0" w:line="360" w:lineRule="auto"/>
        <w:ind w:firstLine="709"/>
        <w:jc w:val="center"/>
        <w:rPr>
          <w:rFonts w:ascii="Times New Roman" w:hAnsi="Times New Roman" w:cs="Times New Roman"/>
          <w:b/>
          <w:color w:val="auto"/>
          <w:sz w:val="28"/>
          <w:szCs w:val="28"/>
        </w:rPr>
      </w:pPr>
      <w:bookmarkStart w:id="6" w:name="_Toc231398517"/>
      <w:r w:rsidRPr="00BD0E91">
        <w:rPr>
          <w:rFonts w:ascii="Times New Roman" w:hAnsi="Times New Roman" w:cs="Times New Roman"/>
          <w:b/>
          <w:color w:val="auto"/>
          <w:sz w:val="28"/>
          <w:szCs w:val="28"/>
        </w:rPr>
        <w:t>ГЛАВА III. ИСПОЛЬЗОВАНИЕ МЕЖДУНАРОДНОГО ОПЫТА ЦИФРОВИЗАЦИИ В УСЛОВИЯХ РЕСПУБЛИКИ УЗБЕКИСТАН</w:t>
      </w:r>
      <w:bookmarkEnd w:id="6"/>
    </w:p>
    <w:p w:rsidR="00EA258C" w:rsidRPr="00721D4F" w:rsidRDefault="00EA258C" w:rsidP="006E53DB">
      <w:pPr>
        <w:spacing w:after="0" w:line="360" w:lineRule="auto"/>
        <w:ind w:firstLine="709"/>
        <w:jc w:val="both"/>
        <w:rPr>
          <w:rFonts w:ascii="Times New Roman" w:hAnsi="Times New Roman" w:cs="Times New Roman"/>
          <w:sz w:val="28"/>
          <w:szCs w:val="28"/>
        </w:rPr>
      </w:pPr>
    </w:p>
    <w:p w:rsidR="00721D4F" w:rsidRDefault="00721D4F" w:rsidP="006E53DB">
      <w:pPr>
        <w:spacing w:after="0" w:line="360" w:lineRule="auto"/>
        <w:ind w:firstLine="709"/>
        <w:jc w:val="both"/>
        <w:rPr>
          <w:rFonts w:ascii="Times New Roman" w:hAnsi="Times New Roman" w:cs="Times New Roman"/>
          <w:b/>
          <w:bCs/>
          <w:sz w:val="28"/>
          <w:szCs w:val="28"/>
        </w:rPr>
      </w:pPr>
      <w:r w:rsidRPr="00721D4F">
        <w:rPr>
          <w:rFonts w:ascii="Times New Roman" w:hAnsi="Times New Roman" w:cs="Times New Roman"/>
          <w:b/>
          <w:bCs/>
          <w:sz w:val="28"/>
          <w:szCs w:val="28"/>
        </w:rPr>
        <w:t>3.1. Современное состояние цифровой трансформации экономики Узбекистана в рамках Стратегии «Цифровой Узбекистан - 2030»</w:t>
      </w:r>
    </w:p>
    <w:p w:rsidR="00EA258C" w:rsidRPr="00721D4F" w:rsidRDefault="00EA258C" w:rsidP="006E53DB">
      <w:pPr>
        <w:spacing w:after="0" w:line="360" w:lineRule="auto"/>
        <w:ind w:firstLine="709"/>
        <w:jc w:val="both"/>
        <w:rPr>
          <w:rFonts w:ascii="Times New Roman" w:hAnsi="Times New Roman" w:cs="Times New Roman"/>
          <w:sz w:val="28"/>
          <w:szCs w:val="28"/>
        </w:rPr>
      </w:pPr>
    </w:p>
    <w:p w:rsidR="00721D4F" w:rsidRPr="00721D4F" w:rsidRDefault="00721D4F" w:rsidP="006E53DB">
      <w:pPr>
        <w:spacing w:after="0" w:line="360" w:lineRule="auto"/>
        <w:ind w:firstLine="709"/>
        <w:jc w:val="both"/>
        <w:rPr>
          <w:rFonts w:ascii="Times New Roman" w:hAnsi="Times New Roman" w:cs="Times New Roman"/>
          <w:sz w:val="28"/>
          <w:szCs w:val="28"/>
        </w:rPr>
      </w:pPr>
      <w:r w:rsidRPr="00721D4F">
        <w:rPr>
          <w:rFonts w:ascii="Times New Roman" w:hAnsi="Times New Roman" w:cs="Times New Roman"/>
          <w:sz w:val="28"/>
          <w:szCs w:val="28"/>
        </w:rPr>
        <w:t>Сравнительный анализ международного опыта, проведённый во второй главе, и модель пяти каналов влияния цифровизации на устойчивость, сформулированная в первой главе, позволяют перейти к оценке текущего состояния цифровой трансформации Республики Узбекистан. Задача этого параграфа - не просто описать государственные программы, а охарактеризовать стартовую позицию национальной экономики по тем индикаторам, которые использовались при анализе Эстонии, Республики Корея, Сингапура и Польши. Такой подход обеспечивает методологическую сопоставимость и позволяет оценить возможности адаптации международного опыта к условиям Узбекистана.</w:t>
      </w:r>
    </w:p>
    <w:p w:rsidR="00721D4F" w:rsidRPr="00721D4F" w:rsidRDefault="00721D4F"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Стратегия «Цифровой Узбекистан - 2030», утверждённая Указом Президента Республики Узбекистан № УП-6079 от 5 октября 2020 года, определяет основные ориентиры цифровой трансформации национальной </w:t>
      </w:r>
      <w:r>
        <w:rPr>
          <w:rFonts w:ascii="Times New Roman" w:hAnsi="Times New Roman" w:cs="Times New Roman"/>
          <w:sz w:val="28"/>
          <w:szCs w:val="28"/>
        </w:rPr>
        <w:lastRenderedPageBreak/>
        <w:t>экономики</w:t>
      </w:r>
      <w:r>
        <w:footnoteReference w:id="82"/>
      </w:r>
      <w:r>
        <w:rPr>
          <w:rFonts w:ascii="Times New Roman" w:hAnsi="Times New Roman" w:cs="Times New Roman"/>
          <w:sz w:val="28"/>
          <w:szCs w:val="28"/>
        </w:rPr>
        <w:t>. В её рамках в 2023-2024 годах реализовывались программы «Цифровое правительство» и «Цифровой регион», включавшие 300 приоритетных проектов, из них 112 - в сфере цифровизации государственного управления, 51 - в секторах реальной экономики и 137 - в области региональной цифровой трансформации</w:t>
      </w:r>
      <w:r>
        <w:footnoteReference w:id="83"/>
      </w:r>
      <w:r>
        <w:rPr>
          <w:rFonts w:ascii="Times New Roman" w:hAnsi="Times New Roman" w:cs="Times New Roman"/>
          <w:sz w:val="28"/>
          <w:szCs w:val="28"/>
        </w:rPr>
        <w:t>. Стратегия также устанавливает ряд количественных ориентиров: увеличение доли цифровой экономики в ВВП не менее чем в 2,5 раза к 2026 году, расширение экспорта программного обеспечения в 10 раз - до 500 млн долларов США, а также вхождение Узбекистана в число 30 ведущих стран мира по Индексу развития электронного правительства ООН (EGDI) к 2030 году</w:t>
      </w:r>
      <w:r>
        <w:footnoteReference w:id="84"/>
      </w:r>
      <w:r>
        <w:rPr>
          <w:rFonts w:ascii="Times New Roman" w:hAnsi="Times New Roman" w:cs="Times New Roman"/>
          <w:sz w:val="28"/>
          <w:szCs w:val="28"/>
        </w:rPr>
        <w:t>. Эти ориентиры позволяют оценить, насколько фактическая динамика цифровизации Узбекистана соответствует заявленным стратегическим целям.</w:t>
      </w:r>
    </w:p>
    <w:p w:rsidR="00721D4F" w:rsidRPr="00721D4F" w:rsidRDefault="00721D4F"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Оценка международного позиционирования показывает, что Узбекистан заметно продвинулся по ряду композитных индексов, рассмотренных во второй главе. По данным E-Government Survey ООН за 2024 год, Узбекистан занял 63-е место среди 193 стран мира со значением EGDI 0,7999, поднявшись с 69-й позиции в 2022 году, когда значение индекса составляло 0,7265, и впервые вошёл в группу стран с «очень высоким» уровнем развития электронного правительства</w:t>
      </w:r>
      <w:r>
        <w:footnoteReference w:id="85"/>
      </w:r>
      <w:r>
        <w:rPr>
          <w:rFonts w:ascii="Times New Roman" w:hAnsi="Times New Roman" w:cs="Times New Roman"/>
          <w:sz w:val="28"/>
          <w:szCs w:val="28"/>
        </w:rPr>
        <w:t xml:space="preserve">. Целевой показатель EGDI ≥ 0,75, установленный Стратегией на 2025 год, был достигнут раньше срока. Одновременно Узбекистан поднялся на 37 позиций в GovTech Maturity Index </w:t>
      </w:r>
      <w:r>
        <w:rPr>
          <w:rFonts w:ascii="Times New Roman" w:hAnsi="Times New Roman" w:cs="Times New Roman"/>
          <w:sz w:val="28"/>
          <w:szCs w:val="28"/>
        </w:rPr>
        <w:lastRenderedPageBreak/>
        <w:t>Всемирного банка и впервые вошёл в высшую категорию «A»</w:t>
      </w:r>
      <w:r>
        <w:footnoteReference w:id="86"/>
      </w:r>
      <w:r>
        <w:rPr>
          <w:rFonts w:ascii="Times New Roman" w:hAnsi="Times New Roman" w:cs="Times New Roman"/>
          <w:sz w:val="28"/>
          <w:szCs w:val="28"/>
        </w:rPr>
        <w:t>. В Индексе готовности к искусственному интеллекту Oxford Insights страна улучшила позиции: с 87-го места в 2023 году до 70-го в 2024 году и 62-го в 2025 году</w:t>
      </w:r>
      <w:r>
        <w:footnoteReference w:id="87"/>
      </w:r>
      <w:r>
        <w:rPr>
          <w:rFonts w:ascii="Times New Roman" w:hAnsi="Times New Roman" w:cs="Times New Roman"/>
          <w:sz w:val="28"/>
          <w:szCs w:val="28"/>
        </w:rPr>
        <w:t>. Вместе с тем разрыв с цифровыми лидерами сохраняется: по сравнению с Эстонией, занявшей 2-е место в EGDI 2024, отставание Узбекистана составляет 0,1728 пункта индекса и 61 позицию рейтинга.</w:t>
      </w:r>
    </w:p>
    <w:p w:rsidR="00721D4F" w:rsidRPr="00721D4F" w:rsidRDefault="00721D4F"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Состояние цифровой инфраструктуры - базовое условие для реализации пяти каналов влияния цифровизации на устойчивость экономики. В Узбекистане наблюдается расширение сетевой связности, однако по отдельным качественным параметрам - прежде всего скорости передачи данных и развитию фиксированного широкополосного доступа - сохраняется отставание. К началу 2023 года протяжённость волоконно-оптических линий связи в Узбекистане превысила 227 тыс. км</w:t>
      </w:r>
      <w:r>
        <w:footnoteReference w:id="88"/>
      </w:r>
      <w:r>
        <w:rPr>
          <w:rFonts w:ascii="Times New Roman" w:hAnsi="Times New Roman" w:cs="Times New Roman"/>
          <w:sz w:val="28"/>
          <w:szCs w:val="28"/>
        </w:rPr>
        <w:t>. К 2024 году покрытие сетями 4G достигло 97% населения, тогда как покрытие сетями 5G составило лишь 18%</w:t>
      </w:r>
      <w:r>
        <w:footnoteReference w:id="89"/>
      </w:r>
      <w:r>
        <w:rPr>
          <w:rFonts w:ascii="Times New Roman" w:hAnsi="Times New Roman" w:cs="Times New Roman"/>
          <w:sz w:val="28"/>
          <w:szCs w:val="28"/>
        </w:rPr>
        <w:t>. По данным Международного союза электросвязи, уровень проникновения интернета в Узбекистане в 2023 году достиг 89% населения против 83,9% годом ранее, что свидетельствует о быстром расширении цифрового доступа</w:t>
      </w:r>
      <w:r>
        <w:footnoteReference w:id="90"/>
      </w:r>
      <w:r>
        <w:rPr>
          <w:rFonts w:ascii="Times New Roman" w:hAnsi="Times New Roman" w:cs="Times New Roman"/>
          <w:sz w:val="28"/>
          <w:szCs w:val="28"/>
        </w:rPr>
        <w:t>. При этом структура доступа остаётся преимущественно мобильной: подписка на активную мобильную широкополосную связь составила 107%, тогда как фиксированная широкополосная подписка - 30,3%</w:t>
      </w:r>
      <w:r>
        <w:footnoteReference w:id="91"/>
      </w:r>
      <w:r>
        <w:rPr>
          <w:rFonts w:ascii="Times New Roman" w:hAnsi="Times New Roman" w:cs="Times New Roman"/>
          <w:sz w:val="28"/>
          <w:szCs w:val="28"/>
        </w:rPr>
        <w:t xml:space="preserve">. Согласно Speedtest Global Index, к </w:t>
      </w:r>
      <w:r>
        <w:rPr>
          <w:rFonts w:ascii="Times New Roman" w:hAnsi="Times New Roman" w:cs="Times New Roman"/>
          <w:sz w:val="28"/>
          <w:szCs w:val="28"/>
        </w:rPr>
        <w:lastRenderedPageBreak/>
        <w:t>началу 2025 года медианная скорость загрузки в фиксированной сети достигла 79 Мбит/с, увеличившись на 43% за год, а в мобильной сети - 38 Мбит/с, увеличившись на 53%</w:t>
      </w:r>
      <w:r>
        <w:footnoteReference w:id="92"/>
      </w:r>
      <w:r>
        <w:rPr>
          <w:rFonts w:ascii="Times New Roman" w:hAnsi="Times New Roman" w:cs="Times New Roman"/>
          <w:sz w:val="28"/>
          <w:szCs w:val="28"/>
        </w:rPr>
        <w:t>. В целом Узбекистан уже сформировал базовую цифровую инфраструктуру, но следующий этап требует повышения качества связи, расширения 5G-покрытия и развития фиксированного широкополосного доступа.</w:t>
      </w:r>
    </w:p>
    <w:p w:rsidR="00721D4F" w:rsidRPr="00721D4F" w:rsidRDefault="00721D4F"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Оценка информационно-коммуникационного сектора важна для анализа пятого канала - устойчивости самого ИКТ-сектора как отдельного компонента национальной экономики. В случае Узбекистана этот сектор растёт быстро, хотя его доля в структуре экономики пока остаётся небольшой. По данным Агентства государственной статистики Республики Узбекистан, в 2024 году ВВП страны в текущих ценах составил 1 454,6 трлн сумов, или 114,96 млрд долларов США, увеличившись на 6,5% в реальном выражении; при этом доля услуг информации и связи в валовой добавленной стоимости достигла 2,4%</w:t>
      </w:r>
      <w:r>
        <w:footnoteReference w:id="93"/>
      </w:r>
      <w:r>
        <w:rPr>
          <w:rFonts w:ascii="Times New Roman" w:hAnsi="Times New Roman" w:cs="Times New Roman"/>
          <w:sz w:val="28"/>
          <w:szCs w:val="28"/>
        </w:rPr>
        <w:t>. Внутри сектора основная часть добавленной стоимости приходится на телекоммуникационные услуги, компьютерное программирование и связанные консультационные услуги, тогда как хостинг, обработка данных, разработка программного обеспечения и ремонт оборудования занимают меньшую долю. Темп роста сектора информации и связи в 2024 году составил 24,7% в реальном выражении, что значительно превысило общий темп роста ВВП</w:t>
      </w:r>
      <w:r>
        <w:footnoteReference w:id="94"/>
      </w:r>
      <w:r>
        <w:rPr>
          <w:rFonts w:ascii="Times New Roman" w:hAnsi="Times New Roman" w:cs="Times New Roman"/>
          <w:sz w:val="28"/>
          <w:szCs w:val="28"/>
        </w:rPr>
        <w:t xml:space="preserve">. Это позволяет рассматривать ИКТ-сектор как один из наиболее динамичных элементов экономики. Вместе с тем сравнение со странами ОЭСР, где доля ИКТ-сектора в валовой добавленной </w:t>
      </w:r>
      <w:r>
        <w:rPr>
          <w:rFonts w:ascii="Times New Roman" w:hAnsi="Times New Roman" w:cs="Times New Roman"/>
          <w:sz w:val="28"/>
          <w:szCs w:val="28"/>
        </w:rPr>
        <w:lastRenderedPageBreak/>
        <w:t>стоимости в 2023 году в среднем составила 6,2%, показывает, что Узбекистан пока находится на раннем этапе формирования цифровой экономики.</w:t>
      </w:r>
    </w:p>
    <w:p w:rsidR="00721D4F" w:rsidRPr="00721D4F" w:rsidRDefault="00721D4F"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Развитие IT Park Узбекистана отражает формирование институциональной базы для экспортно-ориентированного ИКТ-сектора. Созданный в 2019 году, к концу 2024 года IT Park объединял более 2 500 компаний-резидентов и около 11 тыс. работников</w:t>
      </w:r>
      <w:r>
        <w:footnoteReference w:id="95"/>
      </w:r>
      <w:r>
        <w:rPr>
          <w:rFonts w:ascii="Times New Roman" w:hAnsi="Times New Roman" w:cs="Times New Roman"/>
          <w:sz w:val="28"/>
          <w:szCs w:val="28"/>
        </w:rPr>
        <w:t>. Экспорт ИКТ-услуг, по данным Министерства цифровых технологий, увеличился с 50 млн долларов США в 2015 году до 344 млн долларов США в 2023 году</w:t>
      </w:r>
      <w:r>
        <w:footnoteReference w:id="96"/>
      </w:r>
      <w:r>
        <w:rPr>
          <w:rFonts w:ascii="Times New Roman" w:hAnsi="Times New Roman" w:cs="Times New Roman"/>
          <w:sz w:val="28"/>
          <w:szCs w:val="28"/>
        </w:rPr>
        <w:t>. Оценки за 2024 год различаются в зависимости от источника и методологии учёта: в одних источниках указывается 620 млн долларов США, в других - 1,15 млрд долларов США</w:t>
      </w:r>
      <w:r>
        <w:footnoteReference w:id="97"/>
      </w:r>
      <w:r>
        <w:rPr>
          <w:rFonts w:ascii="Times New Roman" w:hAnsi="Times New Roman" w:cs="Times New Roman"/>
          <w:sz w:val="28"/>
          <w:szCs w:val="28"/>
        </w:rPr>
        <w:t>. Поэтому важнее смотреть не на отдельную оценку, а на общую динамику: экспорт ИКТ-услуг устойчиво растёт, что подтверждает усиление роли IT Park как институционального центра цифровой экономики Узбекистана.</w:t>
      </w:r>
    </w:p>
    <w:p w:rsidR="00427CD1" w:rsidRPr="00427CD1" w:rsidRDefault="00427CD1"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Цифровизация финансовой системы - одно из наиболее быстро развивающихся направлений цифровой трансформации Узбекистана, создающее основу для канала фискальной трансмиссии. По данным отчёта Mastercard «Fintech Market Uzbekistan» за 2023 год, число пользователей удалённых банковских услуг увеличилось с примерно 8 млн человек в 2018 году до 30 млн человек в 2022 году</w:t>
      </w:r>
      <w:r>
        <w:footnoteReference w:id="98"/>
      </w:r>
      <w:r>
        <w:rPr>
          <w:rFonts w:ascii="Times New Roman" w:hAnsi="Times New Roman" w:cs="Times New Roman"/>
          <w:sz w:val="28"/>
          <w:szCs w:val="28"/>
        </w:rPr>
        <w:t xml:space="preserve">. В 2020-2022 годах объём транзакций </w:t>
      </w:r>
      <w:r>
        <w:rPr>
          <w:rFonts w:ascii="Times New Roman" w:hAnsi="Times New Roman" w:cs="Times New Roman"/>
          <w:sz w:val="28"/>
          <w:szCs w:val="28"/>
        </w:rPr>
        <w:lastRenderedPageBreak/>
        <w:t>через системы QR-онлайн рос в среднем на 119%</w:t>
      </w:r>
      <w:r>
        <w:footnoteReference w:id="99"/>
      </w:r>
      <w:r>
        <w:t xml:space="preserve"> в год, а совокупная стоимость операций увеличилась примерно в 15 раз</w:t>
      </w:r>
      <w:r>
        <w:footnoteReference w:id="100"/>
      </w:r>
      <w:r>
        <w:rPr>
          <w:rFonts w:ascii="Times New Roman" w:hAnsi="Times New Roman" w:cs="Times New Roman"/>
          <w:sz w:val="28"/>
          <w:szCs w:val="28"/>
        </w:rPr>
        <w:t>. К началу 2024 года в обращении находилось более 5,6 млн держателей платёжных карт, число клиентов интернет-банкинга превысило 900 тыс., а на 100 тыс. населения приходилось 28,3 банкомата и 552,5 POS-терминала</w:t>
      </w:r>
      <w:r>
        <w:footnoteReference w:id="101"/>
      </w:r>
      <w:r>
        <w:rPr>
          <w:rFonts w:ascii="Times New Roman" w:hAnsi="Times New Roman" w:cs="Times New Roman"/>
          <w:sz w:val="28"/>
          <w:szCs w:val="28"/>
        </w:rPr>
        <w:t>. Совокупный объём транзакций через межбанковскую систему в 2024 году превысил 7 279 трлн сумов</w:t>
      </w:r>
      <w:r>
        <w:footnoteReference w:id="102"/>
      </w:r>
      <w:r>
        <w:rPr>
          <w:rFonts w:ascii="Times New Roman" w:hAnsi="Times New Roman" w:cs="Times New Roman"/>
          <w:sz w:val="28"/>
          <w:szCs w:val="28"/>
        </w:rPr>
        <w:t>. Эти данные показывают, что цифровые финансы в Узбекистане уже формируют инфраструктурную базу для более быстрой передачи государственных выплат, поддержки бизнеса и антикризисных мер - что во второй главе рассматривалось на примере Сингапура и Республики Корея.</w:t>
      </w:r>
    </w:p>
    <w:p w:rsidR="00427CD1" w:rsidRPr="00427CD1" w:rsidRDefault="00427CD1" w:rsidP="006E53DB">
      <w:pPr>
        <w:spacing w:after="0" w:line="360" w:lineRule="auto"/>
        <w:ind w:firstLine="709"/>
        <w:jc w:val="both"/>
        <w:rPr>
          <w:rFonts w:ascii="Times New Roman" w:hAnsi="Times New Roman" w:cs="Times New Roman"/>
          <w:sz w:val="28"/>
          <w:szCs w:val="28"/>
        </w:rPr>
      </w:pPr>
      <w:r w:rsidRPr="00427CD1">
        <w:rPr>
          <w:rFonts w:ascii="Times New Roman" w:hAnsi="Times New Roman" w:cs="Times New Roman"/>
          <w:sz w:val="28"/>
          <w:szCs w:val="28"/>
        </w:rPr>
        <w:t>Систематизация рассмотренных показателей показывает, что цифровая трансформация Узбекистана развивается неравномерно. С одной стороны, страна заметно продвинулась в развитии цифрового государства, базовой инфраструктуры и цифровых финансов - это подтверждается международными индексами и ростом использования онлайн-сервисов. С другой стороны, сохраняется отставание по доле ИКТ-сектора в валовой добавленной стоимости и по распространению продвинутых цифровых технологий среди предприятий. В этом смысле Узбекистан близок к польской модели «конвергенции с ограничениями», рассмотренной в §2.1: при активном развитии государственных цифровых сервисов сохраняется разрыв в цифровой зрелости частного сектора. Возможности сокращения этой асимметрии на основе адаптации международного опыта стран-лидеров рассматриваются в следующем параграфе.</w:t>
      </w:r>
    </w:p>
    <w:p w:rsidR="00427CD1" w:rsidRPr="00427CD1" w:rsidRDefault="00427CD1" w:rsidP="006E53DB">
      <w:pPr>
        <w:spacing w:after="0" w:line="360" w:lineRule="auto"/>
        <w:ind w:firstLine="709"/>
        <w:jc w:val="both"/>
        <w:rPr>
          <w:rFonts w:ascii="Times New Roman" w:hAnsi="Times New Roman" w:cs="Times New Roman"/>
          <w:sz w:val="28"/>
          <w:szCs w:val="28"/>
        </w:rPr>
      </w:pPr>
      <w:r w:rsidRPr="00427CD1">
        <w:rPr>
          <w:rFonts w:ascii="Times New Roman" w:hAnsi="Times New Roman" w:cs="Times New Roman"/>
          <w:b/>
          <w:bCs/>
          <w:sz w:val="28"/>
          <w:szCs w:val="28"/>
        </w:rPr>
        <w:lastRenderedPageBreak/>
        <w:t>3.2. Адаптация международного опыта цифровой трансформации к условиям Республики Узбекистан</w:t>
      </w:r>
    </w:p>
    <w:p w:rsidR="00427CD1" w:rsidRPr="00427CD1" w:rsidRDefault="00427CD1" w:rsidP="006E53DB">
      <w:pPr>
        <w:spacing w:after="0" w:line="360" w:lineRule="auto"/>
        <w:ind w:firstLine="709"/>
        <w:jc w:val="both"/>
        <w:rPr>
          <w:rFonts w:ascii="Times New Roman" w:hAnsi="Times New Roman" w:cs="Times New Roman"/>
          <w:sz w:val="28"/>
          <w:szCs w:val="28"/>
        </w:rPr>
      </w:pPr>
      <w:r w:rsidRPr="00427CD1">
        <w:rPr>
          <w:rFonts w:ascii="Times New Roman" w:hAnsi="Times New Roman" w:cs="Times New Roman"/>
          <w:sz w:val="28"/>
          <w:szCs w:val="28"/>
        </w:rPr>
        <w:t>Результаты эконометрического анализа, проведённого в параграфе 2.3 на несбалансированной панели 49 стран за 2010-2024 годы, и сравнительный анализ четырёх стран-лидеров позволяют перейти к оценке того, какой международный опыт может быть адаптирован к условиям Республики Узбекистан. В этом параграфе адаптация понимается не как прямое копирование отдельных инструментов, а как выборочное использование институциональных решений с учётом стартовых условий национальной экономики, рассмотренных в параграфе 3.1.</w:t>
      </w:r>
    </w:p>
    <w:p w:rsidR="00427CD1" w:rsidRPr="00427CD1" w:rsidRDefault="00427CD1"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Отправной точкой для адаптации международного опыта служит результат, полученный в §2.3: тест Чоу (F = 5,34; p = 1,15 × 10⁻¹¹) подтвердил статистически значимые различия между развитыми, переходными и развивающимися экономиками. Узбекистан, согласно классификации Всемирного банка lower-middle income</w:t>
      </w:r>
      <w:r>
        <w:footnoteReference w:id="103"/>
      </w:r>
      <w:r>
        <w:rPr>
          <w:rFonts w:ascii="Times New Roman" w:hAnsi="Times New Roman" w:cs="Times New Roman"/>
          <w:sz w:val="28"/>
          <w:szCs w:val="28"/>
        </w:rPr>
        <w:t xml:space="preserve"> и методологии ЮНКТАД</w:t>
      </w:r>
      <w:r>
        <w:footnoteReference w:id="104"/>
      </w:r>
      <w:r>
        <w:rPr>
          <w:rFonts w:ascii="Times New Roman" w:hAnsi="Times New Roman" w:cs="Times New Roman"/>
          <w:sz w:val="28"/>
          <w:szCs w:val="28"/>
        </w:rPr>
        <w:t xml:space="preserve">, относится к группе развивающихся экономик, включающей 11 стран и 144 наблюдения. В этой группе коэффициент при основном регрессоре log_internet составил β = 0,198 (p </w:t>
      </w:r>
      <w:proofErr w:type="gramStart"/>
      <w:r>
        <w:rPr>
          <w:rFonts w:ascii="Times New Roman" w:hAnsi="Times New Roman" w:cs="Times New Roman"/>
          <w:sz w:val="28"/>
          <w:szCs w:val="28"/>
        </w:rPr>
        <w:t>&lt; 0,001</w:t>
      </w:r>
      <w:proofErr w:type="gramEnd"/>
      <w:r>
        <w:rPr>
          <w:rFonts w:ascii="Times New Roman" w:hAnsi="Times New Roman" w:cs="Times New Roman"/>
          <w:sz w:val="28"/>
          <w:szCs w:val="28"/>
        </w:rPr>
        <w:t>) - рост доли интернет-пользователей на 1% ассоциируется с увеличением ВВП на душу населения примерно на 0,20%.</w:t>
      </w:r>
    </w:p>
    <w:p w:rsidR="00427CD1" w:rsidRPr="00427CD1" w:rsidRDefault="00427CD1" w:rsidP="006E53DB">
      <w:pPr>
        <w:spacing w:after="0" w:line="360" w:lineRule="auto"/>
        <w:ind w:firstLine="709"/>
        <w:jc w:val="both"/>
        <w:rPr>
          <w:rFonts w:ascii="Times New Roman" w:hAnsi="Times New Roman" w:cs="Times New Roman"/>
          <w:sz w:val="28"/>
          <w:szCs w:val="28"/>
        </w:rPr>
      </w:pPr>
      <w:r w:rsidRPr="00427CD1">
        <w:rPr>
          <w:rFonts w:ascii="Times New Roman" w:hAnsi="Times New Roman" w:cs="Times New Roman"/>
          <w:sz w:val="28"/>
          <w:szCs w:val="28"/>
        </w:rPr>
        <w:t xml:space="preserve">Однако interaction terms, отражающие дополнительный антикризисный эффект цифровизации, в группе развивающихся экономик оказались статистически незначимыми: β_covid = 0,0184 (p = 0,697), β_geo = 0,0457 (p = 0,641). При текущем уровне цифровой зрелости Узбекистана цифровые технологии поддерживают экономический рост в обычных условиях, но пока не дают устойчивого буферного эффекта при внешних шоках. Стратегическая </w:t>
      </w:r>
      <w:r w:rsidRPr="00427CD1">
        <w:rPr>
          <w:rFonts w:ascii="Times New Roman" w:hAnsi="Times New Roman" w:cs="Times New Roman"/>
          <w:sz w:val="28"/>
          <w:szCs w:val="28"/>
        </w:rPr>
        <w:lastRenderedPageBreak/>
        <w:t>задача Узбекистана поэтому состоит не только в расширении цифрового доступа, но и в превращении цифровизации в полноценный инструмент антикризисной устойчивости.</w:t>
      </w:r>
    </w:p>
    <w:p w:rsidR="00427CD1" w:rsidRPr="00427CD1" w:rsidRDefault="00427CD1" w:rsidP="006E53DB">
      <w:pPr>
        <w:spacing w:after="0" w:line="360" w:lineRule="auto"/>
        <w:ind w:firstLine="709"/>
        <w:jc w:val="both"/>
        <w:rPr>
          <w:rFonts w:ascii="Times New Roman" w:hAnsi="Times New Roman" w:cs="Times New Roman"/>
          <w:sz w:val="28"/>
          <w:szCs w:val="28"/>
        </w:rPr>
      </w:pPr>
      <w:r w:rsidRPr="00427CD1">
        <w:rPr>
          <w:rFonts w:ascii="Times New Roman" w:hAnsi="Times New Roman" w:cs="Times New Roman"/>
          <w:sz w:val="28"/>
          <w:szCs w:val="28"/>
        </w:rPr>
        <w:t>В развитых экономиках, включающих 22 страны и 330 наблюдений, антикризисный эффект цифровизации оказался статистически значимым. Коэффициент</w:t>
      </w:r>
      <w:r w:rsidRPr="00427CD1">
        <w:rPr>
          <w:rFonts w:ascii="Times New Roman" w:hAnsi="Times New Roman" w:cs="Times New Roman"/>
          <w:sz w:val="28"/>
          <w:szCs w:val="28"/>
          <w:lang w:val="en-CA"/>
        </w:rPr>
        <w:t xml:space="preserve"> </w:t>
      </w:r>
      <w:r w:rsidRPr="00427CD1">
        <w:rPr>
          <w:rFonts w:ascii="Times New Roman" w:hAnsi="Times New Roman" w:cs="Times New Roman"/>
          <w:sz w:val="28"/>
          <w:szCs w:val="28"/>
        </w:rPr>
        <w:t>при</w:t>
      </w:r>
      <w:r w:rsidRPr="00427CD1">
        <w:rPr>
          <w:rFonts w:ascii="Times New Roman" w:hAnsi="Times New Roman" w:cs="Times New Roman"/>
          <w:sz w:val="28"/>
          <w:szCs w:val="28"/>
          <w:lang w:val="en-CA"/>
        </w:rPr>
        <w:t xml:space="preserve"> log_internet × Crisis_COVID </w:t>
      </w:r>
      <w:r w:rsidRPr="00427CD1">
        <w:rPr>
          <w:rFonts w:ascii="Times New Roman" w:hAnsi="Times New Roman" w:cs="Times New Roman"/>
          <w:sz w:val="28"/>
          <w:szCs w:val="28"/>
        </w:rPr>
        <w:t>составил</w:t>
      </w:r>
      <w:r w:rsidRPr="00427CD1">
        <w:rPr>
          <w:rFonts w:ascii="Times New Roman" w:hAnsi="Times New Roman" w:cs="Times New Roman"/>
          <w:sz w:val="28"/>
          <w:szCs w:val="28"/>
          <w:lang w:val="en-CA"/>
        </w:rPr>
        <w:t xml:space="preserve"> </w:t>
      </w:r>
      <w:r w:rsidRPr="00427CD1">
        <w:rPr>
          <w:rFonts w:ascii="Times New Roman" w:hAnsi="Times New Roman" w:cs="Times New Roman"/>
          <w:sz w:val="28"/>
          <w:szCs w:val="28"/>
        </w:rPr>
        <w:t>β</w:t>
      </w:r>
      <w:r w:rsidRPr="00427CD1">
        <w:rPr>
          <w:rFonts w:ascii="Times New Roman" w:hAnsi="Times New Roman" w:cs="Times New Roman"/>
          <w:sz w:val="28"/>
          <w:szCs w:val="28"/>
          <w:lang w:val="en-CA"/>
        </w:rPr>
        <w:t xml:space="preserve"> = 0,394 (p = 0,003), </w:t>
      </w:r>
      <w:r w:rsidRPr="00427CD1">
        <w:rPr>
          <w:rFonts w:ascii="Times New Roman" w:hAnsi="Times New Roman" w:cs="Times New Roman"/>
          <w:sz w:val="28"/>
          <w:szCs w:val="28"/>
        </w:rPr>
        <w:t>а</w:t>
      </w:r>
      <w:r w:rsidRPr="00427CD1">
        <w:rPr>
          <w:rFonts w:ascii="Times New Roman" w:hAnsi="Times New Roman" w:cs="Times New Roman"/>
          <w:sz w:val="28"/>
          <w:szCs w:val="28"/>
          <w:lang w:val="en-CA"/>
        </w:rPr>
        <w:t xml:space="preserve"> </w:t>
      </w:r>
      <w:r w:rsidRPr="00427CD1">
        <w:rPr>
          <w:rFonts w:ascii="Times New Roman" w:hAnsi="Times New Roman" w:cs="Times New Roman"/>
          <w:sz w:val="28"/>
          <w:szCs w:val="28"/>
        </w:rPr>
        <w:t>при</w:t>
      </w:r>
      <w:r w:rsidRPr="00427CD1">
        <w:rPr>
          <w:rFonts w:ascii="Times New Roman" w:hAnsi="Times New Roman" w:cs="Times New Roman"/>
          <w:sz w:val="28"/>
          <w:szCs w:val="28"/>
          <w:lang w:val="en-CA"/>
        </w:rPr>
        <w:t xml:space="preserve"> log_internet × Crisis_Geo - </w:t>
      </w:r>
      <w:r w:rsidRPr="00427CD1">
        <w:rPr>
          <w:rFonts w:ascii="Times New Roman" w:hAnsi="Times New Roman" w:cs="Times New Roman"/>
          <w:sz w:val="28"/>
          <w:szCs w:val="28"/>
        </w:rPr>
        <w:t>β</w:t>
      </w:r>
      <w:r w:rsidRPr="00427CD1">
        <w:rPr>
          <w:rFonts w:ascii="Times New Roman" w:hAnsi="Times New Roman" w:cs="Times New Roman"/>
          <w:sz w:val="28"/>
          <w:szCs w:val="28"/>
          <w:lang w:val="en-CA"/>
        </w:rPr>
        <w:t xml:space="preserve"> = 0,394 (p = 0,020). </w:t>
      </w:r>
      <w:r w:rsidRPr="00427CD1">
        <w:rPr>
          <w:rFonts w:ascii="Times New Roman" w:hAnsi="Times New Roman" w:cs="Times New Roman"/>
          <w:sz w:val="28"/>
          <w:szCs w:val="28"/>
        </w:rPr>
        <w:t>В развитых странах цифровизация выполняет не только функцию фактора роста, но и роль макроэкономического стабилизатора при внешних шоках. Для Узбекистана этот результат задаёт стратегический ориентир: нужно достичь такого уровня цифровой зрелости, при котором цифровые технологии смогут смягчать не только транзакционные ограничения, но и кризисные колебания экономической активности. Графическое сопоставление кризисных interaction terms по группам стран представлено на рисунке 3.1.</w:t>
      </w:r>
    </w:p>
    <w:p w:rsidR="00427CD1" w:rsidRPr="00427CD1" w:rsidRDefault="00427CD1" w:rsidP="006E53DB">
      <w:pPr>
        <w:spacing w:after="0" w:line="360" w:lineRule="auto"/>
        <w:ind w:firstLine="709"/>
        <w:jc w:val="both"/>
        <w:rPr>
          <w:rFonts w:ascii="Times New Roman" w:hAnsi="Times New Roman" w:cs="Times New Roman"/>
          <w:sz w:val="28"/>
          <w:szCs w:val="28"/>
        </w:rPr>
      </w:pPr>
      <w:r w:rsidRPr="00427CD1">
        <w:rPr>
          <w:rFonts w:ascii="Times New Roman" w:hAnsi="Times New Roman" w:cs="Times New Roman"/>
          <w:sz w:val="28"/>
          <w:szCs w:val="28"/>
        </w:rPr>
        <w:t>Рисунок 3.1 - Дифференциальная эластичность цифровизации в кризисные периоды по группам стран</w:t>
      </w:r>
    </w:p>
    <w:p w:rsidR="00427CD1" w:rsidRPr="00427CD1" w:rsidRDefault="00427CD1" w:rsidP="006E53DB">
      <w:pPr>
        <w:spacing w:after="0" w:line="360" w:lineRule="auto"/>
        <w:ind w:firstLine="709"/>
        <w:jc w:val="both"/>
        <w:rPr>
          <w:rFonts w:ascii="Times New Roman" w:hAnsi="Times New Roman" w:cs="Times New Roman"/>
          <w:sz w:val="28"/>
          <w:szCs w:val="28"/>
        </w:rPr>
      </w:pPr>
      <w:r w:rsidRPr="00427CD1">
        <w:rPr>
          <w:rFonts w:ascii="Times New Roman" w:hAnsi="Times New Roman" w:cs="Times New Roman"/>
          <w:i/>
          <w:iCs/>
          <w:sz w:val="28"/>
          <w:szCs w:val="28"/>
        </w:rPr>
        <w:t>Источник: составлено автором на основе результатов эконометрического моделирования в RStudio.</w:t>
      </w:r>
    </w:p>
    <w:p w:rsidR="00427CD1" w:rsidRPr="00427CD1" w:rsidRDefault="00427CD1"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Сравнение моделей цифровой трансформации, проведённое в §2.1, позволяет выделить элементы международного опыта, полезные для Узбекистана. Эстонская модель межведомственной интероперабельности X-Road представляет особый интерес, поскольку обеспечивает защищённый обмен данными между государственными органами и частным сектором, усиливая канал фискальной трансмиссии и снижая административные издержки</w:t>
      </w:r>
      <w:r>
        <w:footnoteReference w:id="105"/>
      </w:r>
      <w:r>
        <w:rPr>
          <w:rFonts w:ascii="Times New Roman" w:hAnsi="Times New Roman" w:cs="Times New Roman"/>
          <w:sz w:val="28"/>
          <w:szCs w:val="28"/>
        </w:rPr>
        <w:t>. Дополнительным преимуществом является открытая архитектура X-Road, что снижает барьеры технологического заимствования</w:t>
      </w:r>
      <w:r>
        <w:footnoteReference w:id="106"/>
      </w:r>
      <w:r>
        <w:rPr>
          <w:rFonts w:ascii="Times New Roman" w:hAnsi="Times New Roman" w:cs="Times New Roman"/>
          <w:sz w:val="28"/>
          <w:szCs w:val="28"/>
        </w:rPr>
        <w:t>.</w:t>
      </w:r>
    </w:p>
    <w:p w:rsidR="00427CD1" w:rsidRPr="00427CD1" w:rsidRDefault="00427CD1"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Вместе с тем прямое копирование эстонской модели невозможно из-за различий в масштабе. Население Эстонии составляет около 1,3 млн человек</w:t>
      </w:r>
      <w:r>
        <w:footnoteReference w:id="107"/>
      </w:r>
      <w:r>
        <w:rPr>
          <w:rFonts w:ascii="Times New Roman" w:hAnsi="Times New Roman" w:cs="Times New Roman"/>
          <w:sz w:val="28"/>
          <w:szCs w:val="28"/>
        </w:rPr>
        <w:t>, тогда как население Узбекистана превышает 36 млн</w:t>
      </w:r>
      <w:r>
        <w:footnoteReference w:id="108"/>
      </w:r>
      <w:r>
        <w:rPr>
          <w:rFonts w:ascii="Times New Roman" w:hAnsi="Times New Roman" w:cs="Times New Roman"/>
          <w:sz w:val="28"/>
          <w:szCs w:val="28"/>
        </w:rPr>
        <w:t>. Для Узбекистана важен не буквальный перенос X-Road, а адаптация её ключевых принципов - межведомственной интероперабельности, защищённого обмена данными, открытой архитектуры и масштабируемости цифровой инфраструктуры. Различия между группами стран по уровню экономического развития и интернет-проникновения представлены на рисунке 3.2.</w:t>
      </w:r>
    </w:p>
    <w:p w:rsidR="00427CD1" w:rsidRPr="00427CD1" w:rsidRDefault="00427CD1" w:rsidP="006E53DB">
      <w:pPr>
        <w:spacing w:after="0" w:line="360" w:lineRule="auto"/>
        <w:ind w:firstLine="709"/>
        <w:jc w:val="both"/>
        <w:rPr>
          <w:rFonts w:ascii="Times New Roman" w:hAnsi="Times New Roman" w:cs="Times New Roman"/>
          <w:sz w:val="28"/>
          <w:szCs w:val="28"/>
        </w:rPr>
      </w:pPr>
      <w:r w:rsidRPr="00427CD1">
        <w:rPr>
          <w:rFonts w:ascii="Times New Roman" w:hAnsi="Times New Roman" w:cs="Times New Roman"/>
          <w:sz w:val="28"/>
          <w:szCs w:val="28"/>
        </w:rPr>
        <w:t>Рисунок 3.2 - Динамика ln(GDPpc) и ln(интернет-проникновения) по группам стран за 2010-2024 годы</w:t>
      </w:r>
    </w:p>
    <w:p w:rsidR="00427CD1" w:rsidRPr="00427CD1" w:rsidRDefault="00427CD1" w:rsidP="006E53DB">
      <w:pPr>
        <w:spacing w:after="0" w:line="360" w:lineRule="auto"/>
        <w:ind w:firstLine="709"/>
        <w:jc w:val="both"/>
        <w:rPr>
          <w:rFonts w:ascii="Times New Roman" w:hAnsi="Times New Roman" w:cs="Times New Roman"/>
          <w:sz w:val="28"/>
          <w:szCs w:val="28"/>
        </w:rPr>
      </w:pPr>
      <w:r w:rsidRPr="00427CD1">
        <w:rPr>
          <w:rFonts w:ascii="Times New Roman" w:hAnsi="Times New Roman" w:cs="Times New Roman"/>
          <w:i/>
          <w:iCs/>
          <w:sz w:val="28"/>
          <w:szCs w:val="28"/>
        </w:rPr>
        <w:t>Источник: составлено автором на основе результатов эконометрического моделирования в RStudio.</w:t>
      </w:r>
    </w:p>
    <w:p w:rsidR="00427CD1" w:rsidRPr="00427CD1" w:rsidRDefault="00427CD1"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Корейская модель масштабного государственного инвестирования в цифровизацию релевантна для Узбекистана прежде всего с точки зрения институционального дизайна</w:t>
      </w:r>
      <w:r>
        <w:footnoteReference w:id="109"/>
      </w:r>
      <w:r>
        <w:rPr>
          <w:rFonts w:ascii="Times New Roman" w:hAnsi="Times New Roman" w:cs="Times New Roman"/>
          <w:sz w:val="28"/>
          <w:szCs w:val="28"/>
        </w:rPr>
        <w:t>. Опыт Республики Корея показывает, что включение цифровых проектов в антикризисные бюджетные программы позволяет одновременно поддерживать восстановление экономики и создавать основу для долгосрочной устойчивости. Вместе с тем прямое воспроизведение корейской модели ограничено масштабом финансирования: объём средств на развитие ведущих цифровых технологий в первый год реализации Digital New Deal составил 10,1 трлн вон, или около 8,5 млрд долларов США. Для Узбекистана целесообразно заимствовать не масштаб расходов, а сам принцип - привязку программ цифровизации к антикризисным бюджетным циклам.</w:t>
      </w:r>
    </w:p>
    <w:p w:rsidR="00427CD1" w:rsidRPr="00427CD1" w:rsidRDefault="00427CD1"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Польская модель имеет значение для Узбекистана в контексте преодоления асимметрии цифровой зрелости</w:t>
      </w:r>
      <w:r>
        <w:footnoteReference w:id="110"/>
      </w:r>
      <w:r>
        <w:rPr>
          <w:rFonts w:ascii="Times New Roman" w:hAnsi="Times New Roman" w:cs="Times New Roman"/>
          <w:sz w:val="28"/>
          <w:szCs w:val="28"/>
        </w:rPr>
        <w:t>, выявленной в §3.1. Её ключевой урок - развитие цифрового государства должно сопровождаться целевыми мерами по цифровизации малого и среднего бизнеса, иначе возникает разрыв между государственными сервисами и частным сектором. В условиях Узбекистана такую функцию могут выполнять программы Азиатского банка развития</w:t>
      </w:r>
      <w:r>
        <w:footnoteReference w:id="111"/>
      </w:r>
      <w:r>
        <w:rPr>
          <w:rFonts w:ascii="Times New Roman" w:hAnsi="Times New Roman" w:cs="Times New Roman"/>
          <w:sz w:val="28"/>
          <w:szCs w:val="28"/>
        </w:rPr>
        <w:t>, Европейского банка реконструкции и развития</w:t>
      </w:r>
      <w:r>
        <w:footnoteReference w:id="112"/>
      </w:r>
      <w:r>
        <w:rPr>
          <w:rFonts w:ascii="Times New Roman" w:hAnsi="Times New Roman" w:cs="Times New Roman"/>
          <w:sz w:val="28"/>
          <w:szCs w:val="28"/>
        </w:rPr>
        <w:t xml:space="preserve"> и Всемирного банка, уже участвующие в финансировании проектов цифровой инфраструктуры.</w:t>
      </w:r>
    </w:p>
    <w:p w:rsidR="00427CD1" w:rsidRPr="00427CD1" w:rsidRDefault="00427CD1"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Сингапурская модель наименее пригодна для прямого переноса в Узбекистан из-за различий в масштабе и территориальной структуре: Сингапур является городом-государством площадью 728 км², тогда как Узбекистан занимает 448 тыс. км² и имеет выраженную региональную дисперсию. Вместе с тем отдельные элементы сингапурского опыта - прежде всего система цифровой идентификации Singpass</w:t>
      </w:r>
      <w:r>
        <w:footnoteReference w:id="113"/>
      </w:r>
      <w:r>
        <w:rPr>
          <w:rFonts w:ascii="Times New Roman" w:hAnsi="Times New Roman" w:cs="Times New Roman"/>
          <w:sz w:val="28"/>
          <w:szCs w:val="28"/>
        </w:rPr>
        <w:t xml:space="preserve"> и механизмы адресной фискальной помощи через цифровые каналы - могут быть адаптированы для крупных городов Узбекистана, включая Ташкент, Самарканд и Бухару.</w:t>
      </w:r>
    </w:p>
    <w:p w:rsidR="00427CD1" w:rsidRPr="00427CD1" w:rsidRDefault="00427CD1"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Синтез сравнительного и эконометрического анализа позволяет сформулировать общую рамку адаптации международного опыта: для Узбекистана приоритетом должна стать не формальная максимизация композитных индексов цифровой зрелости, а развитие инфраструктуры канала фискальной трансмиссии - национальной системы цифровой идентификации, интегрированных межведомственных баз данных и цифровых платежей. Именно этот канал, как показано в §2.2, обеспечил </w:t>
      </w:r>
      <w:r>
        <w:rPr>
          <w:rFonts w:ascii="Times New Roman" w:hAnsi="Times New Roman" w:cs="Times New Roman"/>
          <w:sz w:val="28"/>
          <w:szCs w:val="28"/>
        </w:rPr>
        <w:lastRenderedPageBreak/>
        <w:t>высокую скорость развёртывания антикризисных программ в Сингапуре и Республике Корея в период пандемии 2020 года</w:t>
      </w:r>
      <w:r>
        <w:footnoteReference w:id="114"/>
      </w:r>
      <w:r>
        <w:rPr>
          <w:rFonts w:ascii="Times New Roman" w:hAnsi="Times New Roman" w:cs="Times New Roman"/>
          <w:sz w:val="28"/>
          <w:szCs w:val="28"/>
        </w:rPr>
        <w:t>.</w:t>
      </w:r>
    </w:p>
    <w:p w:rsidR="00427CD1" w:rsidRPr="00EA258C" w:rsidRDefault="00427CD1" w:rsidP="006E53DB">
      <w:pPr>
        <w:spacing w:after="0" w:line="360" w:lineRule="auto"/>
        <w:ind w:firstLine="709"/>
        <w:jc w:val="both"/>
        <w:rPr>
          <w:rFonts w:ascii="Times New Roman" w:hAnsi="Times New Roman" w:cs="Times New Roman"/>
          <w:b/>
          <w:sz w:val="28"/>
          <w:szCs w:val="28"/>
        </w:rPr>
      </w:pPr>
      <w:r w:rsidRPr="00EA258C">
        <w:rPr>
          <w:rFonts w:ascii="Times New Roman" w:hAnsi="Times New Roman" w:cs="Times New Roman"/>
          <w:b/>
          <w:sz w:val="28"/>
          <w:szCs w:val="28"/>
        </w:rPr>
        <w:t>3.3. Практические рекомендации по укреплению цифровой устойчивости экономики Республики Узбекистан и оценка ожидаемого эффекта</w:t>
      </w:r>
    </w:p>
    <w:p w:rsidR="00427CD1" w:rsidRPr="00427CD1" w:rsidRDefault="00427CD1" w:rsidP="006E53DB">
      <w:pPr>
        <w:spacing w:after="0" w:line="360" w:lineRule="auto"/>
        <w:ind w:firstLine="709"/>
        <w:jc w:val="both"/>
        <w:rPr>
          <w:rFonts w:ascii="Times New Roman" w:hAnsi="Times New Roman" w:cs="Times New Roman"/>
          <w:sz w:val="28"/>
          <w:szCs w:val="28"/>
        </w:rPr>
      </w:pPr>
      <w:r w:rsidRPr="00427CD1">
        <w:rPr>
          <w:rFonts w:ascii="Times New Roman" w:hAnsi="Times New Roman" w:cs="Times New Roman"/>
          <w:sz w:val="28"/>
          <w:szCs w:val="28"/>
        </w:rPr>
        <w:t xml:space="preserve">Практические рекомендации этого параграфа опираются на три результата, полученные в ходе исследования. Во-первых, в группе развивающихся экономик выявлена статистически значимая положительная связь между интернет-проникновением и ВВП на душу населения (β = 0,198; p </w:t>
      </w:r>
      <w:proofErr w:type="gramStart"/>
      <w:r w:rsidRPr="00427CD1">
        <w:rPr>
          <w:rFonts w:ascii="Times New Roman" w:hAnsi="Times New Roman" w:cs="Times New Roman"/>
          <w:sz w:val="28"/>
          <w:szCs w:val="28"/>
        </w:rPr>
        <w:t>&lt; 0,001</w:t>
      </w:r>
      <w:proofErr w:type="gramEnd"/>
      <w:r w:rsidRPr="00427CD1">
        <w:rPr>
          <w:rFonts w:ascii="Times New Roman" w:hAnsi="Times New Roman" w:cs="Times New Roman"/>
          <w:sz w:val="28"/>
          <w:szCs w:val="28"/>
        </w:rPr>
        <w:t>). Во-вторых, в этой же группе не подтверждён самостоятельный антикризисный эффект цифровизации. В-третьих, такой эффект выявлен в группе развитых стран (β_covid = 0,394; p = 0,003). Рекомендации имеют двухуровневую логику: первый уровень - усиление прямого эффекта цифровизации как фактора экономического роста, второй - создание институциональных условий для перехода цифровизации к функции макроэкономического стабилизатора.</w:t>
      </w:r>
    </w:p>
    <w:p w:rsidR="004A309C" w:rsidRPr="00E26E25" w:rsidRDefault="00427CD1"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Первая рекомендация связана с дальнейшим расширением интернет-проникновения как основного показателя цифровизации в модели. По данным Международного союза электросвязи, уровень проникновения интернета в Узбекистане в 2023 году достиг 89% населения</w:t>
      </w:r>
      <w:r>
        <w:footnoteReference w:id="115"/>
      </w:r>
      <w:r>
        <w:rPr>
          <w:rFonts w:ascii="Times New Roman" w:hAnsi="Times New Roman" w:cs="Times New Roman"/>
          <w:sz w:val="28"/>
          <w:szCs w:val="28"/>
        </w:rPr>
        <w:t>. Прогнозный сценарий, построенный на основе FE-модели для группы развивающихся экономик, показывает количественный эффект дальнейшего роста: при достижении уровня интернет-проникновения 90% прогнозный ВВП на душу населения составит примерно 3 653 доллара США в постоянных ценах 2015 года, а при достижении 95% - около 3 693 долларов США. Соответствующий сценарий представлен на рисунке 3.3.</w:t>
      </w:r>
    </w:p>
    <w:p w:rsidR="00427CD1" w:rsidRPr="00427CD1" w:rsidRDefault="00427CD1" w:rsidP="006E53DB">
      <w:pPr>
        <w:spacing w:after="0" w:line="360" w:lineRule="auto"/>
        <w:ind w:firstLine="709"/>
        <w:jc w:val="both"/>
        <w:rPr>
          <w:rFonts w:ascii="Times New Roman" w:hAnsi="Times New Roman" w:cs="Times New Roman"/>
          <w:sz w:val="28"/>
          <w:szCs w:val="28"/>
        </w:rPr>
      </w:pPr>
      <w:r w:rsidRPr="00427CD1">
        <w:rPr>
          <w:rFonts w:ascii="Times New Roman" w:hAnsi="Times New Roman" w:cs="Times New Roman"/>
          <w:sz w:val="28"/>
          <w:szCs w:val="28"/>
        </w:rPr>
        <w:lastRenderedPageBreak/>
        <w:t>Рисунок 3.3 - Прогнозный сценарий ВВП на душу населения для Узбекистана при росте интернет-проникновения</w:t>
      </w:r>
    </w:p>
    <w:p w:rsidR="00427CD1" w:rsidRPr="00427CD1" w:rsidRDefault="00427CD1" w:rsidP="006E53DB">
      <w:pPr>
        <w:spacing w:after="0" w:line="360" w:lineRule="auto"/>
        <w:ind w:firstLine="709"/>
        <w:jc w:val="both"/>
        <w:rPr>
          <w:rFonts w:ascii="Times New Roman" w:hAnsi="Times New Roman" w:cs="Times New Roman"/>
          <w:sz w:val="28"/>
          <w:szCs w:val="28"/>
        </w:rPr>
      </w:pPr>
      <w:r w:rsidRPr="00427CD1">
        <w:rPr>
          <w:rFonts w:ascii="Times New Roman" w:hAnsi="Times New Roman" w:cs="Times New Roman"/>
          <w:i/>
          <w:iCs/>
          <w:sz w:val="28"/>
          <w:szCs w:val="28"/>
        </w:rPr>
        <w:t>Источник: составлено автором на основе результатов эконометрического моделирования в RStudio.</w:t>
      </w:r>
    </w:p>
    <w:p w:rsidR="00427CD1" w:rsidRPr="00427CD1" w:rsidRDefault="00427CD1" w:rsidP="006E53DB">
      <w:pPr>
        <w:spacing w:after="0" w:line="360" w:lineRule="auto"/>
        <w:ind w:firstLine="709"/>
        <w:jc w:val="both"/>
        <w:rPr>
          <w:rFonts w:ascii="Times New Roman" w:hAnsi="Times New Roman" w:cs="Times New Roman"/>
          <w:sz w:val="28"/>
          <w:szCs w:val="28"/>
        </w:rPr>
      </w:pPr>
      <w:r w:rsidRPr="00427CD1">
        <w:rPr>
          <w:rFonts w:ascii="Times New Roman" w:hAnsi="Times New Roman" w:cs="Times New Roman"/>
          <w:sz w:val="28"/>
          <w:szCs w:val="28"/>
        </w:rPr>
        <w:t>Сопоставление с базовым модельным уровнем 3 569 долларов при 80-процентном интернет-проникновении показывает, что дальнейшее расширение цифрового доступа может дать прирост порядка 84-124 долларов на душу населения. При численности населения свыше 36 млн человек это соответствует совокупному макроэкономическому эффекту примерно 3,0-4,5 млрд долларов США. Дополнительный эффект перехода от 90% к 95% интернет-проникновения составляет около 40 долларов США на душу населения, или примерно 1,4 млрд долларов США в масштабе экономики. Эти оценки условны и основаны на предположении неизменности прочих факторов (ceteris paribus); более точная оценка доверительных интервалов для FE-прогнозов требует bootstrap-процедуры, что выходит за рамки этой работы. Детальные прогнозные значения по годам представлены в таблице 3.1.</w:t>
      </w:r>
    </w:p>
    <w:p w:rsidR="00427CD1" w:rsidRPr="00427CD1" w:rsidRDefault="00427CD1" w:rsidP="006E53DB">
      <w:pPr>
        <w:spacing w:after="0" w:line="360" w:lineRule="auto"/>
        <w:ind w:firstLine="709"/>
        <w:jc w:val="both"/>
        <w:rPr>
          <w:rFonts w:ascii="Times New Roman" w:hAnsi="Times New Roman" w:cs="Times New Roman"/>
          <w:sz w:val="28"/>
          <w:szCs w:val="28"/>
        </w:rPr>
      </w:pPr>
      <w:r w:rsidRPr="00427CD1">
        <w:rPr>
          <w:rFonts w:ascii="Times New Roman" w:hAnsi="Times New Roman" w:cs="Times New Roman"/>
          <w:sz w:val="28"/>
          <w:szCs w:val="28"/>
        </w:rPr>
        <w:t>Таблица 3.1 - Прогноз ВВП на душу населения для Узбекистана на 2025-2030 годы (FE-модель, ceteris paribus)</w:t>
      </w:r>
    </w:p>
    <w:p w:rsidR="00427CD1" w:rsidRPr="00427CD1" w:rsidRDefault="00427CD1" w:rsidP="006E53DB">
      <w:pPr>
        <w:spacing w:after="0" w:line="360" w:lineRule="auto"/>
        <w:ind w:firstLine="709"/>
        <w:jc w:val="both"/>
        <w:rPr>
          <w:rFonts w:ascii="Times New Roman" w:hAnsi="Times New Roman" w:cs="Times New Roman"/>
          <w:sz w:val="28"/>
          <w:szCs w:val="28"/>
        </w:rPr>
      </w:pPr>
      <w:r w:rsidRPr="00427CD1">
        <w:rPr>
          <w:rFonts w:ascii="Times New Roman" w:hAnsi="Times New Roman" w:cs="Times New Roman"/>
          <w:i/>
          <w:iCs/>
          <w:sz w:val="28"/>
          <w:szCs w:val="28"/>
        </w:rPr>
        <w:t>Источник: составлено автором на основе результатов эконометрического моделирования в RStudio.</w:t>
      </w:r>
    </w:p>
    <w:p w:rsidR="00427CD1" w:rsidRPr="00427CD1" w:rsidRDefault="00427CD1" w:rsidP="006E53DB">
      <w:pPr>
        <w:spacing w:after="0" w:line="360" w:lineRule="auto"/>
        <w:ind w:firstLine="709"/>
        <w:jc w:val="both"/>
        <w:rPr>
          <w:rFonts w:ascii="Times New Roman" w:hAnsi="Times New Roman" w:cs="Times New Roman"/>
          <w:sz w:val="28"/>
          <w:szCs w:val="28"/>
        </w:rPr>
      </w:pPr>
      <w:r w:rsidRPr="00427CD1">
        <w:rPr>
          <w:rFonts w:ascii="Times New Roman" w:hAnsi="Times New Roman" w:cs="Times New Roman"/>
          <w:sz w:val="28"/>
          <w:szCs w:val="28"/>
        </w:rPr>
        <w:t>Сравнение трёх сценариев роста интернет-проникновения и динамики ВВП на душу населения представлено на рисунке 3.4.</w:t>
      </w:r>
    </w:p>
    <w:p w:rsidR="00427CD1" w:rsidRPr="00427CD1" w:rsidRDefault="00427CD1" w:rsidP="006E53DB">
      <w:pPr>
        <w:spacing w:after="0" w:line="360" w:lineRule="auto"/>
        <w:ind w:firstLine="709"/>
        <w:jc w:val="both"/>
        <w:rPr>
          <w:rFonts w:ascii="Times New Roman" w:hAnsi="Times New Roman" w:cs="Times New Roman"/>
          <w:sz w:val="28"/>
          <w:szCs w:val="28"/>
        </w:rPr>
      </w:pPr>
      <w:r w:rsidRPr="00427CD1">
        <w:rPr>
          <w:rFonts w:ascii="Times New Roman" w:hAnsi="Times New Roman" w:cs="Times New Roman"/>
          <w:sz w:val="28"/>
          <w:szCs w:val="28"/>
        </w:rPr>
        <w:t>Рисунок 3.4 - Прогноз ВВП на душу населения для Узбекистана по трём сценариям на 2025-2030 годы</w:t>
      </w:r>
    </w:p>
    <w:p w:rsidR="00427CD1" w:rsidRPr="00427CD1" w:rsidRDefault="00427CD1" w:rsidP="006E53DB">
      <w:pPr>
        <w:spacing w:after="0" w:line="360" w:lineRule="auto"/>
        <w:ind w:firstLine="709"/>
        <w:jc w:val="both"/>
        <w:rPr>
          <w:rFonts w:ascii="Times New Roman" w:hAnsi="Times New Roman" w:cs="Times New Roman"/>
          <w:sz w:val="28"/>
          <w:szCs w:val="28"/>
        </w:rPr>
      </w:pPr>
      <w:r w:rsidRPr="00427CD1">
        <w:rPr>
          <w:rFonts w:ascii="Times New Roman" w:hAnsi="Times New Roman" w:cs="Times New Roman"/>
          <w:i/>
          <w:iCs/>
          <w:sz w:val="28"/>
          <w:szCs w:val="28"/>
        </w:rPr>
        <w:t>Источник: составлено автором на основе результатов эконометрического моделирования в RStudio.</w:t>
      </w:r>
    </w:p>
    <w:p w:rsidR="00427CD1" w:rsidRPr="00427CD1" w:rsidRDefault="00427CD1"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Вторая рекомендация связана с преодолением асимметрии цифровой зрелости, выявленной в параграфе 3.1, - то есть разрыва между развитием государственных цифровых сервисов и более ограниченной цифровизацией </w:t>
      </w:r>
      <w:r>
        <w:rPr>
          <w:rFonts w:ascii="Times New Roman" w:hAnsi="Times New Roman" w:cs="Times New Roman"/>
          <w:sz w:val="28"/>
          <w:szCs w:val="28"/>
        </w:rPr>
        <w:lastRenderedPageBreak/>
        <w:t>частного сектора. Эконометрический анализ показал, что в группе развивающихся экономик экспорт высокотехнологичных товаров пока не является значимым фактором роста (β_hightech = -0,0013; p = 0,835), тогда как в группе развитых стран его вклад положителен и значим (β_hightech = 0,0067; p = 0,027). Это указывает на то, что цифровизация предприятий в Узбекистане пока не достигла уровня, при котором она транслируется в структурную диверсификацию экспорта. На практике рекомендуется расширение программ IT Park Uzbekistan</w:t>
      </w:r>
      <w:r>
        <w:footnoteReference w:id="116"/>
      </w:r>
      <w:r>
        <w:rPr>
          <w:rFonts w:ascii="Times New Roman" w:hAnsi="Times New Roman" w:cs="Times New Roman"/>
          <w:sz w:val="28"/>
          <w:szCs w:val="28"/>
        </w:rPr>
        <w:t xml:space="preserve"> в направлении поддержки цифровизации традиционных отраслей - текстильной промышленности, агропромышленного комплекса, горнодобычи - а не только экспортно-ориентированного ИТ-сектора.</w:t>
      </w:r>
    </w:p>
    <w:p w:rsidR="00427CD1" w:rsidRPr="00427CD1" w:rsidRDefault="00427CD1"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Третья рекомендация касается развития инфраструктуры канала фискальной трансмиссии. Как показал анализ параграфа 2.2, антикризисная скорость Сингапура и Республики Корея в 2020 году определялась не столько общим масштабом цифровой экономики, сколько тремя базовыми элементами: национальной системой цифровой идентификации, интегрированными межведомственными базами данных и инфраструктурой мгновенных цифровых платежей. В Узбекистане первый элемент уже формируется - система MyID</w:t>
      </w:r>
      <w:r>
        <w:footnoteReference w:id="117"/>
      </w:r>
      <w:r>
        <w:t>; второй находится на ранней стадии развития; третий растёт быстро: объём QR-транзакций увеличивался на 119% в год в 2020-2022 годах. Рекомендуется ускоренное завершение интеграции MyID с межведомственными базами данных по модели эстонской X-Road</w:t>
      </w:r>
      <w:r>
        <w:footnoteReference w:id="118"/>
      </w:r>
      <w:r>
        <w:rPr>
          <w:rFonts w:ascii="Times New Roman" w:hAnsi="Times New Roman" w:cs="Times New Roman"/>
          <w:sz w:val="28"/>
          <w:szCs w:val="28"/>
        </w:rPr>
        <w:t>, что создаст технологическую основу для адресного и мгновенного развёртывания антикризисных программ в случае будущих внешних шоков.</w:t>
      </w:r>
    </w:p>
    <w:p w:rsidR="00427CD1" w:rsidRPr="00427CD1" w:rsidRDefault="00427CD1" w:rsidP="006E53DB">
      <w:pPr>
        <w:spacing w:after="0" w:line="360" w:lineRule="auto"/>
        <w:ind w:firstLine="709"/>
        <w:jc w:val="both"/>
        <w:rPr>
          <w:rFonts w:ascii="Times New Roman" w:hAnsi="Times New Roman" w:cs="Times New Roman"/>
          <w:sz w:val="28"/>
          <w:szCs w:val="28"/>
        </w:rPr>
      </w:pPr>
      <w:r w:rsidRPr="00427CD1">
        <w:rPr>
          <w:rFonts w:ascii="Times New Roman" w:hAnsi="Times New Roman" w:cs="Times New Roman"/>
          <w:sz w:val="28"/>
          <w:szCs w:val="28"/>
        </w:rPr>
        <w:lastRenderedPageBreak/>
        <w:t xml:space="preserve">Четвёртая рекомендация связана с учётом типа кризиса при проектировании цифровой устойчивости. Эконометрический анализ показал различие между двумя видами шоков: при пандемии COVID-19 цифровизация дала статистически значимый буферный эффект в группе развитых стран (p = 0,003), тогда как при геополитическом кризисе 2022 года её эффект оказался менее универсальным. Для группы переходных экономик коэффициент interaction term при геополитическом кризисе отрицателен, но статистически незначим (β = -0,1252; p = 0,456) - это отражает ограниченную способность цифровизации компенсировать потери от разрыва торговых и энергетических цепочек. Для Узбекистана это означает, что цифровизацию стоит рассматривать </w:t>
      </w:r>
      <w:proofErr w:type="gramStart"/>
      <w:r w:rsidRPr="00427CD1">
        <w:rPr>
          <w:rFonts w:ascii="Times New Roman" w:hAnsi="Times New Roman" w:cs="Times New Roman"/>
          <w:sz w:val="28"/>
          <w:szCs w:val="28"/>
        </w:rPr>
        <w:t>прежде всего</w:t>
      </w:r>
      <w:proofErr w:type="gramEnd"/>
      <w:r w:rsidRPr="00427CD1">
        <w:rPr>
          <w:rFonts w:ascii="Times New Roman" w:hAnsi="Times New Roman" w:cs="Times New Roman"/>
          <w:sz w:val="28"/>
          <w:szCs w:val="28"/>
        </w:rPr>
        <w:t xml:space="preserve"> как инструмент противодействия шокам мобильности и информационной асимметрии - пандемиям, логистическим сбоям и административным ограничениям - но не как замену политике энергетической безопасности и диверсификации внешней торговли.</w:t>
      </w:r>
    </w:p>
    <w:p w:rsidR="00427CD1" w:rsidRPr="00427CD1" w:rsidRDefault="00427CD1"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Пятая рекомендация связана с ограничением статистической мощности модели для группы развивающихся экономик. В этой подвыборке использовались 144 наблюдения, что снижает вероятность выявления слабых эффектов цифровизации в кризисные периоды. Незначимость interaction terms может объясняться не только отсутствием антикризисного эффекта, но и ограниченным объёмом данных. В связи с этим рекомендуется организация систематического мониторинга показателей цифровизации и экономической устойчивости Узбекистана в рамках Стратегии «Цифровой Узбекистан - 2030»</w:t>
      </w:r>
      <w:r>
        <w:footnoteReference w:id="119"/>
      </w:r>
      <w:r>
        <w:rPr>
          <w:rFonts w:ascii="Times New Roman" w:hAnsi="Times New Roman" w:cs="Times New Roman"/>
          <w:sz w:val="28"/>
          <w:szCs w:val="28"/>
        </w:rPr>
        <w:t xml:space="preserve"> с периодической повторной оценкой эконометрической модели по мере накопления данных. Включение Узбекистана в международные панельные базы по цифровизации повысит сопоставимость результатов и позволит точнее отслеживать его сближение с группой переходных экономик, где основной эффект цифровизации на рост выражен сильнее (β = 0,309; p </w:t>
      </w:r>
      <w:proofErr w:type="gramStart"/>
      <w:r>
        <w:rPr>
          <w:rFonts w:ascii="Times New Roman" w:hAnsi="Times New Roman" w:cs="Times New Roman"/>
          <w:sz w:val="28"/>
          <w:szCs w:val="28"/>
        </w:rPr>
        <w:t>&lt; 0,001</w:t>
      </w:r>
      <w:proofErr w:type="gramEnd"/>
      <w:r>
        <w:rPr>
          <w:rFonts w:ascii="Times New Roman" w:hAnsi="Times New Roman" w:cs="Times New Roman"/>
          <w:sz w:val="28"/>
          <w:szCs w:val="28"/>
        </w:rPr>
        <w:t>).</w:t>
      </w:r>
    </w:p>
    <w:p w:rsidR="00427CD1" w:rsidRPr="00427CD1" w:rsidRDefault="00427CD1" w:rsidP="006E53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Обобщение пяти рекомендаций позволяет определить последовательность приоритетов. На первом этапе - 2025-2027 годы - целесообразно завершить формирование инфраструктуры фискальной трансмиссии: интегрировать MyID с межведомственными базами данных, расширить инфраструктуру цифровых платежей и довести интернет-проникновение до 90% населения. На втором этапе - 2027-2030 годы - основное внимание должно быть направлено на цифровизацию частного сектора и сокращение разрыва между государственными онлайн-сервисами и цифровой зрелостью предприятий через целевые программы для малого и среднего бизнеса. На третьем этапе - после 2030 года - приоритетом становится достижение такого уровня цифровой зрелости, при котором цифровизация сможет выполнять функцию макроэкономического стабилизатора, аналогичную выявленной в группе развитых стран. Указанная последовательность согласуется с целевыми показателями Стратегии «Цифровой Узбекистан - 2030»</w:t>
      </w:r>
      <w:r>
        <w:footnoteReference w:id="120"/>
      </w:r>
      <w:r>
        <w:rPr>
          <w:rFonts w:ascii="Times New Roman" w:hAnsi="Times New Roman" w:cs="Times New Roman"/>
          <w:sz w:val="28"/>
          <w:szCs w:val="28"/>
        </w:rPr>
        <w:t xml:space="preserve"> и опирается на количественные результаты, полученные в этом исследовании.</w:t>
      </w:r>
    </w:p>
    <w:p w:rsidR="00427CD1" w:rsidRPr="00427CD1" w:rsidRDefault="00427CD1" w:rsidP="006E53DB">
      <w:pPr>
        <w:spacing w:after="0" w:line="360" w:lineRule="auto"/>
        <w:ind w:firstLine="709"/>
        <w:jc w:val="both"/>
        <w:rPr>
          <w:rFonts w:ascii="Times New Roman" w:hAnsi="Times New Roman" w:cs="Times New Roman"/>
          <w:sz w:val="28"/>
          <w:szCs w:val="28"/>
        </w:rPr>
      </w:pPr>
      <w:r w:rsidRPr="00427CD1">
        <w:rPr>
          <w:rFonts w:ascii="Times New Roman" w:hAnsi="Times New Roman" w:cs="Times New Roman"/>
          <w:b/>
          <w:bCs/>
          <w:sz w:val="28"/>
          <w:szCs w:val="28"/>
        </w:rPr>
        <w:t>Выводы по третьей главе.</w:t>
      </w:r>
      <w:r w:rsidRPr="00427CD1">
        <w:rPr>
          <w:rFonts w:ascii="Times New Roman" w:hAnsi="Times New Roman" w:cs="Times New Roman"/>
          <w:sz w:val="28"/>
          <w:szCs w:val="28"/>
        </w:rPr>
        <w:t xml:space="preserve"> Анализ цифровой трансформации Узбекистана показал, что страна достигла заметного прогресса в развитии электронного правительства и базовой цифровой инфраструктуры. В 2024 году Узбекистан занял 63-е место в EGDI со значением 0,7999, уровень интернет-проникновения достиг 89%, а покрытие 4G - 97%. Вместе с тем сохраняется структурная асимметрия: при активном развитии государственных цифровых сервисов доля услуг информации и связи в валовой добавленной стоимости составляет лишь 2,4% - ниже среднего уровня стран ОЭСР. Сопоставление с результатами эконометрического анализа показывает, что цифровизация в Узбекистане уже выступает фактором экономического роста (β = 0,1978; p </w:t>
      </w:r>
      <w:proofErr w:type="gramStart"/>
      <w:r w:rsidRPr="00427CD1">
        <w:rPr>
          <w:rFonts w:ascii="Times New Roman" w:hAnsi="Times New Roman" w:cs="Times New Roman"/>
          <w:sz w:val="28"/>
          <w:szCs w:val="28"/>
        </w:rPr>
        <w:t>&lt; 0,001</w:t>
      </w:r>
      <w:proofErr w:type="gramEnd"/>
      <w:r w:rsidRPr="00427CD1">
        <w:rPr>
          <w:rFonts w:ascii="Times New Roman" w:hAnsi="Times New Roman" w:cs="Times New Roman"/>
          <w:sz w:val="28"/>
          <w:szCs w:val="28"/>
        </w:rPr>
        <w:t xml:space="preserve">), однако пока не </w:t>
      </w:r>
      <w:r w:rsidRPr="00427CD1">
        <w:rPr>
          <w:rFonts w:ascii="Times New Roman" w:hAnsi="Times New Roman" w:cs="Times New Roman"/>
          <w:sz w:val="28"/>
          <w:szCs w:val="28"/>
        </w:rPr>
        <w:lastRenderedPageBreak/>
        <w:t>достигла уровня, при котором выполняет функцию антикризисного стабилизатора. В этих условиях для адаптации наиболее применимы отдельные элементы международного опыта: эстонская X-Road как модель межведомственной интероперабельности, корейская привязка цифровизации к антикризисным программам, польская поддержка цифровизации малого и среднего бизнеса и сингапурские решения в сфере цифровой идентификации. Практические рекомендации предполагают поэтапный подход: в 2025-2027 годах - развитие MyID, межведомственной интеграции, цифровых платежей и доведение интернет-проникновения до 90%; в 2027-2030 годах - цифровизация традиционных отраслей и частного сектора; после 2030 года - достижение уровня цифровой зрелости, при котором цифровизация сможет выполнять не только функцию фактора роста, но и функцию макроэкономического стабилизатора.</w:t>
      </w:r>
    </w:p>
    <w:p w:rsidR="00427CD1" w:rsidRPr="00427CD1" w:rsidRDefault="00427CD1" w:rsidP="006E53DB">
      <w:pPr>
        <w:spacing w:after="0" w:line="360" w:lineRule="auto"/>
        <w:ind w:firstLine="709"/>
        <w:jc w:val="both"/>
        <w:rPr>
          <w:rFonts w:ascii="Times New Roman" w:hAnsi="Times New Roman" w:cs="Times New Roman"/>
          <w:sz w:val="28"/>
          <w:szCs w:val="28"/>
        </w:rPr>
      </w:pPr>
      <w:r w:rsidRPr="00427CD1">
        <w:rPr>
          <w:rFonts w:ascii="Times New Roman" w:hAnsi="Times New Roman" w:cs="Times New Roman"/>
          <w:sz w:val="28"/>
          <w:szCs w:val="28"/>
        </w:rPr>
        <w:t>Настоящая выпускная квалификационная работа была посвящена теоретическому осмыслению и эмпирической проверке связи между цифровой трансформацией национальных экономик и их устойчивостью к глобальным кризисным шокам. В работе рассматривался вопрос о том, является ли цифровизация статистически значимым фактором экономической устойчивости и при каких условиях её влияние проявляется наиболее заметно. Ответ на этот вопрос получен на основе сочетания теоретического анализа, сравнительного изучения международного опыта и эконометрического моделирования.</w:t>
      </w:r>
    </w:p>
    <w:p w:rsidR="00427CD1" w:rsidRPr="00427CD1" w:rsidRDefault="00427CD1" w:rsidP="006E53DB">
      <w:pPr>
        <w:spacing w:after="0" w:line="360" w:lineRule="auto"/>
        <w:ind w:firstLine="709"/>
        <w:jc w:val="both"/>
        <w:rPr>
          <w:rFonts w:ascii="Times New Roman" w:hAnsi="Times New Roman" w:cs="Times New Roman"/>
          <w:sz w:val="28"/>
          <w:szCs w:val="28"/>
        </w:rPr>
      </w:pPr>
      <w:r w:rsidRPr="00427CD1">
        <w:rPr>
          <w:rFonts w:ascii="Times New Roman" w:hAnsi="Times New Roman" w:cs="Times New Roman"/>
          <w:sz w:val="28"/>
          <w:szCs w:val="28"/>
        </w:rPr>
        <w:t>Теоретическая рамка, выстроенная в первой главе, опирается на подходы к экономической уязвимости и устойчивости из работ Л. Бригульо и соавторов, аналитические материалы ОЭСР, а также трактовки цифровой экономики Всемирного банка и других международных организаций. В работе систематизирована пятиканальная модель влияния цифровизации на устойчивость национальных экономик: непрерывность государственных функций, фискальная трансмиссия, адаптация частного сектора, диверсификация конечного спроса и устойчивость информационно-</w:t>
      </w:r>
      <w:r w:rsidRPr="00427CD1">
        <w:rPr>
          <w:rFonts w:ascii="Times New Roman" w:hAnsi="Times New Roman" w:cs="Times New Roman"/>
          <w:sz w:val="28"/>
          <w:szCs w:val="28"/>
        </w:rPr>
        <w:lastRenderedPageBreak/>
        <w:t>коммуникационного сектора. Главный теоретический вывод первой главы: устойчивость экономики формируется не в момент кризиса, а заранее - через качество институтов, уровень инфраструктурного развития, цифровую готовность и способность экономики быстро адаптироваться к внешним шокам.</w:t>
      </w:r>
    </w:p>
    <w:p w:rsidR="00427CD1" w:rsidRPr="00427CD1" w:rsidRDefault="00427CD1" w:rsidP="006E53DB">
      <w:pPr>
        <w:spacing w:after="0" w:line="360" w:lineRule="auto"/>
        <w:ind w:firstLine="709"/>
        <w:jc w:val="both"/>
        <w:rPr>
          <w:rFonts w:ascii="Times New Roman" w:hAnsi="Times New Roman" w:cs="Times New Roman"/>
          <w:sz w:val="28"/>
          <w:szCs w:val="28"/>
        </w:rPr>
      </w:pPr>
      <w:r w:rsidRPr="00427CD1">
        <w:rPr>
          <w:rFonts w:ascii="Times New Roman" w:hAnsi="Times New Roman" w:cs="Times New Roman"/>
          <w:sz w:val="28"/>
          <w:szCs w:val="28"/>
        </w:rPr>
        <w:t>Сравнительный анализ Эстонии, Республики Корея, Сингапура и Польши показал, что высокий уровень цифровой зрелости был связан с более мягкой реакцией экономик на пандемийный шок 2020 года. Цифровое государство, онлайн-сервисы, электронная идентификация, цифровые платежи и механизмы адресной поддержки позволили этим странам быстрее сохранять государственные функции, поддерживать бизнес и население, а также частично компенсировать ограничения физической мобильности. Вместе с тем кризис 2022 года выявил пределы этого эффекта: энергетические, ценовые и геополитические шоки не могут быть полностью нейтрализованы цифровыми технологиями даже при высоком уровне цифровой инфраструктуры. Эстония и Польша, несмотря на развитые цифровые сервисы, столкнулись с высоким инфляционным давлением из-за энергетических и внешнеторговых факторов. Это подтвердило необходимость раздельного учёта кризисов 2020 и 2022 годов в эконометрической модели.</w:t>
      </w:r>
    </w:p>
    <w:p w:rsidR="00427CD1" w:rsidRPr="00427CD1" w:rsidRDefault="00427CD1" w:rsidP="006E53DB">
      <w:pPr>
        <w:spacing w:after="0" w:line="360" w:lineRule="auto"/>
        <w:ind w:firstLine="709"/>
        <w:jc w:val="both"/>
        <w:rPr>
          <w:rFonts w:ascii="Times New Roman" w:hAnsi="Times New Roman" w:cs="Times New Roman"/>
          <w:sz w:val="28"/>
          <w:szCs w:val="28"/>
        </w:rPr>
      </w:pPr>
      <w:r w:rsidRPr="00427CD1">
        <w:rPr>
          <w:rFonts w:ascii="Times New Roman" w:hAnsi="Times New Roman" w:cs="Times New Roman"/>
          <w:sz w:val="28"/>
          <w:szCs w:val="28"/>
        </w:rPr>
        <w:t xml:space="preserve">Основной эмпирический результат получен в параграфе 2.3 на несбалансированной панели 49 стран за 2010-2024 годы, включающей 707 наблюдений. Тест Чоу (F = 5,3377; p = 1,151 × 10⁻¹¹) подтвердил структурную неоднородность выборки и обосновал раздельный анализ трёх групп стран. Основная гипотеза H₁ подтверждена: коэффициент при log_internet положителен и статистически значим во всех группах - β = 0,2117 для развитых экономик, β = 0,3085 для переходных и β = 0,1978 для развивающихся. Вспомогательная гипотеза H₂ также получила подтверждение: антикризисный буферный эффект цифровизации через interaction terms статистически выявлен только в группе развитых стран </w:t>
      </w:r>
      <w:r w:rsidRPr="00427CD1">
        <w:rPr>
          <w:rFonts w:ascii="Times New Roman" w:hAnsi="Times New Roman" w:cs="Times New Roman"/>
          <w:sz w:val="28"/>
          <w:szCs w:val="28"/>
        </w:rPr>
        <w:lastRenderedPageBreak/>
        <w:t>(β_covid = 0,394; p = 0,003; β_geo = 0,394; p = 0,020). В переходных и развивающихся экономиках аналогичные эффекты не подтверждаются. Связь между цифровизацией и устойчивостью имеет пороговый характер: цифровые технологии становятся полноценным антикризисным стабилизатором только при достижении высокого уровня цифровой зрелости.</w:t>
      </w:r>
    </w:p>
    <w:p w:rsidR="00427CD1" w:rsidRPr="00427CD1" w:rsidRDefault="00427CD1" w:rsidP="006E53DB">
      <w:pPr>
        <w:spacing w:after="0" w:line="360" w:lineRule="auto"/>
        <w:ind w:firstLine="709"/>
        <w:jc w:val="both"/>
        <w:rPr>
          <w:rFonts w:ascii="Times New Roman" w:hAnsi="Times New Roman" w:cs="Times New Roman"/>
          <w:sz w:val="28"/>
          <w:szCs w:val="28"/>
        </w:rPr>
      </w:pPr>
      <w:r w:rsidRPr="00427CD1">
        <w:rPr>
          <w:rFonts w:ascii="Times New Roman" w:hAnsi="Times New Roman" w:cs="Times New Roman"/>
          <w:sz w:val="28"/>
          <w:szCs w:val="28"/>
        </w:rPr>
        <w:t>Применительно к Республике Узбекистан третья глава показала наличие асимметрии цифровой трансформации. С одной стороны, страна достигла заметного прогресса в развитии электронного правительства и базовой цифровой инфраструктуры: в 2024 году Узбекистан занял 63-е место в EGDI со значением 0,7999, уровень интернет-проникновения достиг 89%, а покрытие 4G - 97% населения. С другой стороны, сохраняется отставание по глубине цифровизации частного сектора: доля услуг информации и связи в валовой добавленной стоимости составляет 2,4% - ниже среднего уровня стран ОЭСР. Эконометрические результаты показывают, что при текущем уровне развития цифровизация в Узбекистане уже поддерживает экономический рост: рост интернет-проникновения на 1% связан с увеличением ВВП на душу населения примерно на 0,20% при прочих равных условиях. Однако антикризисная буферная функция цифровизации для группы развивающихся экономик, включая Узбекистан, пока статистически не идентифицируется. Прогнозный сценарий показывает, что переход от 90% к 95% интернет-проникновения может быть связан с эффектом около 40 долларов США на душу населения, или примерно 1,4 млрд долларов США в масштабе экономики.</w:t>
      </w:r>
    </w:p>
    <w:p w:rsidR="00427CD1" w:rsidRPr="00427CD1" w:rsidRDefault="00427CD1" w:rsidP="006E53DB">
      <w:pPr>
        <w:spacing w:after="0" w:line="360" w:lineRule="auto"/>
        <w:ind w:firstLine="709"/>
        <w:jc w:val="both"/>
        <w:rPr>
          <w:rFonts w:ascii="Times New Roman" w:hAnsi="Times New Roman" w:cs="Times New Roman"/>
          <w:sz w:val="28"/>
          <w:szCs w:val="28"/>
        </w:rPr>
      </w:pPr>
      <w:r w:rsidRPr="00427CD1">
        <w:rPr>
          <w:rFonts w:ascii="Times New Roman" w:hAnsi="Times New Roman" w:cs="Times New Roman"/>
          <w:sz w:val="28"/>
          <w:szCs w:val="28"/>
        </w:rPr>
        <w:t xml:space="preserve">Сформулированные практические рекомендации образуют поэтапную программу цифрового развития с горизонтом до 2030 года и после него. На первом этапе - 2025-2027 годы - приоритет отдаётся развитию инфраструктуры фискальной трансмиссии: MyID, межведомственной интеграции, цифровых платежей и расширения интернет-проникновения. На втором этапе - 2027-2030 годы - ключевая задача: преодоление асимметрии цифровой зрелости через цифровизацию традиционных отраслей, малого и </w:t>
      </w:r>
      <w:r w:rsidRPr="00427CD1">
        <w:rPr>
          <w:rFonts w:ascii="Times New Roman" w:hAnsi="Times New Roman" w:cs="Times New Roman"/>
          <w:sz w:val="28"/>
          <w:szCs w:val="28"/>
        </w:rPr>
        <w:lastRenderedPageBreak/>
        <w:t>среднего бизнеса, а также расширение практического использования цифровых технологий в частном секторе. После 2030 года стратегический ориентир - достижение уровня цифровой зрелости, при котором цифровизация сможет выполнять не только функцию фактора роста, но и функцию макроэкономического стабилизатора. Адаптация международного опыта при этом должна быть выборочной: эстонская X-Road - ориентир для межведомственной интероперабельности, опыт Республики Корея - пример привязки цифровизации к антикризисным программам, польская модель - основа для поддержки цифровизации малого и среднего бизнеса, а отдельные элементы сингапурской системы цифровой идентификации - ориентир для развития единого доступа к государственным и финансовым сервисам.</w:t>
      </w:r>
    </w:p>
    <w:p w:rsidR="00427CD1" w:rsidRPr="00427CD1" w:rsidRDefault="00427CD1" w:rsidP="006E53DB">
      <w:pPr>
        <w:spacing w:after="0" w:line="360" w:lineRule="auto"/>
        <w:ind w:firstLine="709"/>
        <w:jc w:val="both"/>
        <w:rPr>
          <w:rFonts w:ascii="Times New Roman" w:hAnsi="Times New Roman" w:cs="Times New Roman"/>
          <w:sz w:val="28"/>
          <w:szCs w:val="28"/>
        </w:rPr>
      </w:pPr>
      <w:r w:rsidRPr="00427CD1">
        <w:rPr>
          <w:rFonts w:ascii="Times New Roman" w:hAnsi="Times New Roman" w:cs="Times New Roman"/>
          <w:sz w:val="28"/>
          <w:szCs w:val="28"/>
        </w:rPr>
        <w:t>Научная новизна исследования состоит в трёх аспектах. Во-первых, систематизирована пятиканальная модель влияния цифровизации на экономическую устойчивость, связывающая конкретные направления цифрового развития с механизмами реакции экономики на внешние шоки. Во-вторых, на основе панельного анализа 49 стран эмпирически показан пороговый характер антикризисного буферного эффекта цифровизации: положительная связь цифровизации с ростом наблюдается во всех группах стран, но стабилизирующий эффект статистически выявляется только в развитых экономиках. В-третьих, для Республики Узбекистан предложены прогнозные сценарии, связывающие целевые ориентиры Стратегии «Цифровой Узбекистан - 2030» с количественными эконометрическими оценками. Вместе с тем исследование имеет ряд ограничений: один основной индикатор цифровизации, упрощённая идентификация кризисных периодов и небольшой размер подвыборки развивающихся экономик. Эти ограничения определяют направления дальнейших исследований - расширение набора цифровых индикаторов, применение методов IV/GMM и проведение отраслевого анализа цифровизации экономики Узбекистана.</w:t>
      </w:r>
    </w:p>
    <w:p w:rsidR="00427CD1" w:rsidRPr="00E26E25" w:rsidRDefault="00427CD1" w:rsidP="006E53DB">
      <w:pPr>
        <w:spacing w:after="0" w:line="360" w:lineRule="auto"/>
        <w:ind w:firstLine="709"/>
        <w:jc w:val="both"/>
        <w:rPr>
          <w:rFonts w:ascii="Times New Roman" w:hAnsi="Times New Roman" w:cs="Times New Roman"/>
          <w:sz w:val="28"/>
          <w:szCs w:val="28"/>
        </w:rPr>
      </w:pPr>
    </w:p>
    <w:sectPr w:rsidR="00427CD1" w:rsidRPr="00E26E2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7FEE" w:rsidRDefault="00D67FEE">
      <w:pPr>
        <w:spacing w:after="0" w:line="240" w:lineRule="auto"/>
      </w:pPr>
      <w:r>
        <w:separator/>
      </w:r>
    </w:p>
  </w:endnote>
  <w:endnote w:type="continuationSeparator" w:id="0">
    <w:p w:rsidR="00D67FEE" w:rsidRDefault="00D67F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DengXian">
    <w:altName w:val="SimSun"/>
    <w:panose1 w:val="02010600030101010101"/>
    <w:charset w:val="86"/>
    <w:family w:val="auto"/>
    <w:pitch w:val="variable"/>
    <w:sig w:usb0="A00002BF" w:usb1="38CF7CFA" w:usb2="00000016" w:usb3="00000000" w:csb0="0004000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7FEE" w:rsidRDefault="00D67FEE">
      <w:pPr>
        <w:spacing w:after="0" w:line="240" w:lineRule="auto"/>
      </w:pPr>
      <w:r>
        <w:separator/>
      </w:r>
    </w:p>
  </w:footnote>
  <w:footnote w:type="continuationSeparator" w:id="0">
    <w:p w:rsidR="00D67FEE" w:rsidRDefault="00D67FEE">
      <w:pPr>
        <w:spacing w:after="0" w:line="240" w:lineRule="auto"/>
      </w:pPr>
      <w:r>
        <w:continuationSeparator/>
      </w:r>
    </w:p>
  </w:footnote>
  <w:footnote w:id="1">
    <w:p w:rsidR="00296A1B" w:rsidRDefault="00D67FEE">
      <w:r>
        <w:footnoteRef/>
      </w:r>
      <w:r>
        <w:rPr>
          <w:rFonts w:ascii="Times New Roman" w:hAnsi="Times New Roman" w:cs="Times New Roman"/>
          <w:sz w:val="20"/>
          <w:szCs w:val="20"/>
        </w:rPr>
        <w:t xml:space="preserve"> Caldera Sánchez A. et al. Strengthening Economic Resilience: Insights from the Post-1970 Record of Severe Recessions and Financial Crises // OECD Economic Policy Papers. 2017. No. 20. P. 8. DOI: https://do</w:t>
      </w:r>
      <w:r>
        <w:rPr>
          <w:rFonts w:ascii="Times New Roman" w:hAnsi="Times New Roman" w:cs="Times New Roman"/>
          <w:sz w:val="20"/>
          <w:szCs w:val="20"/>
        </w:rPr>
        <w:t>i.org/10.1787/6b748a4b-en.</w:t>
      </w:r>
    </w:p>
  </w:footnote>
  <w:footnote w:id="2">
    <w:p w:rsidR="00296A1B" w:rsidRDefault="00D67FEE">
      <w:r>
        <w:footnoteRef/>
      </w:r>
      <w:r>
        <w:rPr>
          <w:rFonts w:ascii="Times New Roman" w:hAnsi="Times New Roman" w:cs="Times New Roman"/>
          <w:sz w:val="20"/>
          <w:szCs w:val="20"/>
        </w:rPr>
        <w:t xml:space="preserve"> Oikonomou M., Pierri N., Timmer Y. IT Shields: Technology Adoption and Economic Resilience during the COVID-19 Pandemic // Labour Economics. 2023. Vol. 81. Article 102330. DOI: https://doi.org/10.1016/j.labeco.2023.102330.</w:t>
      </w:r>
    </w:p>
  </w:footnote>
  <w:footnote w:id="3">
    <w:p w:rsidR="00296A1B" w:rsidRDefault="00D67FEE">
      <w:r>
        <w:footnoteRef/>
      </w:r>
      <w:r>
        <w:rPr>
          <w:rFonts w:ascii="Times New Roman" w:hAnsi="Times New Roman" w:cs="Times New Roman"/>
          <w:sz w:val="20"/>
          <w:szCs w:val="20"/>
        </w:rPr>
        <w:t xml:space="preserve"> Ук</w:t>
      </w:r>
      <w:r>
        <w:rPr>
          <w:rFonts w:ascii="Times New Roman" w:hAnsi="Times New Roman" w:cs="Times New Roman"/>
          <w:sz w:val="20"/>
          <w:szCs w:val="20"/>
        </w:rPr>
        <w:t>аз Президента Республики Узбекистан от 5 октября 2020 г. № УП-6079 «Об утверждении Стратегии "Цифровой Узбекистан - 2030" и мерах по её эффективной реализации». Национальная база данных законодательства Республики Узбекистан, 2020. URL: https://lex.uz/ru/d</w:t>
      </w:r>
      <w:r>
        <w:rPr>
          <w:rFonts w:ascii="Times New Roman" w:hAnsi="Times New Roman" w:cs="Times New Roman"/>
          <w:sz w:val="20"/>
          <w:szCs w:val="20"/>
        </w:rPr>
        <w:t>ocs/5031048</w:t>
      </w:r>
    </w:p>
  </w:footnote>
  <w:footnote w:id="4">
    <w:p w:rsidR="00296A1B" w:rsidRDefault="00D67FEE">
      <w:r>
        <w:footnoteRef/>
      </w:r>
      <w:r>
        <w:rPr>
          <w:rFonts w:ascii="Times New Roman" w:hAnsi="Times New Roman" w:cs="Times New Roman"/>
          <w:sz w:val="20"/>
          <w:szCs w:val="20"/>
        </w:rPr>
        <w:t xml:space="preserve"> Briguglio L., Cordina G., Farrugia N., Vella S. Economic Vulnerability and Resilience: Concepts and Measurements // Oxford Development Studies. 2009. Vol. 37, No. 3. P. 229-247. DOI: https://doi.org/10.1080/13600810903089893.</w:t>
      </w:r>
    </w:p>
  </w:footnote>
  <w:footnote w:id="5">
    <w:p w:rsidR="00296A1B" w:rsidRDefault="00D67FEE">
      <w:r>
        <w:footnoteRef/>
      </w:r>
      <w:r>
        <w:rPr>
          <w:rFonts w:ascii="Times New Roman" w:hAnsi="Times New Roman" w:cs="Times New Roman"/>
          <w:sz w:val="20"/>
          <w:szCs w:val="20"/>
        </w:rPr>
        <w:t xml:space="preserve"> United Nations</w:t>
      </w:r>
      <w:r>
        <w:rPr>
          <w:rFonts w:ascii="Times New Roman" w:hAnsi="Times New Roman" w:cs="Times New Roman"/>
          <w:sz w:val="20"/>
          <w:szCs w:val="20"/>
        </w:rPr>
        <w:t xml:space="preserve"> Department of Economic and Social Affairs (UN DESA). UN E-Government Survey 2024: Accelerating Digital Transformation for Sustainable Development. New York: United Nations, 2024. URL: https://publicadministration.un.org/egovkb/en-us/reports/un-e-governmen</w:t>
      </w:r>
      <w:r>
        <w:rPr>
          <w:rFonts w:ascii="Times New Roman" w:hAnsi="Times New Roman" w:cs="Times New Roman"/>
          <w:sz w:val="20"/>
          <w:szCs w:val="20"/>
        </w:rPr>
        <w:t>t-survey-2024</w:t>
      </w:r>
    </w:p>
  </w:footnote>
  <w:footnote w:id="6">
    <w:p w:rsidR="00296A1B" w:rsidRDefault="00D67FEE">
      <w:r>
        <w:footnoteRef/>
      </w:r>
      <w:r>
        <w:rPr>
          <w:rFonts w:ascii="Times New Roman" w:hAnsi="Times New Roman" w:cs="Times New Roman"/>
          <w:sz w:val="20"/>
          <w:szCs w:val="20"/>
        </w:rPr>
        <w:t xml:space="preserve"> World Bank. World Development Indicators database. Washington, D.C.: World Bank. URL: https://databank.worldbank.org/source/world-development-indicators</w:t>
      </w:r>
    </w:p>
  </w:footnote>
  <w:footnote w:id="7">
    <w:p w:rsidR="00296A1B" w:rsidRDefault="00D67FEE">
      <w:r>
        <w:footnoteRef/>
      </w:r>
      <w:r>
        <w:rPr>
          <w:rFonts w:ascii="Times New Roman" w:hAnsi="Times New Roman" w:cs="Times New Roman"/>
          <w:sz w:val="20"/>
          <w:szCs w:val="20"/>
        </w:rPr>
        <w:t xml:space="preserve"> OECD. OECD Digital Economy Outlook 2024. Vol. 1: Embracing the Technology Frontier. Paris: OECD Publishing, 2024. P. 17-18. DOI: https://doi.org/10.1787/a1689dc5-en.</w:t>
      </w:r>
    </w:p>
  </w:footnote>
  <w:footnote w:id="8">
    <w:p w:rsidR="00296A1B" w:rsidRDefault="00D67FEE">
      <w:r>
        <w:footnoteRef/>
      </w:r>
      <w:r>
        <w:rPr>
          <w:rFonts w:ascii="Times New Roman" w:hAnsi="Times New Roman" w:cs="Times New Roman"/>
          <w:sz w:val="20"/>
          <w:szCs w:val="20"/>
        </w:rPr>
        <w:t xml:space="preserve"> OECD. OECD Structural Analysis (STAN) Database. Paris: OECD, 2024. URL: https://doi.org</w:t>
      </w:r>
      <w:r>
        <w:rPr>
          <w:rFonts w:ascii="Times New Roman" w:hAnsi="Times New Roman" w:cs="Times New Roman"/>
          <w:sz w:val="20"/>
          <w:szCs w:val="20"/>
        </w:rPr>
        <w:t>/10.1787/data-00037-en. Классификация ИКТ-сектора приводится по ISIC Rev.4, divisions D26, D61, D62-63.</w:t>
      </w:r>
    </w:p>
  </w:footnote>
  <w:footnote w:id="9">
    <w:p w:rsidR="00296A1B" w:rsidRDefault="00D67FEE">
      <w:r>
        <w:footnoteRef/>
      </w:r>
      <w:r>
        <w:rPr>
          <w:rFonts w:ascii="Times New Roman" w:hAnsi="Times New Roman" w:cs="Times New Roman"/>
          <w:sz w:val="20"/>
          <w:szCs w:val="20"/>
        </w:rPr>
        <w:t xml:space="preserve"> OECD. OECD Digital Economy Outlook 2024. Vol. 1: Embracing the Technology Frontier. Paris: OECD Publishing, 2024. P. 22-24. DOI: https://doi.org/10.17</w:t>
      </w:r>
      <w:r>
        <w:rPr>
          <w:rFonts w:ascii="Times New Roman" w:hAnsi="Times New Roman" w:cs="Times New Roman"/>
          <w:sz w:val="20"/>
          <w:szCs w:val="20"/>
        </w:rPr>
        <w:t>87/a1689dc5-en.</w:t>
      </w:r>
    </w:p>
  </w:footnote>
  <w:footnote w:id="10">
    <w:p w:rsidR="00296A1B" w:rsidRDefault="00D67FEE">
      <w:r>
        <w:footnoteRef/>
      </w:r>
      <w:r>
        <w:rPr>
          <w:rFonts w:ascii="Times New Roman" w:hAnsi="Times New Roman" w:cs="Times New Roman"/>
          <w:sz w:val="20"/>
          <w:szCs w:val="20"/>
        </w:rPr>
        <w:t xml:space="preserve"> OECD. OECD Digital Economy Outlook 2024; European Commission. DESI; UN DESA. E-Government Survey 2024; Portulans Institute. Network Readiness Index 2024.</w:t>
      </w:r>
    </w:p>
  </w:footnote>
  <w:footnote w:id="11">
    <w:p w:rsidR="00296A1B" w:rsidRDefault="00D67FEE">
      <w:r>
        <w:footnoteRef/>
      </w:r>
      <w:r>
        <w:rPr>
          <w:rFonts w:ascii="Times New Roman" w:hAnsi="Times New Roman" w:cs="Times New Roman"/>
          <w:sz w:val="20"/>
          <w:szCs w:val="20"/>
        </w:rPr>
        <w:t xml:space="preserve"> OECD. OECD Digital Economy Outlook 2024. Vol. 1: Embracing the Technology Frontier</w:t>
      </w:r>
      <w:r>
        <w:rPr>
          <w:rFonts w:ascii="Times New Roman" w:hAnsi="Times New Roman" w:cs="Times New Roman"/>
          <w:sz w:val="20"/>
          <w:szCs w:val="20"/>
        </w:rPr>
        <w:t>. Paris: OECD Publishing, 2024. P. 22-24. DOI: https://doi.org/10.1787/a1689dc5-en.</w:t>
      </w:r>
    </w:p>
  </w:footnote>
  <w:footnote w:id="12">
    <w:p w:rsidR="00296A1B" w:rsidRDefault="00D67FEE">
      <w:r>
        <w:footnoteRef/>
      </w:r>
      <w:r>
        <w:rPr>
          <w:rFonts w:ascii="Times New Roman" w:hAnsi="Times New Roman" w:cs="Times New Roman"/>
          <w:sz w:val="20"/>
          <w:szCs w:val="20"/>
        </w:rPr>
        <w:t xml:space="preserve"> Eurostat. Cloud Computing - Statistics on the Use by Enterprises. Luxembourg: Eurostat, 2023. URL: https://ec.europa.eu/eurostat/statistics-explained/index.php?title=Clou</w:t>
      </w:r>
      <w:r>
        <w:rPr>
          <w:rFonts w:ascii="Times New Roman" w:hAnsi="Times New Roman" w:cs="Times New Roman"/>
          <w:sz w:val="20"/>
          <w:szCs w:val="20"/>
        </w:rPr>
        <w:t>d_computing_-_statistics_on_the_use_by_enterprises.</w:t>
      </w:r>
    </w:p>
  </w:footnote>
  <w:footnote w:id="13">
    <w:p w:rsidR="00296A1B" w:rsidRDefault="00D67FEE">
      <w:r>
        <w:footnoteRef/>
      </w:r>
      <w:r>
        <w:rPr>
          <w:rFonts w:ascii="Times New Roman" w:hAnsi="Times New Roman" w:cs="Times New Roman"/>
          <w:sz w:val="20"/>
          <w:szCs w:val="20"/>
        </w:rPr>
        <w:t xml:space="preserve"> OECD. OECD Digital Economy Outlook 2024. Vol. 1: Embracing the Technology Frontier. Paris: OECD Publishing, 2024. P. 22-24. DOI: https://doi.org/10.1787/a1689dc5-en.</w:t>
      </w:r>
    </w:p>
  </w:footnote>
  <w:footnote w:id="14">
    <w:p w:rsidR="00296A1B" w:rsidRDefault="00D67FEE">
      <w:r>
        <w:footnoteRef/>
      </w:r>
      <w:r>
        <w:rPr>
          <w:rFonts w:ascii="Times New Roman" w:hAnsi="Times New Roman" w:cs="Times New Roman"/>
          <w:sz w:val="20"/>
          <w:szCs w:val="20"/>
        </w:rPr>
        <w:t xml:space="preserve"> OECD. Development Co-operation Rep</w:t>
      </w:r>
      <w:r>
        <w:rPr>
          <w:rFonts w:ascii="Times New Roman" w:hAnsi="Times New Roman" w:cs="Times New Roman"/>
          <w:sz w:val="20"/>
          <w:szCs w:val="20"/>
        </w:rPr>
        <w:t>ort 2020: Learning from Crises, Building Resilience. Paris: OECD Publishing, 2020. P. 36, 60. DOI: https://doi.org/10.1787/f6d42aa5-en.</w:t>
      </w:r>
    </w:p>
  </w:footnote>
  <w:footnote w:id="15">
    <w:p w:rsidR="00296A1B" w:rsidRDefault="00D67FEE">
      <w:r>
        <w:footnoteRef/>
      </w:r>
      <w:r>
        <w:rPr>
          <w:rFonts w:ascii="Times New Roman" w:hAnsi="Times New Roman" w:cs="Times New Roman"/>
          <w:sz w:val="20"/>
          <w:szCs w:val="20"/>
        </w:rPr>
        <w:t xml:space="preserve"> OECD. OECD Digital Economy Outlook 2024. Vol. 1: Embracing the Technology Frontier. Paris: OECD Publishing, 2024. P. 8</w:t>
      </w:r>
      <w:r>
        <w:rPr>
          <w:rFonts w:ascii="Times New Roman" w:hAnsi="Times New Roman" w:cs="Times New Roman"/>
          <w:sz w:val="20"/>
          <w:szCs w:val="20"/>
        </w:rPr>
        <w:t>9, 100. DOI: https://doi.org/10.1787/a1689dc5-en.</w:t>
      </w:r>
    </w:p>
  </w:footnote>
  <w:footnote w:id="16">
    <w:p w:rsidR="00296A1B" w:rsidRDefault="00D67FEE">
      <w:r>
        <w:footnoteRef/>
      </w:r>
      <w:r>
        <w:rPr>
          <w:rFonts w:ascii="Times New Roman" w:hAnsi="Times New Roman" w:cs="Times New Roman"/>
          <w:sz w:val="20"/>
          <w:szCs w:val="20"/>
        </w:rPr>
        <w:t xml:space="preserve"> World Bank. World Development Report 2016: Digital Dividends. Washington, D.C.: World Bank, 2016. DOI: https://doi.org/10.1596/978-1-4648-0671-1.</w:t>
      </w:r>
    </w:p>
  </w:footnote>
  <w:footnote w:id="17">
    <w:p w:rsidR="00296A1B" w:rsidRDefault="00D67FEE">
      <w:r>
        <w:footnoteRef/>
      </w:r>
      <w:r>
        <w:rPr>
          <w:rFonts w:ascii="Times New Roman" w:hAnsi="Times New Roman" w:cs="Times New Roman"/>
          <w:sz w:val="20"/>
          <w:szCs w:val="20"/>
        </w:rPr>
        <w:t xml:space="preserve"> Oikonomou M., Pierri N., Timmer Y. IT Shields: Technolog</w:t>
      </w:r>
      <w:r>
        <w:rPr>
          <w:rFonts w:ascii="Times New Roman" w:hAnsi="Times New Roman" w:cs="Times New Roman"/>
          <w:sz w:val="20"/>
          <w:szCs w:val="20"/>
        </w:rPr>
        <w:t>y Adoption and Economic Resilience during the COVID-19 Pandemic // Labour Economics. 2023. Vol. 81. Article 102330. DOI: https://doi.org/10.1016/j.labeco.2023.102330.</w:t>
      </w:r>
    </w:p>
  </w:footnote>
  <w:footnote w:id="18">
    <w:p w:rsidR="00296A1B" w:rsidRDefault="00D67FEE">
      <w:r>
        <w:footnoteRef/>
      </w:r>
      <w:r>
        <w:rPr>
          <w:rFonts w:ascii="Times New Roman" w:hAnsi="Times New Roman" w:cs="Times New Roman"/>
          <w:sz w:val="20"/>
          <w:szCs w:val="20"/>
        </w:rPr>
        <w:t xml:space="preserve"> Caldera Sánchez A., Rasmussen M., Röhn O. Economic Resilience: What Role for Policies? // OECD Economics Department Working Papers. 2015. No. 1251. P. 5. DOI: https://doi.org/10.1787/5jrxhgf61q5j-en.</w:t>
      </w:r>
    </w:p>
  </w:footnote>
  <w:footnote w:id="19">
    <w:p w:rsidR="00296A1B" w:rsidRDefault="00D67FEE">
      <w:r>
        <w:footnoteRef/>
      </w:r>
      <w:r>
        <w:rPr>
          <w:rFonts w:ascii="Times New Roman" w:hAnsi="Times New Roman" w:cs="Times New Roman"/>
          <w:sz w:val="20"/>
          <w:szCs w:val="20"/>
        </w:rPr>
        <w:t xml:space="preserve"> Briguglio L., Cordina G., Farrugia N., Vella S. Econo</w:t>
      </w:r>
      <w:r>
        <w:rPr>
          <w:rFonts w:ascii="Times New Roman" w:hAnsi="Times New Roman" w:cs="Times New Roman"/>
          <w:sz w:val="20"/>
          <w:szCs w:val="20"/>
        </w:rPr>
        <w:t>mic Vulnerability and Resilience: Concepts and Measurements // UNU-WIDER Research Paper. 2008. No. 2008/55. P. 2-4, 11-14.</w:t>
      </w:r>
    </w:p>
  </w:footnote>
  <w:footnote w:id="20">
    <w:p w:rsidR="00296A1B" w:rsidRDefault="00D67FEE">
      <w:r>
        <w:footnoteRef/>
      </w:r>
      <w:r>
        <w:rPr>
          <w:rFonts w:ascii="Times New Roman" w:hAnsi="Times New Roman" w:cs="Times New Roman"/>
          <w:sz w:val="20"/>
          <w:szCs w:val="20"/>
        </w:rPr>
        <w:t xml:space="preserve"> Caldera Sánchez A. et al. Economic Resilience: What Role for Policies? // OECD Economics Department Working Papers. 2015. No. 1251.</w:t>
      </w:r>
      <w:r>
        <w:rPr>
          <w:rFonts w:ascii="Times New Roman" w:hAnsi="Times New Roman" w:cs="Times New Roman"/>
          <w:sz w:val="20"/>
          <w:szCs w:val="20"/>
        </w:rPr>
        <w:t xml:space="preserve"> P. 5-7. DOI: https://doi.org/10.1787/5jrxhgf61q5j-en</w:t>
      </w:r>
    </w:p>
  </w:footnote>
  <w:footnote w:id="21">
    <w:p w:rsidR="00296A1B" w:rsidRDefault="00D67FEE">
      <w:r>
        <w:footnoteRef/>
      </w:r>
      <w:r>
        <w:rPr>
          <w:rFonts w:ascii="Times New Roman" w:hAnsi="Times New Roman" w:cs="Times New Roman"/>
          <w:sz w:val="20"/>
          <w:szCs w:val="20"/>
        </w:rPr>
        <w:t xml:space="preserve"> Caldera Sánchez A., Rasmussen M., Röhn O. Economic Resilience: What Role for Policies? // OECD Economics Department Working Papers. 2015. No. 1251. P. 6. DOI: https://doi.org/10.1787/5jrxhgf61q5j-en</w:t>
      </w:r>
    </w:p>
  </w:footnote>
  <w:footnote w:id="22">
    <w:p w:rsidR="00296A1B" w:rsidRDefault="00D67FEE">
      <w:r>
        <w:footnoteRef/>
      </w:r>
      <w:r>
        <w:rPr>
          <w:rFonts w:ascii="Times New Roman" w:hAnsi="Times New Roman" w:cs="Times New Roman"/>
          <w:sz w:val="20"/>
          <w:szCs w:val="20"/>
        </w:rPr>
        <w:t xml:space="preserve"> Caldera Sánchez A. et al. Strengthening Economic Resilience // OECD Economic Policy Papers. No. 20. Paris: OECD Publishing, 2017. P. 7-8. DOI: https://doi.org/10.1787/6b748a4b-en</w:t>
      </w:r>
    </w:p>
  </w:footnote>
  <w:footnote w:id="23">
    <w:p w:rsidR="00296A1B" w:rsidRDefault="00D67FEE">
      <w:r>
        <w:footnoteRef/>
      </w:r>
      <w:r>
        <w:rPr>
          <w:rFonts w:ascii="Times New Roman" w:hAnsi="Times New Roman" w:cs="Times New Roman"/>
          <w:sz w:val="20"/>
          <w:szCs w:val="20"/>
        </w:rPr>
        <w:t xml:space="preserve"> Caldera Sánchez A. et al. Strengthening Economic Resilience // OECD Econom</w:t>
      </w:r>
      <w:r>
        <w:rPr>
          <w:rFonts w:ascii="Times New Roman" w:hAnsi="Times New Roman" w:cs="Times New Roman"/>
          <w:sz w:val="20"/>
          <w:szCs w:val="20"/>
        </w:rPr>
        <w:t>ic Policy Papers. 2017. No. 20. P. 8. DOI: https://doi.org/10.1787/6b748a4b-en</w:t>
      </w:r>
    </w:p>
  </w:footnote>
  <w:footnote w:id="24">
    <w:p w:rsidR="00296A1B" w:rsidRDefault="00D67FEE">
      <w:r>
        <w:footnoteRef/>
      </w:r>
      <w:r>
        <w:rPr>
          <w:rFonts w:ascii="Times New Roman" w:hAnsi="Times New Roman" w:cs="Times New Roman"/>
          <w:sz w:val="20"/>
          <w:szCs w:val="20"/>
        </w:rPr>
        <w:t xml:space="preserve"> Hermansen M., Röhn O. Economic Resilience: The Usefulness of Early Warning Indicators in OECD Countries // OECD Economics Department Working Papers. 2015. No. 1250. P. 1-27. D</w:t>
      </w:r>
      <w:r>
        <w:rPr>
          <w:rFonts w:ascii="Times New Roman" w:hAnsi="Times New Roman" w:cs="Times New Roman"/>
          <w:sz w:val="20"/>
          <w:szCs w:val="20"/>
        </w:rPr>
        <w:t>OI: https://doi.org/10.1787/5jrxhgfqx3mv-en</w:t>
      </w:r>
    </w:p>
  </w:footnote>
  <w:footnote w:id="25">
    <w:p w:rsidR="00296A1B" w:rsidRDefault="00D67FEE">
      <w:r>
        <w:footnoteRef/>
      </w:r>
      <w:r>
        <w:rPr>
          <w:rFonts w:ascii="Times New Roman" w:hAnsi="Times New Roman" w:cs="Times New Roman"/>
          <w:sz w:val="20"/>
          <w:szCs w:val="20"/>
        </w:rPr>
        <w:t xml:space="preserve"> OECD. Development Co-operation Report 2020: Learning from Crises, Building Resilience. Paris: OECD Publishing, 2020. P. 35-37. DOI: https://doi.org/10.1787/f6d42aa5-en</w:t>
      </w:r>
    </w:p>
  </w:footnote>
  <w:footnote w:id="26">
    <w:p w:rsidR="00296A1B" w:rsidRDefault="00D67FEE">
      <w:r>
        <w:footnoteRef/>
      </w:r>
      <w:r>
        <w:rPr>
          <w:rFonts w:ascii="Times New Roman" w:hAnsi="Times New Roman" w:cs="Times New Roman"/>
          <w:sz w:val="20"/>
          <w:szCs w:val="20"/>
        </w:rPr>
        <w:t xml:space="preserve"> OECD. Development Co-operation Report 20</w:t>
      </w:r>
      <w:r>
        <w:rPr>
          <w:rFonts w:ascii="Times New Roman" w:hAnsi="Times New Roman" w:cs="Times New Roman"/>
          <w:sz w:val="20"/>
          <w:szCs w:val="20"/>
        </w:rPr>
        <w:t>20: Learning from Crises, Building Resilience. Paris: OECD Publishing, 2020. P. 57. DOI: https://doi.org/10.1787/f6d42aa5-en</w:t>
      </w:r>
    </w:p>
  </w:footnote>
  <w:footnote w:id="27">
    <w:p w:rsidR="00296A1B" w:rsidRDefault="00D67FEE">
      <w:r>
        <w:footnoteRef/>
      </w:r>
      <w:r>
        <w:rPr>
          <w:rFonts w:ascii="Times New Roman" w:hAnsi="Times New Roman" w:cs="Times New Roman"/>
          <w:sz w:val="20"/>
          <w:szCs w:val="20"/>
        </w:rPr>
        <w:t xml:space="preserve"> OECD. Development Co-operation Report 2020. P. 57-59. DOI: https://doi.org/10.1787/f6d42aa5-en</w:t>
      </w:r>
    </w:p>
  </w:footnote>
  <w:footnote w:id="28">
    <w:p w:rsidR="00296A1B" w:rsidRDefault="00D67FEE">
      <w:r>
        <w:footnoteRef/>
      </w:r>
      <w:r>
        <w:rPr>
          <w:rFonts w:ascii="Times New Roman" w:hAnsi="Times New Roman" w:cs="Times New Roman"/>
          <w:sz w:val="20"/>
          <w:szCs w:val="20"/>
        </w:rPr>
        <w:t xml:space="preserve"> Oikonomou M. et al. IT Shields /</w:t>
      </w:r>
      <w:r>
        <w:rPr>
          <w:rFonts w:ascii="Times New Roman" w:hAnsi="Times New Roman" w:cs="Times New Roman"/>
          <w:sz w:val="20"/>
          <w:szCs w:val="20"/>
        </w:rPr>
        <w:t>/ Labour Economics. 2023. Vol. 81. Article 102330. DOI: https://doi.org/10.1016/j.labeco.2023.102330</w:t>
      </w:r>
    </w:p>
  </w:footnote>
  <w:footnote w:id="29">
    <w:p w:rsidR="00296A1B" w:rsidRDefault="00D67FEE">
      <w:r>
        <w:footnoteRef/>
      </w:r>
      <w:r>
        <w:rPr>
          <w:rFonts w:ascii="Times New Roman" w:hAnsi="Times New Roman" w:cs="Times New Roman"/>
          <w:sz w:val="20"/>
          <w:szCs w:val="20"/>
        </w:rPr>
        <w:t xml:space="preserve"> OECD. Digital Economy Outlook 2024. Vol. 1. P. 88. DOI: https://doi.org/10.1787/a1689dc5-en</w:t>
      </w:r>
    </w:p>
  </w:footnote>
  <w:footnote w:id="30">
    <w:p w:rsidR="00296A1B" w:rsidRDefault="00D67FEE">
      <w:r>
        <w:footnoteRef/>
      </w:r>
      <w:r>
        <w:rPr>
          <w:rFonts w:ascii="Times New Roman" w:hAnsi="Times New Roman" w:cs="Times New Roman"/>
          <w:sz w:val="20"/>
          <w:szCs w:val="20"/>
        </w:rPr>
        <w:t xml:space="preserve"> Eurostat. E-commerce statistics for individuals // Statisti</w:t>
      </w:r>
      <w:r>
        <w:rPr>
          <w:rFonts w:ascii="Times New Roman" w:hAnsi="Times New Roman" w:cs="Times New Roman"/>
          <w:sz w:val="20"/>
          <w:szCs w:val="20"/>
        </w:rPr>
        <w:t>cs Explained. Luxembourg: Eurostat, 2023. URL: https://ec.europa.eu/eurostat/statistics-explained/index.php/E-commerce_statistics_for_individuals</w:t>
      </w:r>
    </w:p>
  </w:footnote>
  <w:footnote w:id="31">
    <w:p w:rsidR="00296A1B" w:rsidRDefault="00D67FEE">
      <w:r>
        <w:footnoteRef/>
      </w:r>
      <w:r>
        <w:rPr>
          <w:rFonts w:ascii="Times New Roman" w:hAnsi="Times New Roman" w:cs="Times New Roman"/>
          <w:sz w:val="20"/>
          <w:szCs w:val="20"/>
        </w:rPr>
        <w:t xml:space="preserve"> OECD Digital Economy Outlook 2024. Vol. 1. Paris: OECD Publishing, 2024. P. 92. DOI: https://doi.org/10.1787</w:t>
      </w:r>
      <w:r>
        <w:rPr>
          <w:rFonts w:ascii="Times New Roman" w:hAnsi="Times New Roman" w:cs="Times New Roman"/>
          <w:sz w:val="20"/>
          <w:szCs w:val="20"/>
        </w:rPr>
        <w:t>/a1689dc5-en</w:t>
      </w:r>
    </w:p>
  </w:footnote>
  <w:footnote w:id="32">
    <w:p w:rsidR="00296A1B" w:rsidRDefault="00D67FEE">
      <w:r>
        <w:footnoteRef/>
      </w:r>
      <w:r>
        <w:rPr>
          <w:sz w:val="20"/>
          <w:szCs w:val="20"/>
        </w:rPr>
        <w:t xml:space="preserve"> OECD. OECD Digital Economy Outlook 2024. Vol. 1: Embracing the Technology Frontier. Paris: OECD Publishing, 2024. P. 22-24. DOI: https://doi.org/10.1787/a1689dc5-en.</w:t>
      </w:r>
    </w:p>
  </w:footnote>
  <w:footnote w:id="33">
    <w:p w:rsidR="00296A1B" w:rsidRDefault="00D67FEE">
      <w:r>
        <w:footnoteRef/>
      </w:r>
      <w:r>
        <w:rPr>
          <w:rFonts w:ascii="Times New Roman" w:hAnsi="Times New Roman" w:cs="Times New Roman"/>
          <w:sz w:val="20"/>
          <w:szCs w:val="20"/>
        </w:rPr>
        <w:t xml:space="preserve"> Hermansen M., Röhn O. Economic Resilience: The Usefulness of Early Warnin</w:t>
      </w:r>
      <w:r>
        <w:rPr>
          <w:rFonts w:ascii="Times New Roman" w:hAnsi="Times New Roman" w:cs="Times New Roman"/>
          <w:sz w:val="20"/>
          <w:szCs w:val="20"/>
        </w:rPr>
        <w:t>g Indicators in OECD Countries // OECD Economics Department Working Papers. 2015. No. 1250. P. 1-27. DOI: https://doi.org/10.1787/5jrxhgfqx3mv-en</w:t>
      </w:r>
    </w:p>
  </w:footnote>
  <w:footnote w:id="34">
    <w:p w:rsidR="00296A1B" w:rsidRDefault="00D67FEE">
      <w:r>
        <w:footnoteRef/>
      </w:r>
      <w:r>
        <w:rPr>
          <w:rFonts w:ascii="Times New Roman" w:hAnsi="Times New Roman" w:cs="Times New Roman"/>
          <w:sz w:val="20"/>
          <w:szCs w:val="20"/>
        </w:rPr>
        <w:t xml:space="preserve"> Caldera Sánchez A., Gori F. Can Reforms Promoting Growth Increase Financial Fragility? // OECD Economics Dep</w:t>
      </w:r>
      <w:r>
        <w:rPr>
          <w:rFonts w:ascii="Times New Roman" w:hAnsi="Times New Roman" w:cs="Times New Roman"/>
          <w:sz w:val="20"/>
          <w:szCs w:val="20"/>
        </w:rPr>
        <w:t>artment Working Papers. 2016. No. 1340. DOI: https://doi.org/10.1787/5jln0421ld25-en</w:t>
      </w:r>
    </w:p>
  </w:footnote>
  <w:footnote w:id="35">
    <w:p w:rsidR="00296A1B" w:rsidRDefault="00D67FEE">
      <w:r>
        <w:footnoteRef/>
      </w:r>
      <w:r>
        <w:rPr>
          <w:rFonts w:ascii="Times New Roman" w:hAnsi="Times New Roman" w:cs="Times New Roman"/>
          <w:sz w:val="20"/>
          <w:szCs w:val="20"/>
        </w:rPr>
        <w:t xml:space="preserve"> Education Estonia. How it all began? From Tiger Leap to digital society. 2023. URL: https://www.educationestonia.org/tiger-leap/</w:t>
      </w:r>
    </w:p>
  </w:footnote>
  <w:footnote w:id="36">
    <w:p w:rsidR="00296A1B" w:rsidRDefault="00D67FEE">
      <w:r>
        <w:footnoteRef/>
      </w:r>
      <w:r>
        <w:rPr>
          <w:rFonts w:ascii="Times New Roman" w:hAnsi="Times New Roman" w:cs="Times New Roman"/>
          <w:sz w:val="20"/>
          <w:szCs w:val="20"/>
        </w:rPr>
        <w:t xml:space="preserve"> Tambur S. Estonia's Tiger Leap: The Sc</w:t>
      </w:r>
      <w:r>
        <w:rPr>
          <w:rFonts w:ascii="Times New Roman" w:hAnsi="Times New Roman" w:cs="Times New Roman"/>
          <w:sz w:val="20"/>
          <w:szCs w:val="20"/>
        </w:rPr>
        <w:t>hools Project That Wired a Nation for the Digital Age // Estonian World. 21.02.2026. URL: https://estonianworld.com/technology/estonias-tiger-leap-the-schools-project-that-wired-a-nation-for-the-digital-age/</w:t>
      </w:r>
    </w:p>
  </w:footnote>
  <w:footnote w:id="37">
    <w:p w:rsidR="00296A1B" w:rsidRDefault="00D67FEE">
      <w:r>
        <w:footnoteRef/>
      </w:r>
      <w:r>
        <w:rPr>
          <w:rFonts w:ascii="Times New Roman" w:hAnsi="Times New Roman" w:cs="Times New Roman"/>
          <w:sz w:val="20"/>
          <w:szCs w:val="20"/>
        </w:rPr>
        <w:t xml:space="preserve"> X-Road Global. X-Road History. URL: https://x-road.global/xroad-history</w:t>
      </w:r>
    </w:p>
  </w:footnote>
  <w:footnote w:id="38">
    <w:p w:rsidR="00296A1B" w:rsidRDefault="00D67FEE">
      <w:r>
        <w:footnoteRef/>
      </w:r>
      <w:r>
        <w:rPr>
          <w:rFonts w:ascii="Times New Roman" w:hAnsi="Times New Roman" w:cs="Times New Roman"/>
          <w:sz w:val="20"/>
          <w:szCs w:val="20"/>
        </w:rPr>
        <w:t xml:space="preserve"> Cybernetica. Estonian Interoperability Framework X-Road. 2021. URL: https://cyber.ee/resources/case-studies/estonian-interoperability-framework-x-road/</w:t>
      </w:r>
    </w:p>
  </w:footnote>
  <w:footnote w:id="39">
    <w:p w:rsidR="00296A1B" w:rsidRDefault="00D67FEE">
      <w:r>
        <w:footnoteRef/>
      </w:r>
      <w:r>
        <w:rPr>
          <w:rFonts w:ascii="Times New Roman" w:hAnsi="Times New Roman" w:cs="Times New Roman"/>
          <w:sz w:val="20"/>
          <w:szCs w:val="20"/>
        </w:rPr>
        <w:t xml:space="preserve"> Invest in Estonia. E-Reside</w:t>
      </w:r>
      <w:r>
        <w:rPr>
          <w:rFonts w:ascii="Times New Roman" w:hAnsi="Times New Roman" w:cs="Times New Roman"/>
          <w:sz w:val="20"/>
          <w:szCs w:val="20"/>
        </w:rPr>
        <w:t>ncy Brings Record Revenue in First Half of 2025. August 2025. URL: https://investinestonia.com/e-residency-brings-record-revenue-in-first-half-of-2025/</w:t>
      </w:r>
    </w:p>
  </w:footnote>
  <w:footnote w:id="40">
    <w:p w:rsidR="00296A1B" w:rsidRDefault="00D67FEE">
      <w:r>
        <w:footnoteRef/>
      </w:r>
      <w:r>
        <w:rPr>
          <w:rFonts w:ascii="Times New Roman" w:hAnsi="Times New Roman" w:cs="Times New Roman"/>
          <w:sz w:val="20"/>
          <w:szCs w:val="20"/>
        </w:rPr>
        <w:t xml:space="preserve"> The Baltic Times. New Milestone for e-Residency with Record Number of Companies Founded in 2024. Janua</w:t>
      </w:r>
      <w:r>
        <w:rPr>
          <w:rFonts w:ascii="Times New Roman" w:hAnsi="Times New Roman" w:cs="Times New Roman"/>
          <w:sz w:val="20"/>
          <w:szCs w:val="20"/>
        </w:rPr>
        <w:t>ry 2025. URL: https://www.baltictimes.com/new_milestone_for_e-residency_with_record_number_of_companies_founded_in_2024/</w:t>
      </w:r>
    </w:p>
  </w:footnote>
  <w:footnote w:id="41">
    <w:p w:rsidR="00296A1B" w:rsidRDefault="00D67FEE">
      <w:r>
        <w:footnoteRef/>
      </w:r>
      <w:r>
        <w:rPr>
          <w:rFonts w:ascii="Times New Roman" w:hAnsi="Times New Roman" w:cs="Times New Roman"/>
          <w:sz w:val="20"/>
          <w:szCs w:val="20"/>
        </w:rPr>
        <w:t xml:space="preserve"> UN DESA. UN E-Government Survey 2024. New York: United Nations, 2024. URL: https://publicadministration.un.org/egovkb/</w:t>
      </w:r>
    </w:p>
  </w:footnote>
  <w:footnote w:id="42">
    <w:p w:rsidR="00296A1B" w:rsidRDefault="00D67FEE">
      <w:r>
        <w:footnoteRef/>
      </w:r>
      <w:r>
        <w:rPr>
          <w:rFonts w:ascii="Times New Roman" w:hAnsi="Times New Roman" w:cs="Times New Roman"/>
          <w:sz w:val="20"/>
          <w:szCs w:val="20"/>
        </w:rPr>
        <w:t xml:space="preserve"> IEA. Korean </w:t>
      </w:r>
      <w:r>
        <w:rPr>
          <w:rFonts w:ascii="Times New Roman" w:hAnsi="Times New Roman" w:cs="Times New Roman"/>
          <w:sz w:val="20"/>
          <w:szCs w:val="20"/>
        </w:rPr>
        <w:t>New Deal - Digital New Deal, Green New Deal and Stronger Safety Net. 2021. URL: https://www.iea.org/policies/11514-korean-new-deal-digital-new-deal-green-new-deal-and-stronger-safety-net</w:t>
      </w:r>
    </w:p>
  </w:footnote>
  <w:footnote w:id="43">
    <w:p w:rsidR="00296A1B" w:rsidRDefault="00D67FEE">
      <w:r>
        <w:footnoteRef/>
      </w:r>
      <w:r>
        <w:rPr>
          <w:rFonts w:ascii="Times New Roman" w:hAnsi="Times New Roman" w:cs="Times New Roman"/>
          <w:sz w:val="20"/>
          <w:szCs w:val="20"/>
        </w:rPr>
        <w:t xml:space="preserve"> Lee J.-H., Woo J. Discourse of the Post-COVID 19 New Deal in South </w:t>
      </w:r>
      <w:r>
        <w:rPr>
          <w:rFonts w:ascii="Times New Roman" w:hAnsi="Times New Roman" w:cs="Times New Roman"/>
          <w:sz w:val="20"/>
          <w:szCs w:val="20"/>
        </w:rPr>
        <w:t>Korea // Sustainability. 2021. Vol. 13, No. 15. Article 8493. DOI: https://doi.org/10.3390/su13158493</w:t>
      </w:r>
    </w:p>
  </w:footnote>
  <w:footnote w:id="44">
    <w:p w:rsidR="00296A1B" w:rsidRDefault="00D67FEE">
      <w:r>
        <w:footnoteRef/>
      </w:r>
      <w:r>
        <w:rPr>
          <w:rFonts w:ascii="Times New Roman" w:hAnsi="Times New Roman" w:cs="Times New Roman"/>
          <w:sz w:val="20"/>
          <w:szCs w:val="20"/>
        </w:rPr>
        <w:t xml:space="preserve"> KEIA. The Korean New Deal // The Peninsula. July 2021. URL: https://keia.org/the-peninsula/the-korean-new-deal/</w:t>
      </w:r>
    </w:p>
  </w:footnote>
  <w:footnote w:id="45">
    <w:p w:rsidR="00296A1B" w:rsidRDefault="00D67FEE">
      <w:r>
        <w:footnoteRef/>
      </w:r>
      <w:r>
        <w:rPr>
          <w:rFonts w:ascii="Times New Roman" w:hAnsi="Times New Roman" w:cs="Times New Roman"/>
          <w:sz w:val="20"/>
          <w:szCs w:val="20"/>
        </w:rPr>
        <w:t xml:space="preserve"> MSIT Korea. Digital New Deal Secures F</w:t>
      </w:r>
      <w:r>
        <w:rPr>
          <w:rFonts w:ascii="Times New Roman" w:hAnsi="Times New Roman" w:cs="Times New Roman"/>
          <w:sz w:val="20"/>
          <w:szCs w:val="20"/>
        </w:rPr>
        <w:t>uture Growth Engine. August 2021. URL: https://www.prnewswire.com/news-releases/digital-new-deal-secures-future-growth-engine-301346790.html</w:t>
      </w:r>
    </w:p>
  </w:footnote>
  <w:footnote w:id="46">
    <w:p w:rsidR="00296A1B" w:rsidRDefault="00D67FEE">
      <w:r>
        <w:footnoteRef/>
      </w:r>
      <w:r>
        <w:rPr>
          <w:rFonts w:ascii="Times New Roman" w:hAnsi="Times New Roman" w:cs="Times New Roman"/>
          <w:sz w:val="20"/>
          <w:szCs w:val="20"/>
        </w:rPr>
        <w:t xml:space="preserve"> The Diplomat. South Korea's Digital New Deal. June 2020. URL: https://thediplomat.com/2020/06/south-koreas-digita</w:t>
      </w:r>
      <w:r>
        <w:rPr>
          <w:rFonts w:ascii="Times New Roman" w:hAnsi="Times New Roman" w:cs="Times New Roman"/>
          <w:sz w:val="20"/>
          <w:szCs w:val="20"/>
        </w:rPr>
        <w:t>l-new-deal/</w:t>
      </w:r>
    </w:p>
  </w:footnote>
  <w:footnote w:id="47">
    <w:p w:rsidR="00296A1B" w:rsidRDefault="00D67FEE">
      <w:r>
        <w:footnoteRef/>
      </w:r>
      <w:r>
        <w:rPr>
          <w:rFonts w:ascii="Times New Roman" w:hAnsi="Times New Roman" w:cs="Times New Roman"/>
          <w:sz w:val="20"/>
          <w:szCs w:val="20"/>
        </w:rPr>
        <w:t xml:space="preserve"> UN DESA. Republic of Korea: Country Information. E-Government Development Index 2024. URL: https://publicadministration.un.org/egovkb/en-us/Data/Country-Information/id/138-Republic-of-Korea</w:t>
      </w:r>
    </w:p>
  </w:footnote>
  <w:footnote w:id="48">
    <w:p w:rsidR="00296A1B" w:rsidRDefault="00D67FEE">
      <w:r>
        <w:footnoteRef/>
      </w:r>
      <w:r>
        <w:rPr>
          <w:rFonts w:ascii="Times New Roman" w:hAnsi="Times New Roman" w:cs="Times New Roman"/>
          <w:sz w:val="20"/>
          <w:szCs w:val="20"/>
        </w:rPr>
        <w:t xml:space="preserve"> GovInsider. Leaving No One Behind Will Determine Success of Smart Nation 2.0. 2024. URL: https://govinsider.asia/intl-en/article/leaving-no-one-behind-will-determine-success-of-smart-nation-20</w:t>
      </w:r>
    </w:p>
  </w:footnote>
  <w:footnote w:id="49">
    <w:p w:rsidR="00296A1B" w:rsidRDefault="00D67FEE">
      <w:r>
        <w:footnoteRef/>
      </w:r>
      <w:r>
        <w:rPr>
          <w:rFonts w:ascii="Times New Roman" w:hAnsi="Times New Roman" w:cs="Times New Roman"/>
          <w:sz w:val="20"/>
          <w:szCs w:val="20"/>
        </w:rPr>
        <w:t xml:space="preserve"> Southeast Asia Infrastructure. Digital Leap: Singapore's Blu</w:t>
      </w:r>
      <w:r>
        <w:rPr>
          <w:rFonts w:ascii="Times New Roman" w:hAnsi="Times New Roman" w:cs="Times New Roman"/>
          <w:sz w:val="20"/>
          <w:szCs w:val="20"/>
        </w:rPr>
        <w:t>eprint for Smart Nation 2.0. 2025. URL: https://southeastasiainfra.com/digital-leap-singapores-blueprint-for-smart-nation-2-0/</w:t>
      </w:r>
    </w:p>
  </w:footnote>
  <w:footnote w:id="50">
    <w:p w:rsidR="00296A1B" w:rsidRDefault="00D67FEE">
      <w:r>
        <w:footnoteRef/>
      </w:r>
      <w:r>
        <w:rPr>
          <w:rFonts w:ascii="Times New Roman" w:hAnsi="Times New Roman" w:cs="Times New Roman"/>
          <w:sz w:val="20"/>
          <w:szCs w:val="20"/>
        </w:rPr>
        <w:t xml:space="preserve"> GovTech Singapore. Smart Nation 2.0: Initiatives in Singapore. 2024. URL: https://www.tech.gov.sg/technews/our-enhanced-smart-n</w:t>
      </w:r>
      <w:r>
        <w:rPr>
          <w:rFonts w:ascii="Times New Roman" w:hAnsi="Times New Roman" w:cs="Times New Roman"/>
          <w:sz w:val="20"/>
          <w:szCs w:val="20"/>
        </w:rPr>
        <w:t>ation-vision-paving-the-way-for-a-new-digital-era/</w:t>
      </w:r>
    </w:p>
  </w:footnote>
  <w:footnote w:id="51">
    <w:p w:rsidR="00296A1B" w:rsidRDefault="00D67FEE">
      <w:r>
        <w:footnoteRef/>
      </w:r>
      <w:r>
        <w:rPr>
          <w:rFonts w:ascii="Times New Roman" w:hAnsi="Times New Roman" w:cs="Times New Roman"/>
          <w:sz w:val="20"/>
          <w:szCs w:val="20"/>
        </w:rPr>
        <w:t xml:space="preserve"> OpenGov Asia. Singapore: Milestones and Momentum of a Smart Nation. December 2025. URL: https://opengovasia.com/singapore-milestones-and-momentum-of-a-smart-nation/</w:t>
      </w:r>
    </w:p>
  </w:footnote>
  <w:footnote w:id="52">
    <w:p w:rsidR="00296A1B" w:rsidRDefault="00D67FEE">
      <w:r>
        <w:footnoteRef/>
      </w:r>
      <w:r>
        <w:rPr>
          <w:rFonts w:ascii="Times New Roman" w:hAnsi="Times New Roman" w:cs="Times New Roman"/>
          <w:sz w:val="20"/>
          <w:szCs w:val="20"/>
        </w:rPr>
        <w:t xml:space="preserve"> IMD. World Digital Competitiveness R</w:t>
      </w:r>
      <w:r>
        <w:rPr>
          <w:rFonts w:ascii="Times New Roman" w:hAnsi="Times New Roman" w:cs="Times New Roman"/>
          <w:sz w:val="20"/>
          <w:szCs w:val="20"/>
        </w:rPr>
        <w:t>anking 2024; Portulans Institute. Network Readiness Index 2024; UN DESA. Singapore: EGDI 2024. URL: https://publicadministration.un.org/egovkb/en-us/Data/Country-Information/id/156-Singapore</w:t>
      </w:r>
    </w:p>
  </w:footnote>
  <w:footnote w:id="53">
    <w:p w:rsidR="00296A1B" w:rsidRDefault="00D67FEE">
      <w:r>
        <w:footnoteRef/>
      </w:r>
      <w:r>
        <w:rPr>
          <w:rFonts w:ascii="Times New Roman" w:hAnsi="Times New Roman" w:cs="Times New Roman"/>
          <w:sz w:val="20"/>
          <w:szCs w:val="20"/>
        </w:rPr>
        <w:t xml:space="preserve"> Przepióra P. Digital State: How Poland Became a European Leader</w:t>
      </w:r>
      <w:r>
        <w:rPr>
          <w:rFonts w:ascii="Times New Roman" w:hAnsi="Times New Roman" w:cs="Times New Roman"/>
          <w:sz w:val="20"/>
          <w:szCs w:val="20"/>
        </w:rPr>
        <w:t xml:space="preserve"> in Digitalisation // Warsaw Institute. 09.10.2025. URL: https://warsawinstitute.org/digital-state-how-poland-became-a-european-leader-in-digitalisation/</w:t>
      </w:r>
    </w:p>
  </w:footnote>
  <w:footnote w:id="54">
    <w:p w:rsidR="00296A1B" w:rsidRDefault="00D67FEE">
      <w:r>
        <w:footnoteRef/>
      </w:r>
      <w:r>
        <w:rPr>
          <w:rFonts w:ascii="Times New Roman" w:hAnsi="Times New Roman" w:cs="Times New Roman"/>
          <w:sz w:val="20"/>
          <w:szCs w:val="20"/>
        </w:rPr>
        <w:t xml:space="preserve"> European Commission. Digital Connectivity in Poland // Shaping Europe's Digital Future. URL: https:/</w:t>
      </w:r>
      <w:r>
        <w:rPr>
          <w:rFonts w:ascii="Times New Roman" w:hAnsi="Times New Roman" w:cs="Times New Roman"/>
          <w:sz w:val="20"/>
          <w:szCs w:val="20"/>
        </w:rPr>
        <w:t>/digital-strategy.ec.europa.eu/en/policies/digital-connectivity-poland</w:t>
      </w:r>
    </w:p>
  </w:footnote>
  <w:footnote w:id="55">
    <w:p w:rsidR="00296A1B" w:rsidRDefault="00D67FEE">
      <w:r>
        <w:footnoteRef/>
      </w:r>
      <w:r>
        <w:rPr>
          <w:rFonts w:ascii="Times New Roman" w:hAnsi="Times New Roman" w:cs="Times New Roman"/>
          <w:sz w:val="20"/>
          <w:szCs w:val="20"/>
        </w:rPr>
        <w:t xml:space="preserve"> AIN. mObywatel 2.0: Digital ID Became Equal to Plastic Document in Poland. 14.07.2023. URL: https://en.ain.ua/2023/07/14/poland-digital-ids-equal-traditional-documents/</w:t>
      </w:r>
    </w:p>
  </w:footnote>
  <w:footnote w:id="56">
    <w:p w:rsidR="00296A1B" w:rsidRDefault="00D67FEE">
      <w:r>
        <w:footnoteRef/>
      </w:r>
      <w:r>
        <w:rPr>
          <w:rFonts w:ascii="Times New Roman" w:hAnsi="Times New Roman" w:cs="Times New Roman"/>
          <w:sz w:val="20"/>
          <w:szCs w:val="20"/>
        </w:rPr>
        <w:t xml:space="preserve"> Biometric Up</w:t>
      </w:r>
      <w:r>
        <w:rPr>
          <w:rFonts w:ascii="Times New Roman" w:hAnsi="Times New Roman" w:cs="Times New Roman"/>
          <w:sz w:val="20"/>
          <w:szCs w:val="20"/>
        </w:rPr>
        <w:t>date. Poland Campaigns to Boost the Use of Its Digital ID Platform mObywatel. August 2025. URL: https://www.biometricupdate.com/202508/poland-campaigns-to-boost-the-use-of-its-digital-id-platform-mobywatel</w:t>
      </w:r>
    </w:p>
  </w:footnote>
  <w:footnote w:id="57">
    <w:p w:rsidR="00296A1B" w:rsidRDefault="00D67FEE">
      <w:r>
        <w:footnoteRef/>
      </w:r>
      <w:r>
        <w:rPr>
          <w:rFonts w:ascii="Times New Roman" w:hAnsi="Times New Roman" w:cs="Times New Roman"/>
          <w:sz w:val="20"/>
          <w:szCs w:val="20"/>
        </w:rPr>
        <w:t xml:space="preserve"> U.S. International Trade Administration. Poland </w:t>
      </w:r>
      <w:r>
        <w:rPr>
          <w:rFonts w:ascii="Times New Roman" w:hAnsi="Times New Roman" w:cs="Times New Roman"/>
          <w:sz w:val="20"/>
          <w:szCs w:val="20"/>
        </w:rPr>
        <w:t>- Digital Economy // Country Commercial Guides. 2026. URL: https://www.trade.gov/country-commercial-guides/poland-digital-economy</w:t>
      </w:r>
    </w:p>
  </w:footnote>
  <w:footnote w:id="58">
    <w:p w:rsidR="00296A1B" w:rsidRDefault="00D67FEE">
      <w:r>
        <w:footnoteRef/>
      </w:r>
      <w:r>
        <w:rPr>
          <w:rFonts w:ascii="Times New Roman" w:hAnsi="Times New Roman" w:cs="Times New Roman"/>
          <w:sz w:val="20"/>
          <w:szCs w:val="20"/>
        </w:rPr>
        <w:t xml:space="preserve"> OECD. OECD Digital Economy Outlook 2024. Vol. 1. P. 24-25. DOI: https://doi.org/10.1787/a1689dc5-en</w:t>
      </w:r>
    </w:p>
  </w:footnote>
  <w:footnote w:id="59">
    <w:p w:rsidR="00296A1B" w:rsidRDefault="00D67FEE">
      <w:r>
        <w:footnoteRef/>
      </w:r>
      <w:r>
        <w:rPr>
          <w:rFonts w:ascii="Times New Roman" w:hAnsi="Times New Roman" w:cs="Times New Roman"/>
          <w:sz w:val="20"/>
          <w:szCs w:val="20"/>
        </w:rPr>
        <w:t xml:space="preserve"> IMDA. Singapore Digita</w:t>
      </w:r>
      <w:r>
        <w:rPr>
          <w:rFonts w:ascii="Times New Roman" w:hAnsi="Times New Roman" w:cs="Times New Roman"/>
          <w:sz w:val="20"/>
          <w:szCs w:val="20"/>
        </w:rPr>
        <w:t>l Economy Report 2024. 2024. P. 8. URL: https://www.imda.gov.sg/singapore-digital-economy-report-2024</w:t>
      </w:r>
    </w:p>
  </w:footnote>
  <w:footnote w:id="60">
    <w:p w:rsidR="00296A1B" w:rsidRDefault="00D67FEE">
      <w:r>
        <w:footnoteRef/>
      </w:r>
      <w:r>
        <w:rPr>
          <w:rFonts w:ascii="Times New Roman" w:hAnsi="Times New Roman" w:cs="Times New Roman"/>
          <w:sz w:val="20"/>
          <w:szCs w:val="20"/>
        </w:rPr>
        <w:t xml:space="preserve"> Eurostat. Real GDP Growth Rate - Volume: Estonia, Annual Data 2020-2022. URL: https://ec.europa.eu/eurostat/databrowser/view/tec00115/</w:t>
      </w:r>
    </w:p>
  </w:footnote>
  <w:footnote w:id="61">
    <w:p w:rsidR="00296A1B" w:rsidRDefault="00D67FEE">
      <w:r>
        <w:footnoteRef/>
      </w:r>
      <w:r>
        <w:rPr>
          <w:rFonts w:ascii="Times New Roman" w:hAnsi="Times New Roman" w:cs="Times New Roman"/>
          <w:sz w:val="20"/>
          <w:szCs w:val="20"/>
        </w:rPr>
        <w:t xml:space="preserve"> The CSR Univers</w:t>
      </w:r>
      <w:r>
        <w:rPr>
          <w:rFonts w:ascii="Times New Roman" w:hAnsi="Times New Roman" w:cs="Times New Roman"/>
          <w:sz w:val="20"/>
          <w:szCs w:val="20"/>
        </w:rPr>
        <w:t>e. Estonia: A Fine Model of E-governance for the World. January 2025. URL: https://thecsruniverse.com/articles/estonia-a-fine-model-of-e-governance-for-the-world</w:t>
      </w:r>
    </w:p>
  </w:footnote>
  <w:footnote w:id="62">
    <w:p w:rsidR="00296A1B" w:rsidRDefault="00D67FEE">
      <w:r>
        <w:footnoteRef/>
      </w:r>
      <w:r>
        <w:rPr>
          <w:rFonts w:ascii="Times New Roman" w:hAnsi="Times New Roman" w:cs="Times New Roman"/>
          <w:sz w:val="20"/>
          <w:szCs w:val="20"/>
        </w:rPr>
        <w:t xml:space="preserve"> IMF. World Economic Outlook Database, April 2024: Estonia - Real GDP Growth. Washington, DC:</w:t>
      </w:r>
      <w:r>
        <w:rPr>
          <w:rFonts w:ascii="Times New Roman" w:hAnsi="Times New Roman" w:cs="Times New Roman"/>
          <w:sz w:val="20"/>
          <w:szCs w:val="20"/>
        </w:rPr>
        <w:t xml:space="preserve"> International Monetary Fund, 2024. URL: https://www.imf.org/en/Publications/WEO/weo-database/2024/April</w:t>
      </w:r>
    </w:p>
  </w:footnote>
  <w:footnote w:id="63">
    <w:p w:rsidR="00296A1B" w:rsidRDefault="00D67FEE">
      <w:r>
        <w:footnoteRef/>
      </w:r>
      <w:r>
        <w:rPr>
          <w:rFonts w:ascii="Times New Roman" w:hAnsi="Times New Roman" w:cs="Times New Roman"/>
          <w:sz w:val="20"/>
          <w:szCs w:val="20"/>
        </w:rPr>
        <w:t xml:space="preserve"> European Parliament. Estonia's National Recovery and Resilience Plan: Latest State of Play // EPRS Briefing. 2023. URL: https://www.europarl.europa.e</w:t>
      </w:r>
      <w:r>
        <w:rPr>
          <w:rFonts w:ascii="Times New Roman" w:hAnsi="Times New Roman" w:cs="Times New Roman"/>
          <w:sz w:val="20"/>
          <w:szCs w:val="20"/>
        </w:rPr>
        <w:t>u/thinktank/en/document/EPRS_BRI(2022)698886</w:t>
      </w:r>
    </w:p>
  </w:footnote>
  <w:footnote w:id="64">
    <w:p w:rsidR="00296A1B" w:rsidRDefault="00D67FEE">
      <w:r>
        <w:footnoteRef/>
      </w:r>
      <w:r>
        <w:rPr>
          <w:rFonts w:ascii="Times New Roman" w:hAnsi="Times New Roman" w:cs="Times New Roman"/>
          <w:sz w:val="20"/>
          <w:szCs w:val="20"/>
        </w:rPr>
        <w:t xml:space="preserve"> Stangarone T. South Korea's Strong Economic Performance Faces Post-Pandemic Challenges // East Asia Forum. 04.02.2022. URL: https://eastasiaforum.org/2022/02/04/south-koreas-strong-economic-performance-faces-p</w:t>
      </w:r>
      <w:r>
        <w:rPr>
          <w:rFonts w:ascii="Times New Roman" w:hAnsi="Times New Roman" w:cs="Times New Roman"/>
          <w:sz w:val="20"/>
          <w:szCs w:val="20"/>
        </w:rPr>
        <w:t>ost-pandemic-challenges/</w:t>
      </w:r>
    </w:p>
  </w:footnote>
  <w:footnote w:id="65">
    <w:p w:rsidR="00296A1B" w:rsidRDefault="00D67FEE">
      <w:r>
        <w:footnoteRef/>
      </w:r>
      <w:r>
        <w:rPr>
          <w:rFonts w:ascii="Times New Roman" w:hAnsi="Times New Roman" w:cs="Times New Roman"/>
          <w:sz w:val="20"/>
          <w:szCs w:val="20"/>
        </w:rPr>
        <w:t xml:space="preserve"> Korean Re. Bulletin No. 180: Economic Outlook 2021. URL: http://eng.koreanre.co.kr/webzine/Bulletin_180/bull1.html</w:t>
      </w:r>
    </w:p>
  </w:footnote>
  <w:footnote w:id="66">
    <w:p w:rsidR="00296A1B" w:rsidRDefault="00D67FEE">
      <w:r>
        <w:footnoteRef/>
      </w:r>
      <w:r>
        <w:rPr>
          <w:rFonts w:ascii="Times New Roman" w:hAnsi="Times New Roman" w:cs="Times New Roman"/>
          <w:sz w:val="20"/>
          <w:szCs w:val="20"/>
        </w:rPr>
        <w:t xml:space="preserve"> Bank of Korea. Consumer Price Index: July 2022. Seoul: Bank of Korea, 2022. URL: https://www.bok.or.kr/eng/main/</w:t>
      </w:r>
      <w:r>
        <w:rPr>
          <w:rFonts w:ascii="Times New Roman" w:hAnsi="Times New Roman" w:cs="Times New Roman"/>
          <w:sz w:val="20"/>
          <w:szCs w:val="20"/>
        </w:rPr>
        <w:t>main.do</w:t>
      </w:r>
    </w:p>
  </w:footnote>
  <w:footnote w:id="67">
    <w:p w:rsidR="00296A1B" w:rsidRDefault="00D67FEE">
      <w:r>
        <w:footnoteRef/>
      </w:r>
      <w:r>
        <w:rPr>
          <w:rFonts w:ascii="Times New Roman" w:hAnsi="Times New Roman" w:cs="Times New Roman"/>
          <w:sz w:val="20"/>
          <w:szCs w:val="20"/>
        </w:rPr>
        <w:t xml:space="preserve"> Lee J.-H., Woo J. Discourse of the Post-COVID 19 New Deal in South Korea // Sustainability. 2021. Vol. 13, No. 15. Article 8493. DOI: https://doi.org/10.3390/su13158493</w:t>
      </w:r>
    </w:p>
  </w:footnote>
  <w:footnote w:id="68">
    <w:p w:rsidR="00296A1B" w:rsidRDefault="00D67FEE">
      <w:r>
        <w:footnoteRef/>
      </w:r>
      <w:r>
        <w:rPr>
          <w:rFonts w:ascii="Times New Roman" w:hAnsi="Times New Roman" w:cs="Times New Roman"/>
          <w:sz w:val="20"/>
          <w:szCs w:val="20"/>
        </w:rPr>
        <w:t xml:space="preserve"> S&amp;P Global Market Intelligence. Singapore Economy Continues on Road to Reco</w:t>
      </w:r>
      <w:r>
        <w:rPr>
          <w:rFonts w:ascii="Times New Roman" w:hAnsi="Times New Roman" w:cs="Times New Roman"/>
          <w:sz w:val="20"/>
          <w:szCs w:val="20"/>
        </w:rPr>
        <w:t>very. July 2022. URL: https://www.spglobal.com/marketintelligence/en/mi/research-analysis/singapore-economy-continues-on-road-to-recovery-july22.html</w:t>
      </w:r>
    </w:p>
  </w:footnote>
  <w:footnote w:id="69">
    <w:p w:rsidR="00296A1B" w:rsidRDefault="00D67FEE">
      <w:r>
        <w:footnoteRef/>
      </w:r>
      <w:r>
        <w:rPr>
          <w:rFonts w:ascii="Times New Roman" w:hAnsi="Times New Roman" w:cs="Times New Roman"/>
          <w:sz w:val="20"/>
          <w:szCs w:val="20"/>
        </w:rPr>
        <w:t xml:space="preserve"> Yip H. et al. Digital Government to Counter the Effects of COVID-19: The Case of Singapore // ERIA Research Project Report. 2022. URL: https://www.eria.org/uploads/04_Chapter-3-The-Case-of-Singapore.pdf</w:t>
      </w:r>
    </w:p>
  </w:footnote>
  <w:footnote w:id="70">
    <w:p w:rsidR="00296A1B" w:rsidRDefault="00D67FEE">
      <w:r>
        <w:footnoteRef/>
      </w:r>
      <w:r>
        <w:rPr>
          <w:rFonts w:ascii="Times New Roman" w:hAnsi="Times New Roman" w:cs="Times New Roman"/>
          <w:sz w:val="20"/>
          <w:szCs w:val="20"/>
        </w:rPr>
        <w:t xml:space="preserve"> Smart Nation Singapore. TraceTogether reduced cont</w:t>
      </w:r>
      <w:r>
        <w:rPr>
          <w:rFonts w:ascii="Times New Roman" w:hAnsi="Times New Roman" w:cs="Times New Roman"/>
          <w:sz w:val="20"/>
          <w:szCs w:val="20"/>
        </w:rPr>
        <w:t>act tracing time from 4 days to less than 1.5 days. 2021. Цит. по: Yip H. et al. Digital Government to Counter the Effects of COVID-19: The Case of Singapore // ERIA Research Project Report. 2022.</w:t>
      </w:r>
    </w:p>
  </w:footnote>
  <w:footnote w:id="71">
    <w:p w:rsidR="00296A1B" w:rsidRDefault="00D67FEE">
      <w:r>
        <w:footnoteRef/>
      </w:r>
      <w:r>
        <w:rPr>
          <w:rFonts w:ascii="Times New Roman" w:hAnsi="Times New Roman" w:cs="Times New Roman"/>
          <w:sz w:val="20"/>
          <w:szCs w:val="20"/>
        </w:rPr>
        <w:t xml:space="preserve"> Ministry of Finance of Singapore. Ministerial Statement o</w:t>
      </w:r>
      <w:r>
        <w:rPr>
          <w:rFonts w:ascii="Times New Roman" w:hAnsi="Times New Roman" w:cs="Times New Roman"/>
          <w:sz w:val="20"/>
          <w:szCs w:val="20"/>
        </w:rPr>
        <w:t>n COVID-19 Strategy. 2020. URL: https://www.mof.gov.sg/news-resources/newsroom/ministerial-statement-on-overview-of-government-s-strategy-to-emerge-stronger-from-the-covid-19-pandemic/</w:t>
      </w:r>
    </w:p>
  </w:footnote>
  <w:footnote w:id="72">
    <w:p w:rsidR="00296A1B" w:rsidRDefault="00D67FEE">
      <w:r>
        <w:footnoteRef/>
      </w:r>
      <w:r>
        <w:rPr>
          <w:rFonts w:ascii="Times New Roman" w:hAnsi="Times New Roman" w:cs="Times New Roman"/>
          <w:sz w:val="20"/>
          <w:szCs w:val="20"/>
        </w:rPr>
        <w:t xml:space="preserve"> World Bank. Polish Economy Returns to Growth Amidst Pandemic-Related </w:t>
      </w:r>
      <w:r>
        <w:rPr>
          <w:rFonts w:ascii="Times New Roman" w:hAnsi="Times New Roman" w:cs="Times New Roman"/>
          <w:sz w:val="20"/>
          <w:szCs w:val="20"/>
        </w:rPr>
        <w:t>Setbacks. 31.03.2021. URL: https://www.worldbank.org/en/news/press-release/2021/03/31/polish-economy-returns-to-growth-amidst-pandemic-related-setbacks</w:t>
      </w:r>
    </w:p>
  </w:footnote>
  <w:footnote w:id="73">
    <w:p w:rsidR="00296A1B" w:rsidRDefault="00D67FEE">
      <w:r>
        <w:footnoteRef/>
      </w:r>
      <w:r>
        <w:rPr>
          <w:rFonts w:ascii="Times New Roman" w:hAnsi="Times New Roman" w:cs="Times New Roman"/>
          <w:sz w:val="20"/>
          <w:szCs w:val="20"/>
        </w:rPr>
        <w:t xml:space="preserve"> U.S. Department of State. 2023 Investment Climate Statements: Poland. URL: https://www.state.gov/repor</w:t>
      </w:r>
      <w:r>
        <w:rPr>
          <w:rFonts w:ascii="Times New Roman" w:hAnsi="Times New Roman" w:cs="Times New Roman"/>
          <w:sz w:val="20"/>
          <w:szCs w:val="20"/>
        </w:rPr>
        <w:t>ts/2023-investment-climate-statements/poland</w:t>
      </w:r>
    </w:p>
  </w:footnote>
  <w:footnote w:id="74">
    <w:p w:rsidR="00296A1B" w:rsidRDefault="00D67FEE">
      <w:r>
        <w:footnoteRef/>
      </w:r>
      <w:r>
        <w:rPr>
          <w:rFonts w:ascii="Times New Roman" w:hAnsi="Times New Roman" w:cs="Times New Roman"/>
          <w:sz w:val="20"/>
          <w:szCs w:val="20"/>
        </w:rPr>
        <w:t xml:space="preserve"> International Energy Agency. Poland 2022 - Energy Policy Review: Executive Summary. URL: https://www.iea.org/reports/poland-2022/executive-summary</w:t>
      </w:r>
    </w:p>
  </w:footnote>
  <w:footnote w:id="75">
    <w:p w:rsidR="00296A1B" w:rsidRDefault="00D67FEE">
      <w:r>
        <w:footnoteRef/>
      </w:r>
      <w:r>
        <w:rPr>
          <w:rFonts w:ascii="Times New Roman" w:hAnsi="Times New Roman" w:cs="Times New Roman"/>
          <w:sz w:val="20"/>
          <w:szCs w:val="20"/>
        </w:rPr>
        <w:t xml:space="preserve"> Friedrich-Ebert-Stiftung. What to Do About Inflation? Poland</w:t>
      </w:r>
      <w:r>
        <w:rPr>
          <w:rFonts w:ascii="Times New Roman" w:hAnsi="Times New Roman" w:cs="Times New Roman"/>
          <w:sz w:val="20"/>
          <w:szCs w:val="20"/>
        </w:rPr>
        <w:t>. 2022. URL: https://www.fes.de/en/progressive-fiscal-policy/inflation/what-to-do-about-inflation/what-to-do-about-inflation-poland</w:t>
      </w:r>
    </w:p>
  </w:footnote>
  <w:footnote w:id="76">
    <w:p w:rsidR="00296A1B" w:rsidRDefault="00D67FEE">
      <w:r>
        <w:footnoteRef/>
      </w:r>
      <w:r>
        <w:rPr>
          <w:rFonts w:ascii="Times New Roman" w:hAnsi="Times New Roman" w:cs="Times New Roman"/>
          <w:sz w:val="20"/>
          <w:szCs w:val="20"/>
        </w:rPr>
        <w:t xml:space="preserve"> IMF. World Economic Outlook Database, April 2024. Washington, DC: International Monetary Fund, 2024; Eurostat. Real GDP Growth Rate - Volume. URL: https://ec.europa.eu/eurostat/databrowser/view/tec00115/</w:t>
      </w:r>
    </w:p>
  </w:footnote>
  <w:footnote w:id="77">
    <w:p w:rsidR="00296A1B" w:rsidRDefault="00D67FEE">
      <w:r>
        <w:footnoteRef/>
      </w:r>
      <w:r>
        <w:rPr>
          <w:rFonts w:ascii="Times New Roman" w:hAnsi="Times New Roman" w:cs="Times New Roman"/>
          <w:sz w:val="20"/>
          <w:szCs w:val="20"/>
        </w:rPr>
        <w:t xml:space="preserve"> World Bank. World Development Indicators (WDI). U</w:t>
      </w:r>
      <w:r>
        <w:rPr>
          <w:rFonts w:ascii="Times New Roman" w:hAnsi="Times New Roman" w:cs="Times New Roman"/>
          <w:sz w:val="20"/>
          <w:szCs w:val="20"/>
        </w:rPr>
        <w:t>RL: https://databank.worldbank.org/source/world-development-indicators</w:t>
      </w:r>
    </w:p>
  </w:footnote>
  <w:footnote w:id="78">
    <w:p w:rsidR="00296A1B" w:rsidRDefault="00D67FEE">
      <w:r>
        <w:footnoteRef/>
      </w:r>
      <w:r>
        <w:rPr>
          <w:rFonts w:ascii="Times New Roman" w:hAnsi="Times New Roman" w:cs="Times New Roman"/>
          <w:sz w:val="20"/>
          <w:szCs w:val="20"/>
        </w:rPr>
        <w:t xml:space="preserve"> World Bank. World Bank Country and Lending Groups. URL: https://datahelpdesk.worldbank.org/knowledgebase/articles/906519</w:t>
      </w:r>
    </w:p>
  </w:footnote>
  <w:footnote w:id="79">
    <w:p w:rsidR="00296A1B" w:rsidRDefault="00D67FEE">
      <w:r>
        <w:footnoteRef/>
      </w:r>
      <w:r>
        <w:rPr>
          <w:rFonts w:ascii="Times New Roman" w:hAnsi="Times New Roman" w:cs="Times New Roman"/>
          <w:sz w:val="20"/>
          <w:szCs w:val="20"/>
        </w:rPr>
        <w:t xml:space="preserve"> UNCTAD. World Investment Report 2023. Geneva: United Nations</w:t>
      </w:r>
      <w:r>
        <w:rPr>
          <w:rFonts w:ascii="Times New Roman" w:hAnsi="Times New Roman" w:cs="Times New Roman"/>
          <w:sz w:val="20"/>
          <w:szCs w:val="20"/>
        </w:rPr>
        <w:t>, 2023. URL: https://unctad.org/publication/world-investment-report-2023</w:t>
      </w:r>
    </w:p>
  </w:footnote>
  <w:footnote w:id="80">
    <w:p w:rsidR="00296A1B" w:rsidRDefault="00D67FEE">
      <w:r>
        <w:footnoteRef/>
      </w:r>
      <w:r>
        <w:rPr>
          <w:rFonts w:ascii="Times New Roman" w:hAnsi="Times New Roman" w:cs="Times New Roman"/>
          <w:sz w:val="20"/>
          <w:szCs w:val="20"/>
        </w:rPr>
        <w:t xml:space="preserve"> Wooldridge J. M. Econometric Analysis of Cross Section and Panel Data. 2nd ed. MIT Press, 2010. P. 286-288.</w:t>
      </w:r>
    </w:p>
  </w:footnote>
  <w:footnote w:id="81">
    <w:p w:rsidR="00296A1B" w:rsidRDefault="00D67FEE">
      <w:r>
        <w:footnoteRef/>
      </w:r>
      <w:r>
        <w:rPr>
          <w:sz w:val="20"/>
          <w:szCs w:val="20"/>
        </w:rPr>
        <w:t xml:space="preserve"> Wooldridge J. M. Econometric Analysis of Cross Section and Panel Data. </w:t>
      </w:r>
      <w:r>
        <w:rPr>
          <w:sz w:val="20"/>
          <w:szCs w:val="20"/>
        </w:rPr>
        <w:t>2nd ed. Cambridge: MIT Press, 2010. P. 57-60. (Кластеризованные стандартные ошибки HC1 для коррекции гетероскедастичности и автокорреляции в панельных данных.)</w:t>
      </w:r>
    </w:p>
  </w:footnote>
  <w:footnote w:id="82">
    <w:p w:rsidR="00296A1B" w:rsidRDefault="00D67FEE">
      <w:r>
        <w:footnoteRef/>
      </w:r>
      <w:r>
        <w:rPr>
          <w:rFonts w:ascii="Times New Roman" w:hAnsi="Times New Roman" w:cs="Times New Roman"/>
          <w:sz w:val="20"/>
          <w:szCs w:val="20"/>
        </w:rPr>
        <w:t xml:space="preserve"> Указ Президента Республики Узбекистан № УП-6079 от 05.10.2020 «Об утверждении Стратегии "Цифро</w:t>
      </w:r>
      <w:r>
        <w:rPr>
          <w:rFonts w:ascii="Times New Roman" w:hAnsi="Times New Roman" w:cs="Times New Roman"/>
          <w:sz w:val="20"/>
          <w:szCs w:val="20"/>
        </w:rPr>
        <w:t>вой Узбекистан - 2030"». URL: https://lex.uz/ru/docs/5031048</w:t>
      </w:r>
    </w:p>
  </w:footnote>
  <w:footnote w:id="83">
    <w:p w:rsidR="00296A1B" w:rsidRDefault="00D67FEE">
      <w:r>
        <w:footnoteRef/>
      </w:r>
      <w:r>
        <w:rPr>
          <w:rFonts w:ascii="Times New Roman" w:hAnsi="Times New Roman" w:cs="Times New Roman"/>
          <w:sz w:val="20"/>
          <w:szCs w:val="20"/>
        </w:rPr>
        <w:t xml:space="preserve"> Embassy of the Republic of Uzbekistan in Ukraine. Digital Transformation of Uzbekistan Promotes Regional Integration in Central Asia. URL: https://www.uzbekistan.org.ua/en/news/7390-digital-tra</w:t>
      </w:r>
      <w:r>
        <w:rPr>
          <w:rFonts w:ascii="Times New Roman" w:hAnsi="Times New Roman" w:cs="Times New Roman"/>
          <w:sz w:val="20"/>
          <w:szCs w:val="20"/>
        </w:rPr>
        <w:t>nsformation-of-uzbekistan-promotes-regional-integration-in-central-asia.html</w:t>
      </w:r>
    </w:p>
  </w:footnote>
  <w:footnote w:id="84">
    <w:p w:rsidR="00296A1B" w:rsidRDefault="00D67FEE">
      <w:r>
        <w:footnoteRef/>
      </w:r>
      <w:r>
        <w:rPr>
          <w:rFonts w:ascii="Times New Roman" w:hAnsi="Times New Roman" w:cs="Times New Roman"/>
          <w:sz w:val="20"/>
          <w:szCs w:val="20"/>
        </w:rPr>
        <w:t xml:space="preserve"> Указ Президента Республики Узбекистан № УП-6079 от 5 октября 2020 г. «Об утверждении Стратегии "Цифровой Узбекистан - 2030"»; Beyond Investments Group. Industry &amp; ICT - The Inve</w:t>
      </w:r>
      <w:r>
        <w:rPr>
          <w:rFonts w:ascii="Times New Roman" w:hAnsi="Times New Roman" w:cs="Times New Roman"/>
          <w:sz w:val="20"/>
          <w:szCs w:val="20"/>
        </w:rPr>
        <w:t>stor Uzbekistan 2023. URL: https://www.beyondinvestmentsgroup.com/uzbekistan2023-industryandict</w:t>
      </w:r>
    </w:p>
  </w:footnote>
  <w:footnote w:id="85">
    <w:p w:rsidR="00296A1B" w:rsidRDefault="00D67FEE">
      <w:r>
        <w:footnoteRef/>
      </w:r>
      <w:r>
        <w:rPr>
          <w:rFonts w:ascii="Times New Roman" w:hAnsi="Times New Roman" w:cs="Times New Roman"/>
          <w:sz w:val="20"/>
          <w:szCs w:val="20"/>
        </w:rPr>
        <w:t xml:space="preserve"> UN DESA. UN E-Government Survey 2024: Accelerating Digital Transformation for Sustainable Development. New York: United Nations, 2024. URL: https://publicadmi</w:t>
      </w:r>
      <w:r>
        <w:rPr>
          <w:rFonts w:ascii="Times New Roman" w:hAnsi="Times New Roman" w:cs="Times New Roman"/>
          <w:sz w:val="20"/>
          <w:szCs w:val="20"/>
        </w:rPr>
        <w:t>nistration.un.org/egovkb/en-us/Reports/UN-E-Government-Survey-2024</w:t>
      </w:r>
    </w:p>
  </w:footnote>
  <w:footnote w:id="86">
    <w:p w:rsidR="00296A1B" w:rsidRDefault="00D67FEE">
      <w:r>
        <w:footnoteRef/>
      </w:r>
      <w:r>
        <w:rPr>
          <w:rFonts w:ascii="Times New Roman" w:hAnsi="Times New Roman" w:cs="Times New Roman"/>
          <w:sz w:val="20"/>
          <w:szCs w:val="20"/>
        </w:rPr>
        <w:t xml:space="preserve"> Digital Watch Observatory. Uzbekistan: Country Profile. URL: https://dig.watch/countries/uzbekistan</w:t>
      </w:r>
    </w:p>
  </w:footnote>
  <w:footnote w:id="87">
    <w:p w:rsidR="00296A1B" w:rsidRDefault="00D67FEE">
      <w:r>
        <w:footnoteRef/>
      </w:r>
      <w:r>
        <w:rPr>
          <w:rFonts w:ascii="Times New Roman" w:hAnsi="Times New Roman" w:cs="Times New Roman"/>
          <w:sz w:val="20"/>
          <w:szCs w:val="20"/>
        </w:rPr>
        <w:t xml:space="preserve"> Oxford Insights. Government AI Readiness Index 2023, 2024, 2025. URL: https://oxfordi</w:t>
      </w:r>
      <w:r>
        <w:rPr>
          <w:rFonts w:ascii="Times New Roman" w:hAnsi="Times New Roman" w:cs="Times New Roman"/>
          <w:sz w:val="20"/>
          <w:szCs w:val="20"/>
        </w:rPr>
        <w:t>nsights.com/ai-readiness/ai-readiness-index/</w:t>
      </w:r>
    </w:p>
  </w:footnote>
  <w:footnote w:id="88">
    <w:p w:rsidR="00296A1B" w:rsidRDefault="00D67FEE">
      <w:r>
        <w:footnoteRef/>
      </w:r>
      <w:r>
        <w:rPr>
          <w:rFonts w:ascii="Times New Roman" w:hAnsi="Times New Roman" w:cs="Times New Roman"/>
          <w:sz w:val="20"/>
          <w:szCs w:val="20"/>
        </w:rPr>
        <w:t xml:space="preserve"> Digital Watch Observatory. Uzbekistan: Country Profile. URL: https://dig.watch/countries/uzbekistan</w:t>
      </w:r>
    </w:p>
  </w:footnote>
  <w:footnote w:id="89">
    <w:p w:rsidR="00296A1B" w:rsidRDefault="00D67FEE">
      <w:r>
        <w:footnoteRef/>
      </w:r>
      <w:r>
        <w:rPr>
          <w:rFonts w:ascii="Times New Roman" w:hAnsi="Times New Roman" w:cs="Times New Roman"/>
          <w:sz w:val="20"/>
          <w:szCs w:val="20"/>
        </w:rPr>
        <w:t xml:space="preserve"> Worlddata.info. Telecommunications in Uzbekistan. URL: https://www.worlddata.info/asia/uzbekistan/telecommu</w:t>
      </w:r>
      <w:r>
        <w:rPr>
          <w:rFonts w:ascii="Times New Roman" w:hAnsi="Times New Roman" w:cs="Times New Roman"/>
          <w:sz w:val="20"/>
          <w:szCs w:val="20"/>
        </w:rPr>
        <w:t>nication.php</w:t>
      </w:r>
    </w:p>
  </w:footnote>
  <w:footnote w:id="90">
    <w:p w:rsidR="00296A1B" w:rsidRDefault="00D67FEE">
      <w:r>
        <w:footnoteRef/>
      </w:r>
      <w:r>
        <w:rPr>
          <w:rFonts w:ascii="Times New Roman" w:hAnsi="Times New Roman" w:cs="Times New Roman"/>
          <w:sz w:val="20"/>
          <w:szCs w:val="20"/>
        </w:rPr>
        <w:t xml:space="preserve"> The Global Economy. Uzbekistan: Internet Users. URL: https://www.theglobaleconomy.com/Uzbekistan/Internet_users/</w:t>
      </w:r>
    </w:p>
  </w:footnote>
  <w:footnote w:id="91">
    <w:p w:rsidR="00296A1B" w:rsidRDefault="00D67FEE">
      <w:r>
        <w:footnoteRef/>
      </w:r>
      <w:r>
        <w:rPr>
          <w:rFonts w:ascii="Times New Roman" w:hAnsi="Times New Roman" w:cs="Times New Roman"/>
          <w:sz w:val="20"/>
          <w:szCs w:val="20"/>
        </w:rPr>
        <w:t xml:space="preserve"> Freedom House. Freedom on the Net 2024 - Uzbekistan. URL: https://freedomhouse.org/country/uzbekistan/freedom-net/2024</w:t>
      </w:r>
    </w:p>
  </w:footnote>
  <w:footnote w:id="92">
    <w:p w:rsidR="00296A1B" w:rsidRDefault="00D67FEE">
      <w:r>
        <w:footnoteRef/>
      </w:r>
      <w:r>
        <w:rPr>
          <w:rFonts w:ascii="Times New Roman" w:hAnsi="Times New Roman" w:cs="Times New Roman"/>
          <w:sz w:val="20"/>
          <w:szCs w:val="20"/>
        </w:rPr>
        <w:t xml:space="preserve"> Ookla</w:t>
      </w:r>
      <w:r>
        <w:rPr>
          <w:rFonts w:ascii="Times New Roman" w:hAnsi="Times New Roman" w:cs="Times New Roman"/>
          <w:sz w:val="20"/>
          <w:szCs w:val="20"/>
        </w:rPr>
        <w:t>. Speedtest Global Index - Uzbekistan, January 2025. URL: https://www.speedtest.net/global-index/uzbekistan</w:t>
      </w:r>
    </w:p>
  </w:footnote>
  <w:footnote w:id="93">
    <w:p w:rsidR="00296A1B" w:rsidRDefault="00D67FEE">
      <w:r>
        <w:footnoteRef/>
      </w:r>
      <w:r>
        <w:rPr>
          <w:rFonts w:ascii="Times New Roman" w:hAnsi="Times New Roman" w:cs="Times New Roman"/>
          <w:sz w:val="20"/>
          <w:szCs w:val="20"/>
        </w:rPr>
        <w:t xml:space="preserve"> Statistics Agency under the President of the Republic of Uzbekistan, cited in: UzDaily. Uzbekistan's GDP amounted to US$114.96 billion in 2024. Fe</w:t>
      </w:r>
      <w:r>
        <w:rPr>
          <w:rFonts w:ascii="Times New Roman" w:hAnsi="Times New Roman" w:cs="Times New Roman"/>
          <w:sz w:val="20"/>
          <w:szCs w:val="20"/>
        </w:rPr>
        <w:t>bruary 2025. URL: https://www.uzdaily.uz/en/uzbekistans-gdp-amounted-to-us11496-billion-in-2024/</w:t>
      </w:r>
    </w:p>
  </w:footnote>
  <w:footnote w:id="94">
    <w:p w:rsidR="00296A1B" w:rsidRDefault="00D67FEE">
      <w:r>
        <w:footnoteRef/>
      </w:r>
      <w:r>
        <w:rPr>
          <w:rFonts w:ascii="Times New Roman" w:hAnsi="Times New Roman" w:cs="Times New Roman"/>
          <w:sz w:val="20"/>
          <w:szCs w:val="20"/>
        </w:rPr>
        <w:t xml:space="preserve"> Statistics Agency under the President of the Republic of Uzbekistan, cited in: UzDaily. Uzbekistan's GDP amounted to US$114.96 billion in 2024. February 2025</w:t>
      </w:r>
      <w:r>
        <w:rPr>
          <w:rFonts w:ascii="Times New Roman" w:hAnsi="Times New Roman" w:cs="Times New Roman"/>
          <w:sz w:val="20"/>
          <w:szCs w:val="20"/>
        </w:rPr>
        <w:t>.</w:t>
      </w:r>
    </w:p>
  </w:footnote>
  <w:footnote w:id="95">
    <w:p w:rsidR="00296A1B" w:rsidRDefault="00D67FEE">
      <w:r>
        <w:footnoteRef/>
      </w:r>
      <w:r>
        <w:rPr>
          <w:rFonts w:ascii="Times New Roman" w:hAnsi="Times New Roman" w:cs="Times New Roman"/>
          <w:sz w:val="20"/>
          <w:szCs w:val="20"/>
        </w:rPr>
        <w:t xml:space="preserve"> Digital Watch Observatory. Uzbekistan: Country Profile. URL: https://dig.watch/countries/uzbekistan; Beyond Investments Group. Industry &amp; ICT // The Investor Uzbekistan 2023.</w:t>
      </w:r>
    </w:p>
  </w:footnote>
  <w:footnote w:id="96">
    <w:p w:rsidR="00296A1B" w:rsidRDefault="00D67FEE">
      <w:r>
        <w:footnoteRef/>
      </w:r>
      <w:r>
        <w:rPr>
          <w:rFonts w:ascii="Times New Roman" w:hAnsi="Times New Roman" w:cs="Times New Roman"/>
          <w:sz w:val="20"/>
          <w:szCs w:val="20"/>
        </w:rPr>
        <w:t xml:space="preserve"> TAdviser. ICT Market of Uzbekistan. 2024. URL: https://tadviser.com/index.p</w:t>
      </w:r>
      <w:r>
        <w:rPr>
          <w:rFonts w:ascii="Times New Roman" w:hAnsi="Times New Roman" w:cs="Times New Roman"/>
          <w:sz w:val="20"/>
          <w:szCs w:val="20"/>
        </w:rPr>
        <w:t>hp/Article:ICT_market_of_Uzbekistan</w:t>
      </w:r>
    </w:p>
  </w:footnote>
  <w:footnote w:id="97">
    <w:p w:rsidR="00296A1B" w:rsidRDefault="00D67FEE">
      <w:r>
        <w:footnoteRef/>
      </w:r>
      <w:r>
        <w:rPr>
          <w:rFonts w:ascii="Times New Roman" w:hAnsi="Times New Roman" w:cs="Times New Roman"/>
          <w:sz w:val="20"/>
          <w:szCs w:val="20"/>
        </w:rPr>
        <w:t xml:space="preserve"> Samadkulov M., Allanazarov R. Economy of the Services Sector: The Share of Tourism and IT Services in GDP. 2024. URL: https://interspp.com/index.php/sft/article/download/1696/1293/2524</w:t>
      </w:r>
    </w:p>
  </w:footnote>
  <w:footnote w:id="98">
    <w:p w:rsidR="00296A1B" w:rsidRDefault="00D67FEE">
      <w:r>
        <w:footnoteRef/>
      </w:r>
      <w:r>
        <w:rPr>
          <w:rFonts w:ascii="Times New Roman" w:hAnsi="Times New Roman" w:cs="Times New Roman"/>
          <w:sz w:val="20"/>
          <w:szCs w:val="20"/>
        </w:rPr>
        <w:t xml:space="preserve"> Mastercard. Fintech Market Uzbe</w:t>
      </w:r>
      <w:r>
        <w:rPr>
          <w:rFonts w:ascii="Times New Roman" w:hAnsi="Times New Roman" w:cs="Times New Roman"/>
          <w:sz w:val="20"/>
          <w:szCs w:val="20"/>
        </w:rPr>
        <w:t>kistan. 2023, cited in: FintechNews Switzerland. Fintech on the Rise in Uzbekistan: A Short Overview. 2024. URL: https://fintechnews.ch/fintech/fintech-on-the-rise-in-uzbekistan-a-short-overview/69023/</w:t>
      </w:r>
    </w:p>
  </w:footnote>
  <w:footnote w:id="99">
    <w:p w:rsidR="00296A1B" w:rsidRDefault="00D67FEE">
      <w:r>
        <w:footnoteRef/>
      </w:r>
      <w:r>
        <w:rPr>
          <w:rFonts w:ascii="Times New Roman" w:hAnsi="Times New Roman" w:cs="Times New Roman"/>
          <w:sz w:val="20"/>
          <w:szCs w:val="20"/>
        </w:rPr>
        <w:t xml:space="preserve"> Mastercard. Fintech Market Uzbekistan. 2023, cited in: FintechNews Switzerland. Fintech on the Rise in Uzbekistan: A Short Overview. 2024. URL: https://fintechnews.ch/fintech/fintech-on-the-rise-in-uzbekistan-a-short-over</w:t>
      </w:r>
      <w:r>
        <w:rPr>
          <w:rFonts w:ascii="Times New Roman" w:hAnsi="Times New Roman" w:cs="Times New Roman"/>
          <w:sz w:val="20"/>
          <w:szCs w:val="20"/>
        </w:rPr>
        <w:t>view/69023/</w:t>
      </w:r>
    </w:p>
  </w:footnote>
  <w:footnote w:id="100">
    <w:p w:rsidR="00296A1B" w:rsidRDefault="00D67FEE">
      <w:r>
        <w:footnoteRef/>
      </w:r>
      <w:r>
        <w:rPr>
          <w:rFonts w:ascii="Times New Roman" w:hAnsi="Times New Roman" w:cs="Times New Roman"/>
          <w:sz w:val="20"/>
          <w:szCs w:val="20"/>
        </w:rPr>
        <w:t xml:space="preserve"> Mastercard. Fintech Market Uzbekistan. 2023.</w:t>
      </w:r>
    </w:p>
  </w:footnote>
  <w:footnote w:id="101">
    <w:p w:rsidR="00296A1B" w:rsidRDefault="00D67FEE">
      <w:r>
        <w:footnoteRef/>
      </w:r>
      <w:r>
        <w:rPr>
          <w:rFonts w:ascii="Times New Roman" w:hAnsi="Times New Roman" w:cs="Times New Roman"/>
          <w:sz w:val="20"/>
          <w:szCs w:val="20"/>
        </w:rPr>
        <w:t xml:space="preserve"> Evolution of FinTech in Central Asian Countries and Implications for the Region's Economy // FinTech. 2025. Vol. 4, No. 4. URL: https://www.mdpi.com/2674-1032/4/4/69</w:t>
      </w:r>
    </w:p>
  </w:footnote>
  <w:footnote w:id="102">
    <w:p w:rsidR="00296A1B" w:rsidRDefault="00D67FEE">
      <w:r>
        <w:footnoteRef/>
      </w:r>
      <w:r>
        <w:rPr>
          <w:rFonts w:ascii="Times New Roman" w:hAnsi="Times New Roman" w:cs="Times New Roman"/>
          <w:sz w:val="20"/>
          <w:szCs w:val="20"/>
        </w:rPr>
        <w:t xml:space="preserve"> Abdukadirova N.A. Statistical Analysis of the Dynamics of Non-Cash Payments in Uzbekist</w:t>
      </w:r>
      <w:r>
        <w:rPr>
          <w:rFonts w:ascii="Times New Roman" w:hAnsi="Times New Roman" w:cs="Times New Roman"/>
          <w:sz w:val="20"/>
          <w:szCs w:val="20"/>
        </w:rPr>
        <w:t>an Over the Past Five Years // Journal of Applied Science and Social Science. 2026. Vol. 16, No. 5. P. 320-323. URL: https://www.internationaljournal.co.in/index.php/jasass/article/view/4320</w:t>
      </w:r>
    </w:p>
  </w:footnote>
  <w:footnote w:id="103">
    <w:p w:rsidR="00296A1B" w:rsidRDefault="00D67FEE">
      <w:r>
        <w:footnoteRef/>
      </w:r>
      <w:r>
        <w:rPr>
          <w:rFonts w:ascii="Times New Roman" w:hAnsi="Times New Roman" w:cs="Times New Roman"/>
          <w:sz w:val="20"/>
          <w:szCs w:val="20"/>
        </w:rPr>
        <w:t xml:space="preserve"> World Bank. World Bank Country and Lending Groups: Country Clas</w:t>
      </w:r>
      <w:r>
        <w:rPr>
          <w:rFonts w:ascii="Times New Roman" w:hAnsi="Times New Roman" w:cs="Times New Roman"/>
          <w:sz w:val="20"/>
          <w:szCs w:val="20"/>
        </w:rPr>
        <w:t>sification. URL: https://datahelpdesk.worldbank.org/knowledgebase/articles/906519-world-bank-country-and-lending-groups</w:t>
      </w:r>
    </w:p>
  </w:footnote>
  <w:footnote w:id="104">
    <w:p w:rsidR="00296A1B" w:rsidRDefault="00D67FEE">
      <w:r>
        <w:footnoteRef/>
      </w:r>
      <w:r>
        <w:rPr>
          <w:rFonts w:ascii="Times New Roman" w:hAnsi="Times New Roman" w:cs="Times New Roman"/>
          <w:sz w:val="20"/>
          <w:szCs w:val="20"/>
        </w:rPr>
        <w:t xml:space="preserve"> UNCTAD. World Investment Report 2023: Investing in Sustainable Energy for All. Geneva: United Nations, 2023. URL: https://unctad.org/p</w:t>
      </w:r>
      <w:r>
        <w:rPr>
          <w:rFonts w:ascii="Times New Roman" w:hAnsi="Times New Roman" w:cs="Times New Roman"/>
          <w:sz w:val="20"/>
          <w:szCs w:val="20"/>
        </w:rPr>
        <w:t>ublication/world-investment-report-2023</w:t>
      </w:r>
    </w:p>
  </w:footnote>
  <w:footnote w:id="105">
    <w:p w:rsidR="00296A1B" w:rsidRDefault="00D67FEE">
      <w:r>
        <w:footnoteRef/>
      </w:r>
      <w:r>
        <w:rPr>
          <w:rFonts w:ascii="Times New Roman" w:hAnsi="Times New Roman" w:cs="Times New Roman"/>
          <w:sz w:val="20"/>
          <w:szCs w:val="20"/>
        </w:rPr>
        <w:t xml:space="preserve"> e-Estonia. X-Road: Data Exchange Layer. URL: https://e-estonia.com/solutions/interoperability-services/x-road/</w:t>
      </w:r>
    </w:p>
  </w:footnote>
  <w:footnote w:id="106">
    <w:p w:rsidR="00296A1B" w:rsidRDefault="00D67FEE">
      <w:r>
        <w:footnoteRef/>
      </w:r>
      <w:r>
        <w:rPr>
          <w:rFonts w:ascii="Times New Roman" w:hAnsi="Times New Roman" w:cs="Times New Roman"/>
          <w:sz w:val="20"/>
          <w:szCs w:val="20"/>
        </w:rPr>
        <w:t xml:space="preserve"> X-Road. Open-Source Software. URL: https://x-road.global/xroad-open-source</w:t>
      </w:r>
    </w:p>
  </w:footnote>
  <w:footnote w:id="107">
    <w:p w:rsidR="00296A1B" w:rsidRDefault="00D67FEE">
      <w:r>
        <w:footnoteRef/>
      </w:r>
      <w:r>
        <w:rPr>
          <w:rFonts w:ascii="Times New Roman" w:hAnsi="Times New Roman" w:cs="Times New Roman"/>
          <w:sz w:val="20"/>
          <w:szCs w:val="20"/>
        </w:rPr>
        <w:t xml:space="preserve"> Statistics Estonia. Population of Estonia, 1 January 2024. 2024. URL: https://www.stat.ee/en/find-statistics/statistics-theme/population</w:t>
      </w:r>
    </w:p>
  </w:footnote>
  <w:footnote w:id="108">
    <w:p w:rsidR="00296A1B" w:rsidRDefault="00D67FEE">
      <w:r>
        <w:footnoteRef/>
      </w:r>
      <w:r>
        <w:rPr>
          <w:rFonts w:ascii="Times New Roman" w:hAnsi="Times New Roman" w:cs="Times New Roman"/>
          <w:sz w:val="20"/>
          <w:szCs w:val="20"/>
        </w:rPr>
        <w:t xml:space="preserve"> Statistics Agency under the President of the Republic of Uzbekistan. Demographic situation in Uzbekistan, 2024. 2024</w:t>
      </w:r>
      <w:r>
        <w:rPr>
          <w:rFonts w:ascii="Times New Roman" w:hAnsi="Times New Roman" w:cs="Times New Roman"/>
          <w:sz w:val="20"/>
          <w:szCs w:val="20"/>
        </w:rPr>
        <w:t>. URL: https://stat.uz/en/</w:t>
      </w:r>
    </w:p>
  </w:footnote>
  <w:footnote w:id="109">
    <w:p w:rsidR="00296A1B" w:rsidRDefault="00D67FEE">
      <w:r>
        <w:footnoteRef/>
      </w:r>
      <w:r>
        <w:rPr>
          <w:rFonts w:ascii="Times New Roman" w:hAnsi="Times New Roman" w:cs="Times New Roman"/>
          <w:sz w:val="20"/>
          <w:szCs w:val="20"/>
        </w:rPr>
        <w:t xml:space="preserve"> Government of the Republic of Korea. Korean New Deal: National Strategy for a Great Transformation. Seoul, 2020. P. 14-18. URL: https://english.moef.go.kr/</w:t>
      </w:r>
    </w:p>
  </w:footnote>
  <w:footnote w:id="110">
    <w:p w:rsidR="00296A1B" w:rsidRDefault="00D67FEE">
      <w:r>
        <w:footnoteRef/>
      </w:r>
      <w:r>
        <w:rPr>
          <w:rFonts w:ascii="Times New Roman" w:hAnsi="Times New Roman" w:cs="Times New Roman"/>
          <w:sz w:val="20"/>
          <w:szCs w:val="20"/>
        </w:rPr>
        <w:t xml:space="preserve"> European Commission. Operational Programme Digital Poland 2014-2020 (</w:t>
      </w:r>
      <w:r>
        <w:rPr>
          <w:rFonts w:ascii="Times New Roman" w:hAnsi="Times New Roman" w:cs="Times New Roman"/>
          <w:sz w:val="20"/>
          <w:szCs w:val="20"/>
        </w:rPr>
        <w:t>POPC). URL: https://ec.europa.eu/regional_policy/en/atlas/programmes/2014-2020/poland/2014pl16rfop002</w:t>
      </w:r>
    </w:p>
  </w:footnote>
  <w:footnote w:id="111">
    <w:p w:rsidR="00296A1B" w:rsidRDefault="00D67FEE">
      <w:r>
        <w:footnoteRef/>
      </w:r>
      <w:r>
        <w:rPr>
          <w:rFonts w:ascii="Times New Roman" w:hAnsi="Times New Roman" w:cs="Times New Roman"/>
          <w:sz w:val="20"/>
          <w:szCs w:val="20"/>
        </w:rPr>
        <w:t xml:space="preserve"> Asian Development Bank. Uzbekistan: Country Partnership Strategy 2019-2023. Manila: ADB, 2019. URL: https://www.adb.org/documents/uzbekistan-country-par</w:t>
      </w:r>
      <w:r>
        <w:rPr>
          <w:rFonts w:ascii="Times New Roman" w:hAnsi="Times New Roman" w:cs="Times New Roman"/>
          <w:sz w:val="20"/>
          <w:szCs w:val="20"/>
        </w:rPr>
        <w:t>tnership-strategy-2019-2023</w:t>
      </w:r>
    </w:p>
  </w:footnote>
  <w:footnote w:id="112">
    <w:p w:rsidR="00296A1B" w:rsidRDefault="00D67FEE">
      <w:r>
        <w:footnoteRef/>
      </w:r>
      <w:r>
        <w:rPr>
          <w:rFonts w:ascii="Times New Roman" w:hAnsi="Times New Roman" w:cs="Times New Roman"/>
          <w:sz w:val="20"/>
          <w:szCs w:val="20"/>
        </w:rPr>
        <w:t xml:space="preserve"> EBRD. Uzbekistan Country Strategy 2018-2023. London: EBRD, 2018. URL: https://www.ebrd.com/uzbekistan.html</w:t>
      </w:r>
    </w:p>
  </w:footnote>
  <w:footnote w:id="113">
    <w:p w:rsidR="00296A1B" w:rsidRDefault="00D67FEE">
      <w:r>
        <w:footnoteRef/>
      </w:r>
      <w:r>
        <w:rPr>
          <w:rFonts w:ascii="Times New Roman" w:hAnsi="Times New Roman" w:cs="Times New Roman"/>
          <w:sz w:val="20"/>
          <w:szCs w:val="20"/>
        </w:rPr>
        <w:t xml:space="preserve"> GovTech Singapore. SingPass: National Digital Identity. URL: https://www.singpass.gov.sg/</w:t>
      </w:r>
    </w:p>
  </w:footnote>
  <w:footnote w:id="114">
    <w:p w:rsidR="00296A1B" w:rsidRDefault="00D67FEE">
      <w:r>
        <w:footnoteRef/>
      </w:r>
      <w:r>
        <w:rPr>
          <w:rFonts w:ascii="Times New Roman" w:hAnsi="Times New Roman" w:cs="Times New Roman"/>
          <w:sz w:val="20"/>
          <w:szCs w:val="20"/>
        </w:rPr>
        <w:t xml:space="preserve"> OECD. Strengthening Economic Resilience: Insights from the Post-1970 Record of Severe Recessions and Financial Crises // OECD Economic Policy Paper</w:t>
      </w:r>
      <w:r>
        <w:rPr>
          <w:rFonts w:ascii="Times New Roman" w:hAnsi="Times New Roman" w:cs="Times New Roman"/>
          <w:sz w:val="20"/>
          <w:szCs w:val="20"/>
        </w:rPr>
        <w:t>s. 2017. No. 20. P. 8-12. DOI: https://doi.org/10.1787/6b748a4b-en</w:t>
      </w:r>
    </w:p>
  </w:footnote>
  <w:footnote w:id="115">
    <w:p w:rsidR="00296A1B" w:rsidRDefault="00D67FEE">
      <w:r>
        <w:footnoteRef/>
      </w:r>
      <w:r>
        <w:rPr>
          <w:rFonts w:ascii="Times New Roman" w:hAnsi="Times New Roman" w:cs="Times New Roman"/>
          <w:sz w:val="20"/>
          <w:szCs w:val="20"/>
        </w:rPr>
        <w:t xml:space="preserve"> International Telecommunication Union (ITU). ICT Indicators Database: Individual internet usage, Uzbekistan. 2023. URL: https://datahub.itu.int/</w:t>
      </w:r>
    </w:p>
  </w:footnote>
  <w:footnote w:id="116">
    <w:p w:rsidR="00296A1B" w:rsidRDefault="00D67FEE">
      <w:r>
        <w:footnoteRef/>
      </w:r>
      <w:r>
        <w:rPr>
          <w:rFonts w:ascii="Times New Roman" w:hAnsi="Times New Roman" w:cs="Times New Roman"/>
          <w:sz w:val="20"/>
          <w:szCs w:val="20"/>
        </w:rPr>
        <w:t xml:space="preserve"> IT Park Uzbekistan. Annual Report 2024. </w:t>
      </w:r>
      <w:r>
        <w:rPr>
          <w:rFonts w:ascii="Times New Roman" w:hAnsi="Times New Roman" w:cs="Times New Roman"/>
          <w:sz w:val="20"/>
          <w:szCs w:val="20"/>
        </w:rPr>
        <w:t>2024. URL: https://it-park.uz/en</w:t>
      </w:r>
    </w:p>
  </w:footnote>
  <w:footnote w:id="117">
    <w:p w:rsidR="00296A1B" w:rsidRDefault="00D67FEE">
      <w:r>
        <w:footnoteRef/>
      </w:r>
      <w:r>
        <w:rPr>
          <w:rFonts w:ascii="Times New Roman" w:hAnsi="Times New Roman" w:cs="Times New Roman"/>
          <w:sz w:val="20"/>
          <w:szCs w:val="20"/>
        </w:rPr>
        <w:t xml:space="preserve"> Ministry of Digital Techn</w:t>
      </w:r>
      <w:r>
        <w:rPr>
          <w:rFonts w:ascii="Times New Roman" w:hAnsi="Times New Roman" w:cs="Times New Roman"/>
          <w:sz w:val="20"/>
          <w:szCs w:val="20"/>
        </w:rPr>
        <w:t>ologies of the Republic of Uzbekistan. MyID: National Digital Identification System. URL: https://myid.uz/</w:t>
      </w:r>
    </w:p>
  </w:footnote>
  <w:footnote w:id="118">
    <w:p w:rsidR="00296A1B" w:rsidRDefault="00D67FEE">
      <w:r>
        <w:footnoteRef/>
      </w:r>
      <w:r>
        <w:rPr>
          <w:rFonts w:ascii="Times New Roman" w:hAnsi="Times New Roman" w:cs="Times New Roman"/>
          <w:sz w:val="20"/>
          <w:szCs w:val="20"/>
        </w:rPr>
        <w:t xml:space="preserve"> e-Estonia. X-Road: Data Exchange Layer. URL: https://e-estonia.com/solutions/interoperability-services/x-road/</w:t>
      </w:r>
    </w:p>
  </w:footnote>
  <w:footnote w:id="119">
    <w:p w:rsidR="00296A1B" w:rsidRDefault="00D67FEE">
      <w:r>
        <w:footnoteRef/>
      </w:r>
      <w:r>
        <w:rPr>
          <w:rFonts w:ascii="Times New Roman" w:hAnsi="Times New Roman" w:cs="Times New Roman"/>
          <w:sz w:val="20"/>
          <w:szCs w:val="20"/>
        </w:rPr>
        <w:t xml:space="preserve"> Указ Президента Республики Узбекистан № УП-6079 от 5 октября 2020 г. «Об утверждении Стратегии "Цифровой Узбекистан - 2030" и мер</w:t>
      </w:r>
      <w:r>
        <w:rPr>
          <w:rFonts w:ascii="Times New Roman" w:hAnsi="Times New Roman" w:cs="Times New Roman"/>
          <w:sz w:val="20"/>
          <w:szCs w:val="20"/>
        </w:rPr>
        <w:t>ах по её эффективной реализации». URL: https://lex.uz/ru/docs/5031048</w:t>
      </w:r>
    </w:p>
  </w:footnote>
  <w:footnote w:id="120">
    <w:p w:rsidR="00296A1B" w:rsidRDefault="00D67FEE">
      <w:r>
        <w:footnoteRef/>
      </w:r>
      <w:r>
        <w:rPr>
          <w:rFonts w:ascii="Times New Roman" w:hAnsi="Times New Roman" w:cs="Times New Roman"/>
          <w:sz w:val="20"/>
          <w:szCs w:val="20"/>
        </w:rPr>
        <w:t xml:space="preserve"> Указ Президента Республики Узбекистан от 5 октября 2020 г. № УП-6079 «Об утверждении Стратегии "Цифровой Узбекистан - 2030" и мерах по её эффективной реализации». Национальная база дан</w:t>
      </w:r>
      <w:r>
        <w:rPr>
          <w:rFonts w:ascii="Times New Roman" w:hAnsi="Times New Roman" w:cs="Times New Roman"/>
          <w:sz w:val="20"/>
          <w:szCs w:val="20"/>
        </w:rPr>
        <w:t>ных законодательства Республики Узбекистан. 2020. URL: https://lex.uz/ru/docs/5031048</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74F51"/>
    <w:multiLevelType w:val="multilevel"/>
    <w:tmpl w:val="1E840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5430BD"/>
    <w:rsid w:val="001328D2"/>
    <w:rsid w:val="00200C8F"/>
    <w:rsid w:val="00296A1B"/>
    <w:rsid w:val="002E619F"/>
    <w:rsid w:val="00427CD1"/>
    <w:rsid w:val="004A309C"/>
    <w:rsid w:val="005430BD"/>
    <w:rsid w:val="006E53DB"/>
    <w:rsid w:val="00721D4F"/>
    <w:rsid w:val="00953FDC"/>
    <w:rsid w:val="00C46AA8"/>
    <w:rsid w:val="00D37B22"/>
    <w:rsid w:val="00D674CB"/>
    <w:rsid w:val="00D67FEE"/>
    <w:rsid w:val="00E26E25"/>
    <w:rsid w:val="00EA258C"/>
    <w:rsid w:val="00F137B2"/>
    <w:rsid w:val="00F67A38"/>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1D8C1"/>
  <w15:chartTrackingRefBased/>
  <w15:docId w15:val="{4DD21991-AFFA-4123-B77B-7CEE5DD1C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ru-RU"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5430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430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430B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430B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430B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430B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430B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430B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430B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430B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430B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430B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430B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430B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430B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430BD"/>
    <w:rPr>
      <w:rFonts w:eastAsiaTheme="majorEastAsia" w:cstheme="majorBidi"/>
      <w:color w:val="595959" w:themeColor="text1" w:themeTint="A6"/>
    </w:rPr>
  </w:style>
  <w:style w:type="character" w:customStyle="1" w:styleId="80">
    <w:name w:val="Заголовок 8 Знак"/>
    <w:basedOn w:val="a0"/>
    <w:link w:val="8"/>
    <w:uiPriority w:val="9"/>
    <w:semiHidden/>
    <w:rsid w:val="005430B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430BD"/>
    <w:rPr>
      <w:rFonts w:eastAsiaTheme="majorEastAsia" w:cstheme="majorBidi"/>
      <w:color w:val="272727" w:themeColor="text1" w:themeTint="D8"/>
    </w:rPr>
  </w:style>
  <w:style w:type="paragraph" w:styleId="a3">
    <w:name w:val="Title"/>
    <w:basedOn w:val="a"/>
    <w:next w:val="a"/>
    <w:link w:val="a4"/>
    <w:uiPriority w:val="10"/>
    <w:qFormat/>
    <w:rsid w:val="005430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430B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430B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430B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430BD"/>
    <w:pPr>
      <w:spacing w:before="160"/>
      <w:jc w:val="center"/>
    </w:pPr>
    <w:rPr>
      <w:i/>
      <w:iCs/>
      <w:color w:val="404040" w:themeColor="text1" w:themeTint="BF"/>
    </w:rPr>
  </w:style>
  <w:style w:type="character" w:customStyle="1" w:styleId="22">
    <w:name w:val="Цитата 2 Знак"/>
    <w:basedOn w:val="a0"/>
    <w:link w:val="21"/>
    <w:uiPriority w:val="29"/>
    <w:rsid w:val="005430BD"/>
    <w:rPr>
      <w:i/>
      <w:iCs/>
      <w:color w:val="404040" w:themeColor="text1" w:themeTint="BF"/>
    </w:rPr>
  </w:style>
  <w:style w:type="paragraph" w:styleId="a7">
    <w:name w:val="List Paragraph"/>
    <w:basedOn w:val="a"/>
    <w:uiPriority w:val="34"/>
    <w:qFormat/>
    <w:rsid w:val="005430BD"/>
    <w:pPr>
      <w:ind w:left="720"/>
      <w:contextualSpacing/>
    </w:pPr>
  </w:style>
  <w:style w:type="character" w:styleId="a8">
    <w:name w:val="Intense Emphasis"/>
    <w:basedOn w:val="a0"/>
    <w:uiPriority w:val="21"/>
    <w:qFormat/>
    <w:rsid w:val="005430BD"/>
    <w:rPr>
      <w:i/>
      <w:iCs/>
      <w:color w:val="2F5496" w:themeColor="accent1" w:themeShade="BF"/>
    </w:rPr>
  </w:style>
  <w:style w:type="paragraph" w:styleId="a9">
    <w:name w:val="Intense Quote"/>
    <w:basedOn w:val="a"/>
    <w:next w:val="a"/>
    <w:link w:val="aa"/>
    <w:uiPriority w:val="30"/>
    <w:qFormat/>
    <w:rsid w:val="005430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430BD"/>
    <w:rPr>
      <w:i/>
      <w:iCs/>
      <w:color w:val="2F5496" w:themeColor="accent1" w:themeShade="BF"/>
    </w:rPr>
  </w:style>
  <w:style w:type="character" w:styleId="ab">
    <w:name w:val="Intense Reference"/>
    <w:basedOn w:val="a0"/>
    <w:uiPriority w:val="32"/>
    <w:qFormat/>
    <w:rsid w:val="005430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az-Cyrl-AZ"/>
              <a:t>Доля ИКТ-сектора в ВВП ОЭСР (%)</a:t>
            </a:r>
          </a:p>
        </c:rich>
      </c:tx>
      <c:overlay val="1"/>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lineChart>
        <c:grouping val="standard"/>
        <c:varyColors val="1"/>
        <c:ser>
          <c:idx val="0"/>
          <c:order val="0"/>
          <c:tx>
            <c:strRef>
              <c:f>[Графики_диплом_полный.xlsx]Рис1_ИКТ_доля_ВВП!$B$3</c:f>
              <c:strCache>
                <c:ptCount val="1"/>
                <c:pt idx="0">
                  <c:v>ИКТ-сектор, % ВВП</c:v>
                </c:pt>
              </c:strCache>
            </c:strRef>
          </c:tx>
          <c:marker>
            <c:symbol val="none"/>
          </c:marker>
          <c:dPt>
            <c:idx val="0"/>
            <c:marker>
              <c:symbol val="none"/>
            </c:marker>
            <c:bubble3D val="0"/>
            <c:spPr>
              <a:ln w="31750" cap="rnd">
                <a:solidFill>
                  <a:schemeClr val="accent1"/>
                </a:solidFill>
                <a:round/>
              </a:ln>
              <a:effectLst/>
            </c:spPr>
            <c:extLst>
              <c:ext xmlns:c16="http://schemas.microsoft.com/office/drawing/2014/chart" uri="{C3380CC4-5D6E-409C-BE32-E72D297353CC}">
                <c16:uniqueId val="{00000001-7CFC-42C3-82E5-D0729182E59C}"/>
              </c:ext>
            </c:extLst>
          </c:dPt>
          <c:dPt>
            <c:idx val="1"/>
            <c:marker>
              <c:symbol val="none"/>
            </c:marker>
            <c:bubble3D val="0"/>
            <c:spPr>
              <a:ln w="31750" cap="rnd">
                <a:solidFill>
                  <a:schemeClr val="accent2"/>
                </a:solidFill>
                <a:round/>
              </a:ln>
              <a:effectLst/>
            </c:spPr>
            <c:extLst>
              <c:ext xmlns:c16="http://schemas.microsoft.com/office/drawing/2014/chart" uri="{C3380CC4-5D6E-409C-BE32-E72D297353CC}">
                <c16:uniqueId val="{00000003-7CFC-42C3-82E5-D0729182E59C}"/>
              </c:ext>
            </c:extLst>
          </c:dPt>
          <c:dPt>
            <c:idx val="2"/>
            <c:marker>
              <c:symbol val="none"/>
            </c:marker>
            <c:bubble3D val="0"/>
            <c:spPr>
              <a:ln w="31750" cap="rnd">
                <a:solidFill>
                  <a:schemeClr val="accent3"/>
                </a:solidFill>
                <a:round/>
              </a:ln>
              <a:effectLst/>
            </c:spPr>
            <c:extLst>
              <c:ext xmlns:c16="http://schemas.microsoft.com/office/drawing/2014/chart" uri="{C3380CC4-5D6E-409C-BE32-E72D297353CC}">
                <c16:uniqueId val="{00000005-7CFC-42C3-82E5-D0729182E59C}"/>
              </c:ext>
            </c:extLst>
          </c:dPt>
          <c:dPt>
            <c:idx val="3"/>
            <c:marker>
              <c:symbol val="none"/>
            </c:marker>
            <c:bubble3D val="0"/>
            <c:spPr>
              <a:ln w="31750" cap="rnd">
                <a:solidFill>
                  <a:schemeClr val="accent4"/>
                </a:solidFill>
                <a:round/>
              </a:ln>
              <a:effectLst/>
            </c:spPr>
            <c:extLst>
              <c:ext xmlns:c16="http://schemas.microsoft.com/office/drawing/2014/chart" uri="{C3380CC4-5D6E-409C-BE32-E72D297353CC}">
                <c16:uniqueId val="{00000007-7CFC-42C3-82E5-D0729182E59C}"/>
              </c:ext>
            </c:extLst>
          </c:dPt>
          <c:dPt>
            <c:idx val="4"/>
            <c:marker>
              <c:symbol val="none"/>
            </c:marker>
            <c:bubble3D val="0"/>
            <c:spPr>
              <a:ln w="31750" cap="rnd">
                <a:solidFill>
                  <a:schemeClr val="accent5"/>
                </a:solidFill>
                <a:round/>
              </a:ln>
              <a:effectLst/>
            </c:spPr>
            <c:extLst>
              <c:ext xmlns:c16="http://schemas.microsoft.com/office/drawing/2014/chart" uri="{C3380CC4-5D6E-409C-BE32-E72D297353CC}">
                <c16:uniqueId val="{00000009-7CFC-42C3-82E5-D0729182E59C}"/>
              </c:ext>
            </c:extLst>
          </c:dPt>
          <c:dPt>
            <c:idx val="5"/>
            <c:marker>
              <c:symbol val="none"/>
            </c:marker>
            <c:bubble3D val="0"/>
            <c:spPr>
              <a:ln w="31750" cap="rnd">
                <a:solidFill>
                  <a:schemeClr val="accent6"/>
                </a:solidFill>
                <a:round/>
              </a:ln>
              <a:effectLst/>
            </c:spPr>
            <c:extLst>
              <c:ext xmlns:c16="http://schemas.microsoft.com/office/drawing/2014/chart" uri="{C3380CC4-5D6E-409C-BE32-E72D297353CC}">
                <c16:uniqueId val="{0000000B-7CFC-42C3-82E5-D0729182E59C}"/>
              </c:ext>
            </c:extLst>
          </c:dPt>
          <c:dPt>
            <c:idx val="6"/>
            <c:marker>
              <c:symbol val="none"/>
            </c:marker>
            <c:bubble3D val="0"/>
            <c:spPr>
              <a:ln w="31750" cap="rnd">
                <a:solidFill>
                  <a:schemeClr val="accent1">
                    <a:lumMod val="60000"/>
                  </a:schemeClr>
                </a:solidFill>
                <a:round/>
              </a:ln>
              <a:effectLst/>
            </c:spPr>
            <c:extLst>
              <c:ext xmlns:c16="http://schemas.microsoft.com/office/drawing/2014/chart" uri="{C3380CC4-5D6E-409C-BE32-E72D297353CC}">
                <c16:uniqueId val="{0000000D-7CFC-42C3-82E5-D0729182E59C}"/>
              </c:ext>
            </c:extLst>
          </c:dPt>
          <c:dPt>
            <c:idx val="7"/>
            <c:marker>
              <c:symbol val="none"/>
            </c:marker>
            <c:bubble3D val="0"/>
            <c:spPr>
              <a:ln w="31750" cap="rnd">
                <a:solidFill>
                  <a:schemeClr val="accent2">
                    <a:lumMod val="60000"/>
                  </a:schemeClr>
                </a:solidFill>
                <a:round/>
              </a:ln>
              <a:effectLst/>
            </c:spPr>
            <c:extLst>
              <c:ext xmlns:c16="http://schemas.microsoft.com/office/drawing/2014/chart" uri="{C3380CC4-5D6E-409C-BE32-E72D297353CC}">
                <c16:uniqueId val="{0000000F-7CFC-42C3-82E5-D0729182E59C}"/>
              </c:ext>
            </c:extLst>
          </c:dPt>
          <c:dPt>
            <c:idx val="8"/>
            <c:marker>
              <c:symbol val="none"/>
            </c:marker>
            <c:bubble3D val="0"/>
            <c:spPr>
              <a:ln w="31750" cap="rnd">
                <a:solidFill>
                  <a:schemeClr val="accent3">
                    <a:lumMod val="60000"/>
                  </a:schemeClr>
                </a:solidFill>
                <a:round/>
              </a:ln>
              <a:effectLst/>
            </c:spPr>
            <c:extLst>
              <c:ext xmlns:c16="http://schemas.microsoft.com/office/drawing/2014/chart" uri="{C3380CC4-5D6E-409C-BE32-E72D297353CC}">
                <c16:uniqueId val="{00000011-7CFC-42C3-82E5-D0729182E59C}"/>
              </c:ext>
            </c:extLst>
          </c:dPt>
          <c:dPt>
            <c:idx val="9"/>
            <c:marker>
              <c:symbol val="none"/>
            </c:marker>
            <c:bubble3D val="0"/>
            <c:spPr>
              <a:ln w="31750" cap="rnd">
                <a:solidFill>
                  <a:schemeClr val="accent4">
                    <a:lumMod val="60000"/>
                  </a:schemeClr>
                </a:solidFill>
                <a:round/>
              </a:ln>
              <a:effectLst/>
            </c:spPr>
            <c:extLst>
              <c:ext xmlns:c16="http://schemas.microsoft.com/office/drawing/2014/chart" uri="{C3380CC4-5D6E-409C-BE32-E72D297353CC}">
                <c16:uniqueId val="{00000013-7CFC-42C3-82E5-D0729182E59C}"/>
              </c:ext>
            </c:extLst>
          </c:dPt>
          <c:dPt>
            <c:idx val="10"/>
            <c:marker>
              <c:symbol val="none"/>
            </c:marker>
            <c:bubble3D val="0"/>
            <c:spPr>
              <a:ln w="31750" cap="rnd">
                <a:solidFill>
                  <a:schemeClr val="accent5">
                    <a:lumMod val="60000"/>
                  </a:schemeClr>
                </a:solidFill>
                <a:round/>
              </a:ln>
              <a:effectLst/>
            </c:spPr>
            <c:extLst>
              <c:ext xmlns:c16="http://schemas.microsoft.com/office/drawing/2014/chart" uri="{C3380CC4-5D6E-409C-BE32-E72D297353CC}">
                <c16:uniqueId val="{00000015-7CFC-42C3-82E5-D0729182E59C}"/>
              </c:ext>
            </c:extLst>
          </c:dPt>
          <c:dPt>
            <c:idx val="11"/>
            <c:marker>
              <c:symbol val="none"/>
            </c:marker>
            <c:bubble3D val="0"/>
            <c:spPr>
              <a:ln w="31750" cap="rnd">
                <a:solidFill>
                  <a:schemeClr val="accent6">
                    <a:lumMod val="60000"/>
                  </a:schemeClr>
                </a:solidFill>
                <a:round/>
              </a:ln>
              <a:effectLst/>
            </c:spPr>
            <c:extLst>
              <c:ext xmlns:c16="http://schemas.microsoft.com/office/drawing/2014/chart" uri="{C3380CC4-5D6E-409C-BE32-E72D297353CC}">
                <c16:uniqueId val="{00000017-7CFC-42C3-82E5-D0729182E59C}"/>
              </c:ext>
            </c:extLst>
          </c:dPt>
          <c:dPt>
            <c:idx val="12"/>
            <c:marker>
              <c:symbol val="none"/>
            </c:marker>
            <c:bubble3D val="0"/>
            <c:spPr>
              <a:ln w="31750" cap="rnd">
                <a:solidFill>
                  <a:schemeClr val="accent1">
                    <a:lumMod val="80000"/>
                    <a:lumOff val="20000"/>
                  </a:schemeClr>
                </a:solidFill>
                <a:round/>
              </a:ln>
              <a:effectLst/>
            </c:spPr>
            <c:extLst>
              <c:ext xmlns:c16="http://schemas.microsoft.com/office/drawing/2014/chart" uri="{C3380CC4-5D6E-409C-BE32-E72D297353CC}">
                <c16:uniqueId val="{00000019-7CFC-42C3-82E5-D0729182E59C}"/>
              </c:ext>
            </c:extLst>
          </c:dPt>
          <c:dPt>
            <c:idx val="13"/>
            <c:marker>
              <c:symbol val="none"/>
            </c:marker>
            <c:bubble3D val="0"/>
            <c:spPr>
              <a:ln w="31750" cap="rnd">
                <a:solidFill>
                  <a:schemeClr val="accent2">
                    <a:lumMod val="80000"/>
                    <a:lumOff val="20000"/>
                  </a:schemeClr>
                </a:solidFill>
                <a:round/>
              </a:ln>
              <a:effectLst/>
            </c:spPr>
            <c:extLst>
              <c:ext xmlns:c16="http://schemas.microsoft.com/office/drawing/2014/chart" uri="{C3380CC4-5D6E-409C-BE32-E72D297353CC}">
                <c16:uniqueId val="{0000001B-7CFC-42C3-82E5-D0729182E59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numRef>
              <c:f>[Графики_диплом_полный.xlsx]Рис1_ИКТ_доля_ВВП!$A$4:$A$17</c:f>
              <c:numCache>
                <c:formatCode>General</c:formatCode>
                <c:ptCount val="14"/>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pt idx="13">
                  <c:v>2023</c:v>
                </c:pt>
              </c:numCache>
            </c:numRef>
          </c:cat>
          <c:val>
            <c:numRef>
              <c:f>[Графики_диплом_полный.xlsx]Рис1_ИКТ_доля_ВВП!$B$4:$B$17</c:f>
              <c:numCache>
                <c:formatCode>General</c:formatCode>
                <c:ptCount val="14"/>
                <c:pt idx="0">
                  <c:v>3.9</c:v>
                </c:pt>
                <c:pt idx="1">
                  <c:v>4</c:v>
                </c:pt>
                <c:pt idx="2">
                  <c:v>4.0999999999999996</c:v>
                </c:pt>
                <c:pt idx="3">
                  <c:v>4.2</c:v>
                </c:pt>
                <c:pt idx="4">
                  <c:v>4.3</c:v>
                </c:pt>
                <c:pt idx="5">
                  <c:v>4.5999999999999996</c:v>
                </c:pt>
                <c:pt idx="6">
                  <c:v>4.7</c:v>
                </c:pt>
                <c:pt idx="7">
                  <c:v>4.9000000000000004</c:v>
                </c:pt>
                <c:pt idx="8">
                  <c:v>5.0999999999999996</c:v>
                </c:pt>
                <c:pt idx="9">
                  <c:v>5.4</c:v>
                </c:pt>
                <c:pt idx="10">
                  <c:v>5.6</c:v>
                </c:pt>
                <c:pt idx="11">
                  <c:v>5.8</c:v>
                </c:pt>
                <c:pt idx="12">
                  <c:v>6</c:v>
                </c:pt>
                <c:pt idx="13">
                  <c:v>6.2</c:v>
                </c:pt>
              </c:numCache>
            </c:numRef>
          </c:val>
          <c:smooth val="1"/>
          <c:extLst>
            <c:ext xmlns:c16="http://schemas.microsoft.com/office/drawing/2014/chart" uri="{C3380CC4-5D6E-409C-BE32-E72D297353CC}">
              <c16:uniqueId val="{0000001C-7CFC-42C3-82E5-D0729182E59C}"/>
            </c:ext>
          </c:extLst>
        </c:ser>
        <c:dLbls>
          <c:dLblPos val="ctr"/>
          <c:showLegendKey val="0"/>
          <c:showVal val="1"/>
          <c:showCatName val="0"/>
          <c:showSerName val="0"/>
          <c:showPercent val="0"/>
          <c:showBubbleSize val="0"/>
        </c:dLbls>
        <c:smooth val="0"/>
        <c:axId val="10"/>
        <c:axId val="100"/>
      </c:lineChart>
      <c:catAx>
        <c:axId val="10"/>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az-Cyrl-AZ"/>
                  <a:t>Год</a:t>
                </a:r>
              </a:p>
            </c:rich>
          </c:tx>
          <c:layout>
            <c:manualLayout>
              <c:xMode val="edge"/>
              <c:yMode val="edge"/>
              <c:x val="0.49426056425660131"/>
              <c:y val="0.76715650369285238"/>
            </c:manualLayout>
          </c:layout>
          <c:overlay val="1"/>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00"/>
        <c:crosses val="autoZero"/>
        <c:auto val="1"/>
        <c:lblAlgn val="ctr"/>
        <c:lblOffset val="100"/>
        <c:noMultiLvlLbl val="1"/>
      </c:catAx>
      <c:valAx>
        <c:axId val="100"/>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a:t>
                </a:r>
              </a:p>
            </c:rich>
          </c:tx>
          <c:overlay val="1"/>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0"/>
        <c:crosses val="autoZero"/>
        <c:crossBetween val="between"/>
      </c:valAx>
      <c:spPr>
        <a:noFill/>
        <a:ln>
          <a:noFill/>
        </a:ln>
        <a:effectLst/>
      </c:spPr>
    </c:plotArea>
    <c:legend>
      <c:legendPos val="b"/>
      <c:layout>
        <c:manualLayout>
          <c:xMode val="edge"/>
          <c:yMode val="edge"/>
          <c:x val="0.13858497447118892"/>
          <c:y val="0.8437488555209669"/>
          <c:w val="0.71889132020423052"/>
          <c:h val="0.1562511444790331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1"/>
  </c:chart>
  <c:spPr>
    <a:solidFill>
      <a:schemeClr val="bg1"/>
    </a:solidFill>
    <a:ln w="9525" cap="flat" cmpd="sng" algn="ctr">
      <a:solidFill>
        <a:schemeClr val="tx2">
          <a:lumMod val="15000"/>
          <a:lumOff val="85000"/>
        </a:schemeClr>
      </a:solidFill>
      <a:round/>
    </a:ln>
    <a:effectLst/>
  </c:spPr>
  <c:txPr>
    <a:bodyPr/>
    <a:lstStyle/>
    <a:p>
      <a:pPr>
        <a:defRPr/>
      </a:pPr>
      <a:endParaRPr lang="en-US"/>
    </a:p>
  </c:txPr>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65</Pages>
  <Words>15452</Words>
  <Characters>88082</Characters>
  <Application>Microsoft Office Word</Application>
  <DocSecurity>0</DocSecurity>
  <Lines>734</Lines>
  <Paragraphs>206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Muhammadjon</cp:lastModifiedBy>
  <cp:revision>7</cp:revision>
  <dcterms:created xsi:type="dcterms:W3CDTF">2026-06-03T10:55:00Z</dcterms:created>
  <dcterms:modified xsi:type="dcterms:W3CDTF">2026-06-03T14:46:00Z</dcterms:modified>
</cp:coreProperties>
</file>