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Architectural Decision Document (ADD): Decoupled Enterprise Metadata Management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the enterprise architecture transitions towards a hybrid ecosystem comprising legacy Mainframe Policy Administration Systems (PAS) and modern SaaS platforms, the business continually demands the introduction of descriptive, non-operational attributes (e.g., </w:t>
      </w:r>
      <w:r w:rsidDel="00000000" w:rsidR="00000000" w:rsidRPr="00000000">
        <w:rPr>
          <w:i w:val="1"/>
          <w:iCs w:val="1"/>
          <w:rtl w:val="0"/>
        </w:rPr>
        <w:t xml:space="preserve">Data Trust Indicator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Corporate Entity Identifier</w:t>
      </w:r>
      <w:r w:rsidDel="00000000" w:rsidR="00000000" w:rsidRPr="00000000">
        <w:rPr>
          <w:rtl w:val="0"/>
        </w:rPr>
        <w:t xml:space="preserve">). These attributes exist at the Group, Plan, or Product level but do not influence actuarial calculations, billing, or claims processing.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Modifying legacy Mainframe (DB2/COBOL) and proprietary SaaS data models to accommodate these non-transactional attributes introduces severe bottlenecks, exorbitant Total Cost of Ownership (TCO), and extensive blast radiuses impacting downstream Data Lake ingestion. This document evaluates the architectural approaches and recommends a </w:t>
      </w:r>
      <w:r w:rsidDel="00000000" w:rsidR="00000000" w:rsidRPr="00000000">
        <w:rPr>
          <w:b w:val="1"/>
          <w:bCs w:val="1"/>
          <w:rtl w:val="0"/>
        </w:rPr>
        <w:t xml:space="preserve">Decoupled Enterprise Metadata Store</w:t>
      </w:r>
      <w:r w:rsidDel="00000000" w:rsidR="00000000" w:rsidRPr="00000000">
        <w:rPr>
          <w:rtl w:val="0"/>
        </w:rPr>
        <w:t xml:space="preserve">. This approach externalizes non-operational attributes while establishing robust API, file transfer, and reverse-feed patterns to ensure visibility for legacy and modern consumers, including Document Generation and UI integration.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Business Context &amp; Problem Statement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Policy Administration Systems are highly optimized transaction state engines. When business stakeholders require new tracking attributes (e.g., tagging a Group for a specific organizational rollout), forcing these into the PAS creates systemic friction: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Mainframe Constraints:</w:t>
      </w:r>
      <w:r w:rsidDel="00000000" w:rsidR="00000000" w:rsidRPr="00000000">
        <w:rPr>
          <w:rtl w:val="0"/>
        </w:rPr>
        <w:t xml:space="preserve"> Schema additions require DB2 DDL changes, copybook updates, recompilation of batch programs, and extensive regression testing.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SaaS Constraints:</w:t>
      </w:r>
      <w:r w:rsidDel="00000000" w:rsidR="00000000" w:rsidRPr="00000000">
        <w:rPr>
          <w:rtl w:val="0"/>
        </w:rPr>
        <w:t xml:space="preserve"> Vendor data models are rigid. Custom fields may be limited, subject to vendor release cycles, or incur additional licensing costs.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Lake Churn:</w:t>
      </w:r>
      <w:r w:rsidDel="00000000" w:rsidR="00000000" w:rsidRPr="00000000">
        <w:rPr>
          <w:rtl w:val="0"/>
        </w:rPr>
        <w:t xml:space="preserve"> Modifying source operational tables breaks or requires modification to Change Data Capture (CDC) pipelines and Bronze/Landing zone schemas.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Actuarial Value:</w:t>
      </w:r>
      <w:r w:rsidDel="00000000" w:rsidR="00000000" w:rsidRPr="00000000">
        <w:rPr>
          <w:rtl w:val="0"/>
        </w:rPr>
        <w:t xml:space="preserve"> The PAS engines do not use these attributes for core processing, meaning the operational risk of modification vastly outweighs the business value of the data being stored.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Option 1: In-System Augmentation (The Coupled Approach)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approach involves modifying the core Mainframe and SaaS systems to store the new attributes directly on the Group/Plan/Product records.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Dimension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Impact / 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Mainframe Impact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High. Requires DB2 schema evolution, copybook updates, and end-to-end regression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Lake Impact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High. Downstream pipelines must be modified to accept the expanded payload.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Single source of truth within the PAS; no external joins required for Document Generation.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cost, slow time-to-market, high risk of introducing defects into billing/claims logic.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Option 2: Decoupled Metadata Domain (Recommended Target Architecture)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recommended approach is to establish a distinct </w:t>
      </w:r>
      <w:r w:rsidDel="00000000" w:rsidR="00000000" w:rsidRPr="00000000">
        <w:rPr>
          <w:b w:val="1"/>
          <w:bCs w:val="1"/>
          <w:rtl w:val="0"/>
        </w:rPr>
        <w:t xml:space="preserve">Enterprise Metadata / Reference Store</w:t>
      </w:r>
      <w:r w:rsidDel="00000000" w:rsidR="00000000" w:rsidRPr="00000000">
        <w:rPr>
          <w:rtl w:val="0"/>
        </w:rPr>
        <w:t xml:space="preserve">. This operational data store (ODS) or Master Data Management (MDM) node stores non-operational attributes keyed strictly to the authoritative IDs (`Group_ID`, `Plan_ID`, `Product_ID`) originating from the PAS.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4.1. API &amp; Orchestration Patterns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mask the decoupled nature of the data from front-end consumers (e.g., portals, customer service UIs), the architecture relies on an </w:t>
      </w:r>
      <w:r w:rsidDel="00000000" w:rsidR="00000000" w:rsidRPr="00000000">
        <w:rPr>
          <w:b w:val="1"/>
          <w:bCs w:val="1"/>
          <w:rtl w:val="0"/>
        </w:rPr>
        <w:t xml:space="preserve">API Gateway / Backend-for-Frontend (BFF) Pattern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Federated Aggregation:</w:t>
      </w:r>
      <w:r w:rsidDel="00000000" w:rsidR="00000000" w:rsidRPr="00000000">
        <w:rPr>
          <w:rtl w:val="0"/>
        </w:rPr>
        <w:t xml:space="preserve"> The API layer intercepts requests for "Group Details". It executes a parallel fetch to the PAS API (for core operational data) and the Metadata API (for non-operational attributes).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Payload Merging:</w:t>
      </w:r>
      <w:r w:rsidDel="00000000" w:rsidR="00000000" w:rsidRPr="00000000">
        <w:rPr>
          <w:rtl w:val="0"/>
        </w:rPr>
        <w:t xml:space="preserve"> The API gateway merges the JSON payloads before returning a unified entity to the consumer.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Caching:</w:t>
      </w:r>
      <w:r w:rsidDel="00000000" w:rsidR="00000000" w:rsidRPr="00000000">
        <w:rPr>
          <w:rtl w:val="0"/>
        </w:rPr>
        <w:t xml:space="preserve"> Metadata attributes (like </w:t>
      </w:r>
      <w:r w:rsidDel="00000000" w:rsidR="00000000" w:rsidRPr="00000000">
        <w:rPr>
          <w:i w:val="1"/>
          <w:iCs w:val="1"/>
          <w:rtl w:val="0"/>
        </w:rPr>
        <w:t xml:space="preserve">Data Trust Indicator</w:t>
      </w:r>
      <w:r w:rsidDel="00000000" w:rsidR="00000000" w:rsidRPr="00000000">
        <w:rPr>
          <w:rtl w:val="0"/>
        </w:rPr>
        <w:t xml:space="preserve">) are highly static. The API layer leverages Redis/Memcached to serve these attributes with near-zero latency.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4.2. Accessibility for Document Generation &amp; Legacy Processes (Reverse Feeds)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Certain legacy processes, such as Mainframe batch Document Generation (e.g., generating welcome kits, policy packets), require these non-operational attributes to conditionally print logos or legal text.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Managed File Transfer (MFT) / Batch Sync:</w:t>
      </w:r>
      <w:r w:rsidDel="00000000" w:rsidR="00000000" w:rsidRPr="00000000">
        <w:rPr>
          <w:rtl w:val="0"/>
        </w:rPr>
        <w:t xml:space="preserve"> A nightly automated batch process extracts updates from the Decoupled Metadata Store and drops a flat file (e.g., EBCDIC formatted via integration layer) into the Mainframe environment.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Mainframe Lookup Tables:</w:t>
      </w:r>
      <w:r w:rsidDel="00000000" w:rsidR="00000000" w:rsidRPr="00000000">
        <w:rPr>
          <w:rtl w:val="0"/>
        </w:rPr>
        <w:t xml:space="preserve"> The Mainframe loads this file into an auxiliary DB2 lookup table (or VSAM file) that is distinctly separated from the core PAS tables. The Document Generation batch job performs a simple `LEFT JOIN` to this auxiliary table, preventing any modification to the core policy schema.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4.3. Accessibility within the SaaS PAS (UI Mashups &amp; Callouts)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claims adjusters or underwriters using the SaaS UI need to see the "Data Trust Indicator":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 Mashup / iFrame:</w:t>
      </w:r>
      <w:r w:rsidDel="00000000" w:rsidR="00000000" w:rsidRPr="00000000">
        <w:rPr>
          <w:rtl w:val="0"/>
        </w:rPr>
        <w:t xml:space="preserve"> If the SaaS supports it, embed a lightweight web component within the SaaS UI that fetches the attribute directly from the Metadata API using the context's `Group_ID`.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Webhook / API Callouts:</w:t>
      </w:r>
      <w:r w:rsidDel="00000000" w:rsidR="00000000" w:rsidRPr="00000000">
        <w:rPr>
          <w:rtl w:val="0"/>
        </w:rPr>
        <w:t xml:space="preserve"> Configure the SaaS platform to make a synchronous REST API call to the Enterprise API Gateway during screen load to retrieve and display the auxiliary fields.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4.4. Data Lake &amp; Analytics Integration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Decoupling simplifies analytics significantly: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Independent Ingestion:</w:t>
      </w:r>
      <w:r w:rsidDel="00000000" w:rsidR="00000000" w:rsidRPr="00000000">
        <w:rPr>
          <w:rtl w:val="0"/>
        </w:rPr>
        <w:t xml:space="preserve"> The Data Lake ingests the Metadata Store via standard CDC (e.g., Debezium/Kafka) into a separate Bronze/Landing table.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Silver/Gold Enrichment:</w:t>
      </w:r>
      <w:r w:rsidDel="00000000" w:rsidR="00000000" w:rsidRPr="00000000">
        <w:rPr>
          <w:rtl w:val="0"/>
        </w:rPr>
        <w:t xml:space="preserve"> Within the Data Lake transformation layer (e.g., dbt, Spark), the metadata is joined to the core PAS dimensional tables. Analysts query a unified </w:t>
      </w:r>
      <w:r w:rsidDel="00000000" w:rsidR="00000000" w:rsidRPr="00000000">
        <w:rPr>
          <w:i w:val="1"/>
          <w:iCs w:val="1"/>
          <w:rtl w:val="0"/>
        </w:rPr>
        <w:t xml:space="preserve">Dim_Group</w:t>
      </w:r>
      <w:r w:rsidDel="00000000" w:rsidR="00000000" w:rsidRPr="00000000">
        <w:rPr>
          <w:rtl w:val="0"/>
        </w:rPr>
        <w:t xml:space="preserve"> table without realizing the data originated from two separate transactional systems.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Architectural Comparison Matrix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Architecture Capability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Coupled PAS Modification</w:t>
            </w:r>
          </w:p>
        </w:tc>
        <w:tc>
          <w:tcPr>
            <w:shd w:fill="f0f4f8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Decoupled Metadata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Time-to-Market for New Attributes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Months (governed by Mainframe/SaaS release trains)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Days (Simple API and ODS DDL update)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Mainframe Core Regression Risk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Extreme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Zero (Operates via auxiliary lookup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Consumer Experience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 (One endpoint)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 (Handled via API Gateway Federation)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Gen Integration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Native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Requires Reverse Batch Feed / Auxiliary Table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Implementation Strategy &amp; Next Steps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Provision the Datastore:</w:t>
      </w:r>
      <w:r w:rsidDel="00000000" w:rsidR="00000000" w:rsidRPr="00000000">
        <w:rPr>
          <w:rtl w:val="0"/>
        </w:rPr>
        <w:t xml:space="preserve"> Spin up a managed relational database (e.g., PostgreSQL / AWS RDS) dedicated to Group/Plan/Product Metadata.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Define the Data Contract:</w:t>
      </w:r>
      <w:r w:rsidDel="00000000" w:rsidR="00000000" w:rsidRPr="00000000">
        <w:rPr>
          <w:rtl w:val="0"/>
        </w:rPr>
        <w:t xml:space="preserve"> Establish the OpenAPI (Swagger) specifications for the Metadata CRUD operations.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Implement API Federation:</w:t>
      </w:r>
      <w:r w:rsidDel="00000000" w:rsidR="00000000" w:rsidRPr="00000000">
        <w:rPr>
          <w:rtl w:val="0"/>
        </w:rPr>
        <w:t xml:space="preserve"> Configure the Enterprise API Gateway (e.g., Apigee, Kong, MuleSoft) to aggregate legacy PAS APIs with the new Metadata API.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Establish the Reverse Feed:</w:t>
      </w:r>
      <w:r w:rsidDel="00000000" w:rsidR="00000000" w:rsidRPr="00000000">
        <w:rPr>
          <w:rtl w:val="0"/>
        </w:rPr>
        <w:t xml:space="preserve"> Build the MFT pipeline to push auxiliary data to the Mainframe for Document Generation batch runs.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Point the Data Lake:</w:t>
      </w:r>
      <w:r w:rsidDel="00000000" w:rsidR="00000000" w:rsidRPr="00000000">
        <w:rPr>
          <w:rtl w:val="0"/>
        </w:rPr>
        <w:t xml:space="preserve"> Configure the Data Lake CDC connectors to begin mirroring the new Metadata store to the Bronze layer.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