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B57"/>
          <w:sz w:val="40"/>
          <w:szCs w:val="40"/>
        </w:rPr>
        <w:t xml:space="preserve">ELE</w:t>
      </w: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 PRACTICE ANALYTICS</w:t>
      </w:r>
    </w:p>
    <w:p>
      <w:pPr>
        <w:pBdr>
          <w:bottom w:val="single" w:color="1F3B57" w:sz="12" w:space="6"/>
        </w:pBdr>
        <w:spacing w:after="60"/>
      </w:pPr>
      <w:r>
        <w:rPr>
          <w:rFonts w:ascii="Arial" w:cs="Arial" w:eastAsia="Arial" w:hAnsi="Arial"/>
          <w:b/>
          <w:bCs/>
          <w:color w:val="1F3B57"/>
          <w:spacing w:val="30"/>
          <w:sz w:val="17"/>
          <w:szCs w:val="17"/>
        </w:rPr>
        <w:t xml:space="preserve">EVIDENCE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b/>
          <w:bCs/>
          <w:color w:val="1F3B57"/>
          <w:spacing w:val="30"/>
          <w:sz w:val="17"/>
          <w:szCs w:val="17"/>
        </w:rPr>
        <w:t xml:space="preserve">LEVERAGE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  ·  </w:t>
      </w:r>
      <w:r>
        <w:rPr>
          <w:rFonts w:ascii="Arial" w:cs="Arial" w:eastAsia="Arial" w:hAnsi="Arial"/>
          <w:b/>
          <w:bCs/>
          <w:color w:val="1F3B57"/>
          <w:spacing w:val="30"/>
          <w:sz w:val="17"/>
          <w:szCs w:val="17"/>
        </w:rPr>
        <w:t xml:space="preserve">EXECUTION</w:t>
      </w:r>
      <w:r>
        <w:ptab w:alignment="right" w:relativeTo="margin" w:leader="none"/>
      </w: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Chiropractic Revenue &amp; Compliance Analytics</w:t>
      </w:r>
    </w:p>
    <w:p>
      <w:pPr>
        <w:spacing w:after="36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[Business Mailing Address]  ·  [City], NV [ZIP]</w:t>
      </w:r>
      <w:r>
        <w:ptab w:alignment="right" w:relativeTo="margin" w:leader="none"/>
      </w:r>
      <w:r>
        <w:rPr>
          <w:rFonts w:ascii="Arial" w:cs="Arial" w:eastAsia="Arial" w:hAnsi="Arial"/>
          <w:color w:val="6B7280"/>
          <w:sz w:val="17"/>
          <w:szCs w:val="17"/>
        </w:rPr>
        <w:t xml:space="preserve">[Phone]  ·  eric@eakin.cc  ·  eleconsulting.xyz</w:t>
      </w:r>
    </w:p>
    <w:p>
      <w:pPr>
        <w:spacing w:after="26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[Date]</w:t>
      </w:r>
    </w:p>
    <w:p>
      <w:pPr>
        <w:spacing w:after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Dr. [FirstName] [LastName]</w:t>
      </w:r>
    </w:p>
    <w:p>
      <w:pPr>
        <w:spacing w:after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[Clinic Name]</w:t>
      </w:r>
    </w:p>
    <w:p>
      <w:pPr>
        <w:spacing w:after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[Street Address]</w:t>
      </w:r>
    </w:p>
    <w:p>
      <w:pPr>
        <w:spacing w:after="3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[City], NV [ZIP]</w:t>
      </w:r>
    </w:p>
    <w:p>
      <w:pPr>
        <w:spacing w:after="2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Dear Dr. [LastName],</w:t>
      </w:r>
    </w:p>
    <w:p>
      <w:pPr>
        <w:spacing w:after="2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I'm a Nevada chiropractor, and a few years ago I got tired of watching good practices lose money they'd already earned. So I stopped adjusting full-time and started doing one thing instead: reading the denial and revenue-cycle data behind insurance-billing practices like [Clinic].</w:t>
      </w:r>
    </w:p>
    <w:p>
      <w:pPr>
        <w:spacing w:after="2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Here's what I find almost every time. Practices your size quietly lose 20–30% of billable revenue to denials, slow follow-up, and coding errors that cluster right around the 98940–43 range — and most of it is recoverable. It doesn't come back on its own, though. It comes back when someone actually works the data instead of the claim form.</w:t>
      </w:r>
    </w:p>
    <w:p>
      <w:pPr>
        <w:spacing w:after="2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That's the whole idea behind what I do, and I'd like to show you rather than tell you.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I'll run a free denial review for [Clinic].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You send one standard billing export from the system you already use — no platform switch, no rip-and-replace — and I send back a plain-language report: where the revenue is leaking, why, and a ranked, dollar-weighted list your front desk can start acting on that week. A BAA is signed before anything moves, and I work off the export, not your live system.</w:t>
      </w:r>
    </w:p>
    <w:p>
      <w:pPr>
        <w:spacing w:after="2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obligation, and nothing to buy at the end unless the numbers make the case for themselves. Worst case, you get a free, honest read on your billing from someone who speaks both chiropractic and claims data.</w:t>
      </w:r>
    </w:p>
    <w:p>
      <w:pPr>
        <w:spacing w:after="3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you're open to it, the easiest way to start is a two-minute call or a quick email — my details are at the top of this page, and everything's laid out at eleconsulting.xyz. One DC to another, I think you'll be surprised what's sitting in your denied claims.</w:t>
      </w:r>
    </w:p>
    <w:p>
      <w:pPr>
        <w:spacing w:after="52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Warm regards,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[Your Name], DC</w:t>
      </w:r>
    </w:p>
    <w:p>
      <w:pPr>
        <w:spacing w:after="20"/>
      </w:pPr>
      <w:r>
        <w:rPr>
          <w:rFonts w:ascii="Arial" w:cs="Arial" w:eastAsia="Arial" w:hAnsi="Arial"/>
          <w:color w:val="1F3B57"/>
          <w:sz w:val="21"/>
          <w:szCs w:val="21"/>
        </w:rPr>
        <w:t xml:space="preserve">ELE Practice Analytics</w:t>
      </w:r>
    </w:p>
    <w:p>
      <w:r>
        <w:rPr>
          <w:rFonts w:ascii="Arial" w:cs="Arial" w:eastAsia="Arial" w:hAnsi="Arial"/>
          <w:color w:val="6B7280"/>
          <w:sz w:val="19"/>
          <w:szCs w:val="19"/>
        </w:rPr>
        <w:t xml:space="preserve">[Phone]  ·  eleconsulting.xyz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Introductory Letter</dc:title>
  <dc:creator>ELE Practice Analytics</dc:creator>
  <cp:lastModifiedBy>Un-named</cp:lastModifiedBy>
  <cp:revision>1</cp:revision>
  <dcterms:created xsi:type="dcterms:W3CDTF">2026-07-20T16:38:53.256Z</dcterms:created>
  <dcterms:modified xsi:type="dcterms:W3CDTF">2026-07-20T16:38:53.257Z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