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Macaque Face Re-Identification — Augmentation and Averaging</w:t>
      </w:r>
    </w:p>
    <w:p>
      <w:pPr>
        <w:spacing w:after="200"/>
      </w:pPr>
      <w:r>
        <w:rPr>
          <w:i/>
        </w:rPr>
        <w:t>Augmentation and rotation averaging · 28 October 2026</w:t>
      </w:r>
    </w:p>
    <w:p>
      <w:pPr>
        <w:pStyle w:val="Heading1"/>
        <w:keepNext/>
      </w:pPr>
      <w:r>
        <w:t>What I did (summary)</w:t>
      </w:r>
    </w:p>
    <w:p>
      <w:pPr>
        <w:pStyle w:val="ListBullet"/>
        <w:spacing w:after="80"/>
      </w:pPr>
      <w:r>
        <w:rPr>
          <w:b/>
        </w:rPr>
        <w:t xml:space="preserve">Completed experiments. </w:t>
      </w:r>
      <w:r>
        <w:t>Trained three augmentation policies for 30 epochs each on the current 149-identity dataset, then compared ordinary inference with seven-angle mean and max pooling.</w:t>
      </w:r>
    </w:p>
    <w:p>
      <w:pPr>
        <w:pStyle w:val="ListBullet"/>
        <w:spacing w:after="80"/>
      </w:pPr>
      <w:r>
        <w:rPr>
          <w:b/>
        </w:rPr>
        <w:t xml:space="preserve">Averaging run completed. </w:t>
      </w:r>
      <w:r>
        <w:t>Job 39152253 finished successfully. Its separate results section compares single-image prediction, seven-angle averaging and max pooling for the same checkpoint.</w:t>
      </w:r>
    </w:p>
    <w:p>
      <w:pPr>
        <w:pStyle w:val="ListBullet"/>
        <w:spacing w:after="80"/>
      </w:pPr>
      <w:r>
        <w:rPr>
          <w:b/>
        </w:rPr>
        <w:t xml:space="preserve">Best measured result. </w:t>
      </w:r>
      <w:r>
        <w:t>The ±30° policy with probability averaging reached test Top-1 84.51% and macro-F1 0.8284. The previous baseline scored 82.51% and 0.8027.</w:t>
      </w:r>
    </w:p>
    <w:p>
      <w:pPr>
        <w:pStyle w:val="ListBullet"/>
        <w:spacing w:after="80"/>
      </w:pPr>
      <w:r>
        <w:rPr>
          <w:b/>
        </w:rPr>
        <w:t xml:space="preserve">Fair comparison. </w:t>
      </w:r>
      <w:r>
        <w:t>All test comparisons cover the same 1,498 image/identity pairs. Model/pooling selection used validation results before the test comparison.</w:t>
      </w:r>
    </w:p>
    <w:p>
      <w:pPr>
        <w:pStyle w:val="ListBullet"/>
        <w:spacing w:after="80"/>
      </w:pPr>
      <w:r>
        <w:rPr>
          <w:b/>
        </w:rPr>
        <w:t xml:space="preserve">Main finding. </w:t>
      </w:r>
      <w:r>
        <w:t>Moderate additional augmentation helped in this experiment. The ±100° policy was weaker and the ±150° policy struggled to fit the strongly transformed data. There was one training fit per policy.</w:t>
      </w:r>
    </w:p>
    <w:p>
      <w:pPr>
        <w:pStyle w:val="Heading1"/>
        <w:keepNext/>
      </w:pPr>
      <w:r>
        <w:t>1. Headline results on the current test set</w:t>
      </w:r>
    </w:p>
    <w:tbl>
      <w:tblPr>
        <w:tblStyle w:val="LightGrid-Accent1"/>
        <w:tblW w:type="auto" w:w="0"/>
        <w:jc w:val="center"/>
        <w:tblLayout w:type="fixed"/>
        <w:tblLook w:firstColumn="1" w:firstRow="1" w:lastColumn="0" w:lastRow="0" w:noHBand="0" w:noVBand="1" w:val="04A0"/>
      </w:tblPr>
      <w:tblGrid>
        <w:gridCol w:w="2160"/>
        <w:gridCol w:w="2160"/>
        <w:gridCol w:w="2160"/>
        <w:gridCol w:w="2160"/>
      </w:tblGrid>
      <w:tr>
        <w:trPr>
          <w:cantSplit/>
          <w:tblHeader/>
        </w:trPr>
        <w:tc>
          <w:tcPr>
            <w:tcW w:type="dxa" w:w="2160"/>
          </w:tcPr>
          <w:p>
            <w:pPr>
              <w:spacing w:after="0" w:before="0" w:line="240" w:lineRule="auto"/>
            </w:pPr>
            <w:r>
              <w:rPr>
                <w:b/>
                <w:sz w:val="18"/>
              </w:rPr>
              <w:t>Metric</w:t>
            </w:r>
          </w:p>
        </w:tc>
        <w:tc>
          <w:tcPr>
            <w:tcW w:type="dxa" w:w="2160"/>
          </w:tcPr>
          <w:p>
            <w:pPr>
              <w:spacing w:after="0" w:before="0" w:line="240" w:lineRule="auto"/>
            </w:pPr>
            <w:r>
              <w:rPr>
                <w:b/>
                <w:sz w:val="18"/>
              </w:rPr>
              <w:t>Original baseline:</w:t>
              <w:br/>
              <w:t>single image</w:t>
            </w:r>
          </w:p>
        </w:tc>
        <w:tc>
          <w:tcPr>
            <w:tcW w:type="dxa" w:w="2160"/>
          </w:tcPr>
          <w:p>
            <w:pPr>
              <w:spacing w:after="0" w:before="0" w:line="240" w:lineRule="auto"/>
            </w:pPr>
            <w:r>
              <w:rPr>
                <w:b/>
                <w:sz w:val="18"/>
              </w:rPr>
              <w:t>±30° policy:</w:t>
              <w:br/>
              <w:t>single image</w:t>
            </w:r>
          </w:p>
        </w:tc>
        <w:tc>
          <w:tcPr>
            <w:tcW w:type="dxa" w:w="2160"/>
          </w:tcPr>
          <w:p>
            <w:pPr>
              <w:spacing w:after="0" w:before="0" w:line="240" w:lineRule="auto"/>
            </w:pPr>
            <w:r>
              <w:rPr>
                <w:b/>
                <w:sz w:val="18"/>
              </w:rPr>
              <w:t>±30° policy:</w:t>
              <w:br/>
              <w:t>seven-angle mean</w:t>
            </w:r>
          </w:p>
        </w:tc>
      </w:tr>
      <w:tr>
        <w:trPr>
          <w:cantSplit/>
        </w:trPr>
        <w:tc>
          <w:tcPr>
            <w:tcW w:type="dxa" w:w="2160"/>
          </w:tcPr>
          <w:p>
            <w:pPr>
              <w:spacing w:after="0" w:before="0" w:line="240" w:lineRule="auto"/>
            </w:pPr>
            <w:r>
              <w:rPr>
                <w:sz w:val="18"/>
              </w:rPr>
              <w:t>Top-1 accuracy</w:t>
            </w:r>
          </w:p>
        </w:tc>
        <w:tc>
          <w:tcPr>
            <w:tcW w:type="dxa" w:w="2160"/>
          </w:tcPr>
          <w:p>
            <w:pPr>
              <w:spacing w:after="0" w:before="0" w:line="240" w:lineRule="auto"/>
            </w:pPr>
            <w:r>
              <w:rPr>
                <w:sz w:val="18"/>
              </w:rPr>
              <w:t>82.51%</w:t>
            </w:r>
          </w:p>
        </w:tc>
        <w:tc>
          <w:tcPr>
            <w:tcW w:type="dxa" w:w="2160"/>
          </w:tcPr>
          <w:p>
            <w:pPr>
              <w:spacing w:after="0" w:before="0" w:line="240" w:lineRule="auto"/>
            </w:pPr>
            <w:r>
              <w:rPr>
                <w:sz w:val="18"/>
              </w:rPr>
              <w:t>83.51%</w:t>
            </w:r>
          </w:p>
        </w:tc>
        <w:tc>
          <w:tcPr>
            <w:tcW w:type="dxa" w:w="2160"/>
          </w:tcPr>
          <w:p>
            <w:pPr>
              <w:spacing w:after="0" w:before="0" w:line="240" w:lineRule="auto"/>
            </w:pPr>
            <w:r>
              <w:rPr>
                <w:sz w:val="18"/>
              </w:rPr>
              <w:t>84.51%</w:t>
            </w:r>
          </w:p>
        </w:tc>
      </w:tr>
      <w:tr>
        <w:trPr>
          <w:cantSplit/>
        </w:trPr>
        <w:tc>
          <w:tcPr>
            <w:tcW w:type="dxa" w:w="2160"/>
          </w:tcPr>
          <w:p>
            <w:pPr>
              <w:spacing w:after="0" w:before="0" w:line="240" w:lineRule="auto"/>
            </w:pPr>
            <w:r>
              <w:rPr>
                <w:sz w:val="18"/>
              </w:rPr>
              <w:t>Top-3 accuracy</w:t>
            </w:r>
          </w:p>
        </w:tc>
        <w:tc>
          <w:tcPr>
            <w:tcW w:type="dxa" w:w="2160"/>
          </w:tcPr>
          <w:p>
            <w:pPr>
              <w:spacing w:after="0" w:before="0" w:line="240" w:lineRule="auto"/>
            </w:pPr>
            <w:r>
              <w:rPr>
                <w:sz w:val="18"/>
              </w:rPr>
              <w:t>88.65%</w:t>
            </w:r>
          </w:p>
        </w:tc>
        <w:tc>
          <w:tcPr>
            <w:tcW w:type="dxa" w:w="2160"/>
          </w:tcPr>
          <w:p>
            <w:pPr>
              <w:spacing w:after="0" w:before="0" w:line="240" w:lineRule="auto"/>
            </w:pPr>
            <w:r>
              <w:rPr>
                <w:sz w:val="18"/>
              </w:rPr>
              <w:t>88.45%</w:t>
            </w:r>
          </w:p>
        </w:tc>
        <w:tc>
          <w:tcPr>
            <w:tcW w:type="dxa" w:w="2160"/>
          </w:tcPr>
          <w:p>
            <w:pPr>
              <w:spacing w:after="0" w:before="0" w:line="240" w:lineRule="auto"/>
            </w:pPr>
            <w:r>
              <w:rPr>
                <w:sz w:val="18"/>
              </w:rPr>
              <w:t>89.65%</w:t>
            </w:r>
          </w:p>
        </w:tc>
      </w:tr>
      <w:tr>
        <w:trPr>
          <w:cantSplit/>
        </w:trPr>
        <w:tc>
          <w:tcPr>
            <w:tcW w:type="dxa" w:w="2160"/>
          </w:tcPr>
          <w:p>
            <w:pPr>
              <w:spacing w:after="0" w:before="0" w:line="240" w:lineRule="auto"/>
            </w:pPr>
            <w:r>
              <w:rPr>
                <w:sz w:val="18"/>
              </w:rPr>
              <w:t>Top-5 accuracy</w:t>
            </w:r>
          </w:p>
        </w:tc>
        <w:tc>
          <w:tcPr>
            <w:tcW w:type="dxa" w:w="2160"/>
          </w:tcPr>
          <w:p>
            <w:pPr>
              <w:spacing w:after="0" w:before="0" w:line="240" w:lineRule="auto"/>
            </w:pPr>
            <w:r>
              <w:rPr>
                <w:sz w:val="18"/>
              </w:rPr>
              <w:t>89.85%</w:t>
            </w:r>
          </w:p>
        </w:tc>
        <w:tc>
          <w:tcPr>
            <w:tcW w:type="dxa" w:w="2160"/>
          </w:tcPr>
          <w:p>
            <w:pPr>
              <w:spacing w:after="0" w:before="0" w:line="240" w:lineRule="auto"/>
            </w:pPr>
            <w:r>
              <w:rPr>
                <w:sz w:val="18"/>
              </w:rPr>
              <w:t>89.99%</w:t>
            </w:r>
          </w:p>
        </w:tc>
        <w:tc>
          <w:tcPr>
            <w:tcW w:type="dxa" w:w="2160"/>
          </w:tcPr>
          <w:p>
            <w:pPr>
              <w:spacing w:after="0" w:before="0" w:line="240" w:lineRule="auto"/>
            </w:pPr>
            <w:r>
              <w:rPr>
                <w:sz w:val="18"/>
              </w:rPr>
              <w:t>90.72%</w:t>
            </w:r>
          </w:p>
        </w:tc>
      </w:tr>
      <w:tr>
        <w:trPr>
          <w:cantSplit/>
        </w:trPr>
        <w:tc>
          <w:tcPr>
            <w:tcW w:type="dxa" w:w="2160"/>
          </w:tcPr>
          <w:p>
            <w:pPr>
              <w:spacing w:after="0" w:before="0" w:line="240" w:lineRule="auto"/>
            </w:pPr>
            <w:r>
              <w:rPr>
                <w:sz w:val="18"/>
              </w:rPr>
              <w:t>Macro-F1</w:t>
            </w:r>
          </w:p>
        </w:tc>
        <w:tc>
          <w:tcPr>
            <w:tcW w:type="dxa" w:w="2160"/>
          </w:tcPr>
          <w:p>
            <w:pPr>
              <w:spacing w:after="0" w:before="0" w:line="240" w:lineRule="auto"/>
            </w:pPr>
            <w:r>
              <w:rPr>
                <w:sz w:val="18"/>
              </w:rPr>
              <w:t>0.8027</w:t>
            </w:r>
          </w:p>
        </w:tc>
        <w:tc>
          <w:tcPr>
            <w:tcW w:type="dxa" w:w="2160"/>
          </w:tcPr>
          <w:p>
            <w:pPr>
              <w:spacing w:after="0" w:before="0" w:line="240" w:lineRule="auto"/>
            </w:pPr>
            <w:r>
              <w:rPr>
                <w:sz w:val="18"/>
              </w:rPr>
              <w:t>0.8189</w:t>
            </w:r>
          </w:p>
        </w:tc>
        <w:tc>
          <w:tcPr>
            <w:tcW w:type="dxa" w:w="2160"/>
          </w:tcPr>
          <w:p>
            <w:pPr>
              <w:spacing w:after="0" w:before="0" w:line="240" w:lineRule="auto"/>
            </w:pPr>
            <w:r>
              <w:rPr>
                <w:sz w:val="18"/>
              </w:rPr>
              <w:t>0.8284</w:t>
            </w:r>
          </w:p>
        </w:tc>
      </w:tr>
      <w:tr>
        <w:trPr>
          <w:cantSplit/>
        </w:trPr>
        <w:tc>
          <w:tcPr>
            <w:tcW w:type="dxa" w:w="2160"/>
          </w:tcPr>
          <w:p>
            <w:pPr>
              <w:spacing w:after="0" w:before="0" w:line="240" w:lineRule="auto"/>
            </w:pPr>
            <w:r>
              <w:rPr>
                <w:sz w:val="18"/>
              </w:rPr>
              <w:t>Weighted F1</w:t>
            </w:r>
          </w:p>
        </w:tc>
        <w:tc>
          <w:tcPr>
            <w:tcW w:type="dxa" w:w="2160"/>
          </w:tcPr>
          <w:p>
            <w:pPr>
              <w:spacing w:after="0" w:before="0" w:line="240" w:lineRule="auto"/>
            </w:pPr>
            <w:r>
              <w:rPr>
                <w:sz w:val="18"/>
              </w:rPr>
              <w:t>0.8239</w:t>
            </w:r>
          </w:p>
        </w:tc>
        <w:tc>
          <w:tcPr>
            <w:tcW w:type="dxa" w:w="2160"/>
          </w:tcPr>
          <w:p>
            <w:pPr>
              <w:spacing w:after="0" w:before="0" w:line="240" w:lineRule="auto"/>
            </w:pPr>
            <w:r>
              <w:rPr>
                <w:sz w:val="18"/>
              </w:rPr>
              <w:t>0.8349</w:t>
            </w:r>
          </w:p>
        </w:tc>
        <w:tc>
          <w:tcPr>
            <w:tcW w:type="dxa" w:w="2160"/>
          </w:tcPr>
          <w:p>
            <w:pPr>
              <w:spacing w:after="0" w:before="0" w:line="240" w:lineRule="auto"/>
            </w:pPr>
            <w:r>
              <w:rPr>
                <w:sz w:val="18"/>
              </w:rPr>
              <w:t>0.8444</w:t>
            </w:r>
          </w:p>
        </w:tc>
      </w:tr>
    </w:tbl>
    <w:p>
      <w:pPr>
        <w:spacing w:after="0" w:before="0"/>
      </w:pPr>
    </w:p>
    <w:p>
      <w:pPr>
        <w:widowControl/>
        <w:spacing w:after="120"/>
      </w:pPr>
      <w:r>
        <w:t>Original baseline is the previous model (affine ±15° plus RandAugment). The ±30° policy is the new model; seven-angle mean reuses its checkpoint and averages probabilities from seven rotated test views. Top-1 gains are +1.00 point from the training policy, then +1.00 from averaging: +2.00 combined, or 30 more correct images. The policy also changes scale, noise and blur.</w:t>
      </w:r>
    </w:p>
    <w:p>
      <w:pPr>
        <w:widowControl/>
        <w:spacing w:after="120"/>
      </w:pPr>
      <w:r>
        <w:t>These are measured results from individual fits. They do not establish repeated-seed reliability or statistical significance. The historical 156-label reports use an earlier label taxonomy; the comparison here uses 149 canonical identities throughout.</w:t>
      </w:r>
    </w:p>
    <w:p>
      <w:r>
        <w:br w:type="page"/>
      </w:r>
    </w:p>
    <w:p>
      <w:pPr>
        <w:pStyle w:val="Heading1"/>
        <w:keepNext/>
      </w:pPr>
      <w:r>
        <w:t>2. What changed from the baseline?</w:t>
      </w:r>
    </w:p>
    <w:p>
      <w:pPr>
        <w:widowControl/>
        <w:spacing w:after="120"/>
      </w:pPr>
      <w:r>
        <w:t>The previous strong profile explicitly used RandomAffine(degrees=15), sampling −15° to +15°. Restricted RandAugment then selected two operations at magnitude 5. In torchvision 0.17.2, a selected Rotate operation adds +5° or −5° and operations can repeat, so the total baseline rotation could exceed ±15°.</w:t>
      </w:r>
    </w:p>
    <w:p>
      <w:pPr>
        <w:widowControl/>
        <w:spacing w:after="120"/>
      </w:pPr>
      <w:r>
        <w:t>The new policies each use one affine transformation and omit RandAugment. Their angle labels describe ranges, not fixed angles. They also change zoom, translation, noise, blur and erasing, so this is a comparison of whole policies rather than rotation alone.</w:t>
      </w:r>
    </w:p>
    <w:p>
      <w:pPr>
        <w:pStyle w:val="Heading2"/>
        <w:keepNext/>
      </w:pPr>
      <w:r>
        <w:t>Geometry</w:t>
      </w:r>
    </w:p>
    <w:tbl>
      <w:tblPr>
        <w:tblStyle w:val="LightGrid-Accent1"/>
        <w:tblW w:type="auto" w:w="0"/>
        <w:jc w:val="center"/>
        <w:tblLayout w:type="fixed"/>
        <w:tblLook w:firstColumn="1" w:firstRow="1" w:lastColumn="0" w:lastRow="0" w:noHBand="0" w:noVBand="1" w:val="04A0"/>
      </w:tblPr>
      <w:tblGrid>
        <w:gridCol w:w="1224"/>
        <w:gridCol w:w="3240"/>
        <w:gridCol w:w="1944"/>
        <w:gridCol w:w="2232"/>
      </w:tblGrid>
      <w:tr>
        <w:trPr>
          <w:cantSplit/>
          <w:tblHeader/>
        </w:trPr>
        <w:tc>
          <w:tcPr>
            <w:tcW w:type="dxa" w:w="1224"/>
            <w:vAlign w:val="center"/>
          </w:tcPr>
          <w:p>
            <w:pPr>
              <w:spacing w:before="40" w:after="40" w:line="240" w:lineRule="auto"/>
            </w:pPr>
            <w:r>
              <w:rPr>
                <w:b/>
                <w:sz w:val="18"/>
              </w:rPr>
              <w:t>Policy</w:t>
            </w:r>
          </w:p>
        </w:tc>
        <w:tc>
          <w:tcPr>
            <w:tcW w:type="dxa" w:w="3240"/>
            <w:vAlign w:val="center"/>
          </w:tcPr>
          <w:p>
            <w:pPr>
              <w:spacing w:before="40" w:after="40" w:line="240" w:lineRule="auto"/>
            </w:pPr>
            <w:r>
              <w:rPr>
                <w:b/>
                <w:sz w:val="18"/>
              </w:rPr>
              <w:t>Affine rotation</w:t>
            </w:r>
          </w:p>
        </w:tc>
        <w:tc>
          <w:tcPr>
            <w:tcW w:type="dxa" w:w="1944"/>
            <w:vAlign w:val="center"/>
          </w:tcPr>
          <w:p>
            <w:pPr>
              <w:spacing w:before="40" w:after="40" w:line="240" w:lineRule="auto"/>
            </w:pPr>
            <w:r>
              <w:rPr>
                <w:b/>
                <w:sz w:val="18"/>
              </w:rPr>
              <w:t>Scale</w:t>
            </w:r>
          </w:p>
        </w:tc>
        <w:tc>
          <w:tcPr>
            <w:tcW w:type="dxa" w:w="2232"/>
            <w:vAlign w:val="center"/>
          </w:tcPr>
          <w:p>
            <w:pPr>
              <w:spacing w:before="40" w:after="40" w:line="240" w:lineRule="auto"/>
            </w:pPr>
            <w:r>
              <w:rPr>
                <w:b/>
                <w:sz w:val="18"/>
              </w:rPr>
              <w:t>Translation</w:t>
            </w:r>
          </w:p>
        </w:tc>
      </w:tr>
      <w:tr>
        <w:trPr>
          <w:cantSplit/>
        </w:trPr>
        <w:tc>
          <w:tcPr>
            <w:tcW w:type="dxa" w:w="1224"/>
            <w:vAlign w:val="center"/>
          </w:tcPr>
          <w:p>
            <w:pPr>
              <w:spacing w:before="40" w:after="40" w:line="240" w:lineRule="auto"/>
            </w:pPr>
            <w:r>
              <w:rPr>
                <w:b w:val="0"/>
                <w:sz w:val="18"/>
              </w:rPr>
              <w:t>Baseline</w:t>
            </w:r>
          </w:p>
        </w:tc>
        <w:tc>
          <w:tcPr>
            <w:tcW w:type="dxa" w:w="3240"/>
            <w:vAlign w:val="center"/>
          </w:tcPr>
          <w:p>
            <w:pPr>
              <w:spacing w:before="40" w:after="40" w:line="240" w:lineRule="auto"/>
            </w:pPr>
            <w:r>
              <w:rPr>
                <w:b w:val="0"/>
                <w:sz w:val="18"/>
              </w:rPr>
              <w:t>±15° + possible RA rotation</w:t>
            </w:r>
          </w:p>
        </w:tc>
        <w:tc>
          <w:tcPr>
            <w:tcW w:type="dxa" w:w="1944"/>
            <w:vAlign w:val="center"/>
          </w:tcPr>
          <w:p>
            <w:pPr>
              <w:spacing w:before="40" w:after="40" w:line="240" w:lineRule="auto"/>
            </w:pPr>
            <w:r>
              <w:rPr>
                <w:b w:val="0"/>
                <w:sz w:val="18"/>
              </w:rPr>
              <w:t>0.90–1.10</w:t>
            </w:r>
          </w:p>
        </w:tc>
        <w:tc>
          <w:tcPr>
            <w:tcW w:type="dxa" w:w="2232"/>
            <w:vAlign w:val="center"/>
          </w:tcPr>
          <w:p>
            <w:pPr>
              <w:spacing w:before="40" w:after="40" w:line="240" w:lineRule="auto"/>
            </w:pPr>
            <w:r>
              <w:rPr>
                <w:b w:val="0"/>
                <w:sz w:val="18"/>
              </w:rPr>
              <w:t>±8%</w:t>
            </w:r>
          </w:p>
        </w:tc>
      </w:tr>
      <w:tr>
        <w:trPr>
          <w:cantSplit/>
        </w:trPr>
        <w:tc>
          <w:tcPr>
            <w:tcW w:type="dxa" w:w="1224"/>
            <w:vAlign w:val="center"/>
          </w:tcPr>
          <w:p>
            <w:pPr>
              <w:spacing w:before="40" w:after="40" w:line="240" w:lineRule="auto"/>
            </w:pPr>
            <w:r>
              <w:rPr>
                <w:b w:val="0"/>
                <w:sz w:val="18"/>
              </w:rPr>
              <w:t>±30°</w:t>
            </w:r>
          </w:p>
        </w:tc>
        <w:tc>
          <w:tcPr>
            <w:tcW w:type="dxa" w:w="3240"/>
            <w:vAlign w:val="center"/>
          </w:tcPr>
          <w:p>
            <w:pPr>
              <w:spacing w:before="40" w:after="40" w:line="240" w:lineRule="auto"/>
            </w:pPr>
            <w:r>
              <w:rPr>
                <w:b w:val="0"/>
                <w:sz w:val="18"/>
              </w:rPr>
              <w:t>−30° to +30°</w:t>
            </w:r>
          </w:p>
        </w:tc>
        <w:tc>
          <w:tcPr>
            <w:tcW w:type="dxa" w:w="1944"/>
            <w:vAlign w:val="center"/>
          </w:tcPr>
          <w:p>
            <w:pPr>
              <w:spacing w:before="40" w:after="40" w:line="240" w:lineRule="auto"/>
            </w:pPr>
            <w:r>
              <w:rPr>
                <w:b w:val="0"/>
                <w:sz w:val="18"/>
              </w:rPr>
              <w:t>0.80–1.25</w:t>
            </w:r>
          </w:p>
        </w:tc>
        <w:tc>
          <w:tcPr>
            <w:tcW w:type="dxa" w:w="2232"/>
            <w:vAlign w:val="center"/>
          </w:tcPr>
          <w:p>
            <w:pPr>
              <w:spacing w:before="40" w:after="40" w:line="240" w:lineRule="auto"/>
            </w:pPr>
            <w:r>
              <w:rPr>
                <w:b w:val="0"/>
                <w:sz w:val="18"/>
              </w:rPr>
              <w:t>±10%</w:t>
            </w:r>
          </w:p>
        </w:tc>
      </w:tr>
      <w:tr>
        <w:trPr>
          <w:cantSplit/>
        </w:trPr>
        <w:tc>
          <w:tcPr>
            <w:tcW w:type="dxa" w:w="1224"/>
            <w:vAlign w:val="center"/>
          </w:tcPr>
          <w:p>
            <w:pPr>
              <w:spacing w:before="40" w:after="40" w:line="240" w:lineRule="auto"/>
            </w:pPr>
            <w:r>
              <w:rPr>
                <w:b w:val="0"/>
                <w:sz w:val="18"/>
              </w:rPr>
              <w:t>±100°</w:t>
            </w:r>
          </w:p>
        </w:tc>
        <w:tc>
          <w:tcPr>
            <w:tcW w:type="dxa" w:w="3240"/>
            <w:vAlign w:val="center"/>
          </w:tcPr>
          <w:p>
            <w:pPr>
              <w:spacing w:before="40" w:after="40" w:line="240" w:lineRule="auto"/>
            </w:pPr>
            <w:r>
              <w:rPr>
                <w:b w:val="0"/>
                <w:sz w:val="18"/>
              </w:rPr>
              <w:t>−100° to +100°</w:t>
            </w:r>
          </w:p>
        </w:tc>
        <w:tc>
          <w:tcPr>
            <w:tcW w:type="dxa" w:w="1944"/>
            <w:vAlign w:val="center"/>
          </w:tcPr>
          <w:p>
            <w:pPr>
              <w:spacing w:before="40" w:after="40" w:line="240" w:lineRule="auto"/>
            </w:pPr>
            <w:r>
              <w:rPr>
                <w:b w:val="0"/>
                <w:sz w:val="18"/>
              </w:rPr>
              <w:t>0.70–1.35</w:t>
            </w:r>
          </w:p>
        </w:tc>
        <w:tc>
          <w:tcPr>
            <w:tcW w:type="dxa" w:w="2232"/>
            <w:vAlign w:val="center"/>
          </w:tcPr>
          <w:p>
            <w:pPr>
              <w:spacing w:before="40" w:after="40" w:line="240" w:lineRule="auto"/>
            </w:pPr>
            <w:r>
              <w:rPr>
                <w:b w:val="0"/>
                <w:sz w:val="18"/>
              </w:rPr>
              <w:t>±12%</w:t>
            </w:r>
          </w:p>
        </w:tc>
      </w:tr>
      <w:tr>
        <w:trPr>
          <w:cantSplit/>
        </w:trPr>
        <w:tc>
          <w:tcPr>
            <w:tcW w:type="dxa" w:w="1224"/>
            <w:vAlign w:val="center"/>
          </w:tcPr>
          <w:p>
            <w:pPr>
              <w:spacing w:before="40" w:after="40" w:line="240" w:lineRule="auto"/>
            </w:pPr>
            <w:r>
              <w:rPr>
                <w:b w:val="0"/>
                <w:sz w:val="18"/>
              </w:rPr>
              <w:t>±150°</w:t>
            </w:r>
          </w:p>
        </w:tc>
        <w:tc>
          <w:tcPr>
            <w:tcW w:type="dxa" w:w="3240"/>
            <w:vAlign w:val="center"/>
          </w:tcPr>
          <w:p>
            <w:pPr>
              <w:spacing w:before="40" w:after="40" w:line="240" w:lineRule="auto"/>
            </w:pPr>
            <w:r>
              <w:rPr>
                <w:b w:val="0"/>
                <w:sz w:val="18"/>
              </w:rPr>
              <w:t>−150° to +150°</w:t>
            </w:r>
          </w:p>
        </w:tc>
        <w:tc>
          <w:tcPr>
            <w:tcW w:type="dxa" w:w="1944"/>
            <w:vAlign w:val="center"/>
          </w:tcPr>
          <w:p>
            <w:pPr>
              <w:spacing w:before="40" w:after="40" w:line="240" w:lineRule="auto"/>
            </w:pPr>
            <w:r>
              <w:rPr>
                <w:b w:val="0"/>
                <w:sz w:val="18"/>
              </w:rPr>
              <w:t>0.60–1.50</w:t>
            </w:r>
          </w:p>
        </w:tc>
        <w:tc>
          <w:tcPr>
            <w:tcW w:type="dxa" w:w="2232"/>
            <w:vAlign w:val="center"/>
          </w:tcPr>
          <w:p>
            <w:pPr>
              <w:spacing w:before="40" w:after="40" w:line="240" w:lineRule="auto"/>
            </w:pPr>
            <w:r>
              <w:rPr>
                <w:b w:val="0"/>
                <w:sz w:val="18"/>
              </w:rPr>
              <w:t>±15%</w:t>
            </w:r>
          </w:p>
        </w:tc>
      </w:tr>
    </w:tbl>
    <w:p>
      <w:pPr>
        <w:spacing w:after="0" w:before="0"/>
      </w:pPr>
    </w:p>
    <w:p>
      <w:pPr>
        <w:pStyle w:val="Heading2"/>
        <w:keepNext/>
      </w:pPr>
      <w:r>
        <w:t>Noise, blur and occlusion</w:t>
      </w:r>
    </w:p>
    <w:tbl>
      <w:tblPr>
        <w:tblStyle w:val="LightGrid-Accent1"/>
        <w:tblW w:type="auto" w:w="0"/>
        <w:jc w:val="center"/>
        <w:tblLayout w:type="fixed"/>
        <w:tblLook w:firstColumn="1" w:firstRow="1" w:lastColumn="0" w:lastRow="0" w:noHBand="0" w:noVBand="1" w:val="04A0"/>
      </w:tblPr>
      <w:tblGrid>
        <w:gridCol w:w="1224"/>
        <w:gridCol w:w="2376"/>
        <w:gridCol w:w="2592"/>
        <w:gridCol w:w="2448"/>
      </w:tblGrid>
      <w:tr>
        <w:trPr>
          <w:cantSplit/>
          <w:tblHeader/>
        </w:trPr>
        <w:tc>
          <w:tcPr>
            <w:tcW w:type="dxa" w:w="1224"/>
            <w:vAlign w:val="center"/>
          </w:tcPr>
          <w:p>
            <w:pPr>
              <w:spacing w:before="40" w:after="40" w:line="240" w:lineRule="auto"/>
            </w:pPr>
            <w:r>
              <w:rPr>
                <w:b/>
                <w:sz w:val="18"/>
              </w:rPr>
              <w:t>Policy</w:t>
            </w:r>
          </w:p>
        </w:tc>
        <w:tc>
          <w:tcPr>
            <w:tcW w:type="dxa" w:w="2376"/>
            <w:vAlign w:val="center"/>
          </w:tcPr>
          <w:p>
            <w:pPr>
              <w:spacing w:before="40" w:after="40" w:line="240" w:lineRule="auto"/>
            </w:pPr>
            <w:r>
              <w:rPr>
                <w:b/>
                <w:sz w:val="18"/>
              </w:rPr>
              <w:t>Noise: σ / probability</w:t>
            </w:r>
          </w:p>
        </w:tc>
        <w:tc>
          <w:tcPr>
            <w:tcW w:type="dxa" w:w="2592"/>
            <w:vAlign w:val="center"/>
          </w:tcPr>
          <w:p>
            <w:pPr>
              <w:spacing w:before="40" w:after="40" w:line="240" w:lineRule="auto"/>
            </w:pPr>
            <w:r>
              <w:rPr>
                <w:b/>
                <w:sz w:val="18"/>
              </w:rPr>
              <w:t>Blur: σ / probability</w:t>
            </w:r>
          </w:p>
        </w:tc>
        <w:tc>
          <w:tcPr>
            <w:tcW w:type="dxa" w:w="2448"/>
            <w:vAlign w:val="center"/>
          </w:tcPr>
          <w:p>
            <w:pPr>
              <w:spacing w:before="40" w:after="40" w:line="240" w:lineRule="auto"/>
            </w:pPr>
            <w:r>
              <w:rPr>
                <w:b/>
                <w:sz w:val="18"/>
              </w:rPr>
              <w:t>Erasing: probability / area</w:t>
            </w:r>
          </w:p>
        </w:tc>
      </w:tr>
      <w:tr>
        <w:trPr>
          <w:cantSplit/>
        </w:trPr>
        <w:tc>
          <w:tcPr>
            <w:tcW w:type="dxa" w:w="1224"/>
            <w:vAlign w:val="center"/>
          </w:tcPr>
          <w:p>
            <w:pPr>
              <w:spacing w:before="40" w:after="40" w:line="240" w:lineRule="auto"/>
            </w:pPr>
            <w:r>
              <w:rPr>
                <w:b w:val="0"/>
                <w:sz w:val="18"/>
              </w:rPr>
              <w:t>Baseline</w:t>
            </w:r>
          </w:p>
        </w:tc>
        <w:tc>
          <w:tcPr>
            <w:tcW w:type="dxa" w:w="2376"/>
            <w:vAlign w:val="center"/>
          </w:tcPr>
          <w:p>
            <w:pPr>
              <w:spacing w:before="40" w:after="40" w:line="240" w:lineRule="auto"/>
            </w:pPr>
            <w:r>
              <w:rPr>
                <w:b w:val="0"/>
                <w:sz w:val="18"/>
              </w:rPr>
              <w:t>No explicit Gaussian noise</w:t>
            </w:r>
          </w:p>
        </w:tc>
        <w:tc>
          <w:tcPr>
            <w:tcW w:type="dxa" w:w="2592"/>
            <w:vAlign w:val="center"/>
          </w:tcPr>
          <w:p>
            <w:pPr>
              <w:spacing w:before="40" w:after="40" w:line="240" w:lineRule="auto"/>
            </w:pPr>
            <w:r>
              <w:rPr>
                <w:b w:val="0"/>
                <w:sz w:val="18"/>
              </w:rPr>
              <w:t>0.1–2.0 / 35% (5×5)</w:t>
            </w:r>
          </w:p>
        </w:tc>
        <w:tc>
          <w:tcPr>
            <w:tcW w:type="dxa" w:w="2448"/>
            <w:vAlign w:val="center"/>
          </w:tcPr>
          <w:p>
            <w:pPr>
              <w:spacing w:before="40" w:after="40" w:line="240" w:lineRule="auto"/>
            </w:pPr>
            <w:r>
              <w:rPr>
                <w:b w:val="0"/>
                <w:sz w:val="18"/>
              </w:rPr>
              <w:t>30% / 2–12%</w:t>
            </w:r>
          </w:p>
        </w:tc>
      </w:tr>
      <w:tr>
        <w:trPr>
          <w:cantSplit/>
        </w:trPr>
        <w:tc>
          <w:tcPr>
            <w:tcW w:type="dxa" w:w="1224"/>
            <w:vAlign w:val="center"/>
          </w:tcPr>
          <w:p>
            <w:pPr>
              <w:spacing w:before="40" w:after="40" w:line="240" w:lineRule="auto"/>
            </w:pPr>
            <w:r>
              <w:rPr>
                <w:b w:val="0"/>
                <w:sz w:val="18"/>
              </w:rPr>
              <w:t>±30°</w:t>
            </w:r>
          </w:p>
        </w:tc>
        <w:tc>
          <w:tcPr>
            <w:tcW w:type="dxa" w:w="2376"/>
            <w:vAlign w:val="center"/>
          </w:tcPr>
          <w:p>
            <w:pPr>
              <w:spacing w:before="40" w:after="40" w:line="240" w:lineRule="auto"/>
            </w:pPr>
            <w:r>
              <w:rPr>
                <w:b w:val="0"/>
                <w:sz w:val="18"/>
              </w:rPr>
              <w:t>0.03 / 35%</w:t>
            </w:r>
          </w:p>
        </w:tc>
        <w:tc>
          <w:tcPr>
            <w:tcW w:type="dxa" w:w="2592"/>
            <w:vAlign w:val="center"/>
          </w:tcPr>
          <w:p>
            <w:pPr>
              <w:spacing w:before="40" w:after="40" w:line="240" w:lineRule="auto"/>
            </w:pPr>
            <w:r>
              <w:rPr>
                <w:b w:val="0"/>
                <w:sz w:val="18"/>
              </w:rPr>
              <w:t>0.2–2.0 / 40% (7×7)</w:t>
            </w:r>
          </w:p>
        </w:tc>
        <w:tc>
          <w:tcPr>
            <w:tcW w:type="dxa" w:w="2448"/>
            <w:vAlign w:val="center"/>
          </w:tcPr>
          <w:p>
            <w:pPr>
              <w:spacing w:before="40" w:after="40" w:line="240" w:lineRule="auto"/>
            </w:pPr>
            <w:r>
              <w:rPr>
                <w:b w:val="0"/>
                <w:sz w:val="18"/>
              </w:rPr>
              <w:t>20% / 2–10%</w:t>
            </w:r>
          </w:p>
        </w:tc>
      </w:tr>
      <w:tr>
        <w:trPr>
          <w:cantSplit/>
        </w:trPr>
        <w:tc>
          <w:tcPr>
            <w:tcW w:type="dxa" w:w="1224"/>
            <w:vAlign w:val="center"/>
          </w:tcPr>
          <w:p>
            <w:pPr>
              <w:spacing w:before="40" w:after="40" w:line="240" w:lineRule="auto"/>
            </w:pPr>
            <w:r>
              <w:rPr>
                <w:b w:val="0"/>
                <w:sz w:val="18"/>
              </w:rPr>
              <w:t>±100°</w:t>
            </w:r>
          </w:p>
        </w:tc>
        <w:tc>
          <w:tcPr>
            <w:tcW w:type="dxa" w:w="2376"/>
            <w:vAlign w:val="center"/>
          </w:tcPr>
          <w:p>
            <w:pPr>
              <w:spacing w:before="40" w:after="40" w:line="240" w:lineRule="auto"/>
            </w:pPr>
            <w:r>
              <w:rPr>
                <w:b w:val="0"/>
                <w:sz w:val="18"/>
              </w:rPr>
              <w:t>0.05 / 45%</w:t>
            </w:r>
          </w:p>
        </w:tc>
        <w:tc>
          <w:tcPr>
            <w:tcW w:type="dxa" w:w="2592"/>
            <w:vAlign w:val="center"/>
          </w:tcPr>
          <w:p>
            <w:pPr>
              <w:spacing w:before="40" w:after="40" w:line="240" w:lineRule="auto"/>
            </w:pPr>
            <w:r>
              <w:rPr>
                <w:b w:val="0"/>
                <w:sz w:val="18"/>
              </w:rPr>
              <w:t>0.2–2.5 / 50% (7×7)</w:t>
            </w:r>
          </w:p>
        </w:tc>
        <w:tc>
          <w:tcPr>
            <w:tcW w:type="dxa" w:w="2448"/>
            <w:vAlign w:val="center"/>
          </w:tcPr>
          <w:p>
            <w:pPr>
              <w:spacing w:before="40" w:after="40" w:line="240" w:lineRule="auto"/>
            </w:pPr>
            <w:r>
              <w:rPr>
                <w:b w:val="0"/>
                <w:sz w:val="18"/>
              </w:rPr>
              <w:t>25% / 2–12%</w:t>
            </w:r>
          </w:p>
        </w:tc>
      </w:tr>
      <w:tr>
        <w:trPr>
          <w:cantSplit/>
        </w:trPr>
        <w:tc>
          <w:tcPr>
            <w:tcW w:type="dxa" w:w="1224"/>
            <w:vAlign w:val="center"/>
          </w:tcPr>
          <w:p>
            <w:pPr>
              <w:spacing w:before="40" w:after="40" w:line="240" w:lineRule="auto"/>
            </w:pPr>
            <w:r>
              <w:rPr>
                <w:b w:val="0"/>
                <w:sz w:val="18"/>
              </w:rPr>
              <w:t>±150°</w:t>
            </w:r>
          </w:p>
        </w:tc>
        <w:tc>
          <w:tcPr>
            <w:tcW w:type="dxa" w:w="2376"/>
            <w:vAlign w:val="center"/>
          </w:tcPr>
          <w:p>
            <w:pPr>
              <w:spacing w:before="40" w:after="40" w:line="240" w:lineRule="auto"/>
            </w:pPr>
            <w:r>
              <w:rPr>
                <w:b w:val="0"/>
                <w:sz w:val="18"/>
              </w:rPr>
              <w:t>0.08 / 50%</w:t>
            </w:r>
          </w:p>
        </w:tc>
        <w:tc>
          <w:tcPr>
            <w:tcW w:type="dxa" w:w="2592"/>
            <w:vAlign w:val="center"/>
          </w:tcPr>
          <w:p>
            <w:pPr>
              <w:spacing w:before="40" w:after="40" w:line="240" w:lineRule="auto"/>
            </w:pPr>
            <w:r>
              <w:rPr>
                <w:b w:val="0"/>
                <w:sz w:val="18"/>
              </w:rPr>
              <w:t>0.3–3.0 / 60% (7×7)</w:t>
            </w:r>
          </w:p>
        </w:tc>
        <w:tc>
          <w:tcPr>
            <w:tcW w:type="dxa" w:w="2448"/>
            <w:vAlign w:val="center"/>
          </w:tcPr>
          <w:p>
            <w:pPr>
              <w:spacing w:before="40" w:after="40" w:line="240" w:lineRule="auto"/>
            </w:pPr>
            <w:r>
              <w:rPr>
                <w:b w:val="0"/>
                <w:sz w:val="18"/>
              </w:rPr>
              <w:t>30% / 2–15%</w:t>
            </w:r>
          </w:p>
        </w:tc>
      </w:tr>
    </w:tbl>
    <w:p>
      <w:pPr>
        <w:spacing w:after="0" w:before="0"/>
      </w:pPr>
    </w:p>
    <w:p>
      <w:pPr>
        <w:widowControl/>
        <w:spacing w:after="120"/>
      </w:pPr>
      <w:r>
        <w:t>Noise is applied to float images in [0,1] before normalization. The baseline also uses a random resized crop and RandAugment; the new policies resize to 224×224 and use explicit colour jitter. The baseline geometry row describes only its affine step. None of these four policies mirrors images horizontally.</w:t>
      </w:r>
    </w:p>
    <w:p>
      <w:pPr>
        <w:widowControl/>
        <w:spacing w:after="120"/>
      </w:pPr>
      <w:r>
        <w:t>Common training recipe: ImageNet-pretrained ResNet50, 256-dimensional embeddings, ArcFace margin 0.5 and scale 30, cross-entropy, batch size 32, AdamW with LR 3e-4 and weight decay 0.01, cosine schedule, seed 42, GPU/AMP, and 30 epochs without early stopping.</w:t>
      </w:r>
    </w:p>
    <w:p>
      <w:r>
        <w:br w:type="page"/>
      </w:r>
    </w:p>
    <w:p>
      <w:pPr>
        <w:pStyle w:val="Heading1"/>
        <w:keepNext/>
      </w:pPr>
      <w:r>
        <w:t>3. Averaging run results — job 39152253</w:t>
      </w:r>
    </w:p>
    <w:p>
      <w:pPr>
        <w:spacing w:after="120"/>
      </w:pPr>
      <w:r>
        <w:t>Completed 28 October 2026 at 00:14:34 · elapsed 17m 55s · exit code 0:0. This job evaluated all three trained models using single-image prediction, seven-angle probability averaging and max pooling: 18 validation/test comparisons.</w:t>
      </w:r>
    </w:p>
    <w:p>
      <w:pPr>
        <w:spacing w:after="120"/>
      </w:pPr>
      <w:r>
        <w:t>The results below compare the same ±30° model checkpoint (training epoch 29). Mean TTA is probability averaging across −30°, −20°, −10°, 0°, +10°, +20° and +30°. The model and averaging method were selected on validation before test scoring.</w:t>
      </w:r>
    </w:p>
    <w:tbl>
      <w:tblPr>
        <w:tblStyle w:val="LightGrid-Accent1"/>
        <w:tblW w:type="auto" w:w="0"/>
        <w:jc w:val="center"/>
        <w:tblLayout w:type="fixed"/>
        <w:tblLook w:firstColumn="1" w:firstRow="1" w:lastColumn="0" w:lastRow="0" w:noHBand="0" w:noVBand="1" w:val="04A0"/>
      </w:tblPr>
      <w:tblGrid>
        <w:gridCol w:w="2160"/>
        <w:gridCol w:w="1296"/>
        <w:gridCol w:w="1296"/>
        <w:gridCol w:w="1296"/>
        <w:gridCol w:w="1296"/>
        <w:gridCol w:w="1296"/>
      </w:tblGrid>
      <w:tr>
        <w:trPr>
          <w:cantSplit/>
          <w:tblHeader/>
        </w:trPr>
        <w:tc>
          <w:tcPr>
            <w:tcW w:type="dxa" w:w="2160"/>
            <w:vAlign w:val="center"/>
          </w:tcPr>
          <w:p>
            <w:pPr>
              <w:spacing w:before="40" w:after="40" w:line="240" w:lineRule="auto"/>
            </w:pPr>
            <w:r>
              <w:rPr>
                <w:b/>
                <w:sz w:val="18"/>
              </w:rPr>
              <w:t>Scoring method</w:t>
            </w:r>
          </w:p>
        </w:tc>
        <w:tc>
          <w:tcPr>
            <w:tcW w:type="dxa" w:w="1296"/>
            <w:vAlign w:val="center"/>
          </w:tcPr>
          <w:p>
            <w:pPr>
              <w:spacing w:before="40" w:after="40" w:line="240" w:lineRule="auto"/>
            </w:pPr>
            <w:r>
              <w:rPr>
                <w:b/>
                <w:sz w:val="18"/>
              </w:rPr>
              <w:t>Validation Top-1</w:t>
            </w:r>
          </w:p>
        </w:tc>
        <w:tc>
          <w:tcPr>
            <w:tcW w:type="dxa" w:w="1296"/>
            <w:vAlign w:val="center"/>
          </w:tcPr>
          <w:p>
            <w:pPr>
              <w:spacing w:before="40" w:after="40" w:line="240" w:lineRule="auto"/>
            </w:pPr>
            <w:r>
              <w:rPr>
                <w:b/>
                <w:sz w:val="18"/>
              </w:rPr>
              <w:t>Test Top-1</w:t>
            </w:r>
          </w:p>
        </w:tc>
        <w:tc>
          <w:tcPr>
            <w:tcW w:type="dxa" w:w="1296"/>
            <w:vAlign w:val="center"/>
          </w:tcPr>
          <w:p>
            <w:pPr>
              <w:spacing w:before="40" w:after="40" w:line="240" w:lineRule="auto"/>
            </w:pPr>
            <w:r>
              <w:rPr>
                <w:b/>
                <w:sz w:val="18"/>
              </w:rPr>
              <w:t>Test Top-3</w:t>
            </w:r>
          </w:p>
        </w:tc>
        <w:tc>
          <w:tcPr>
            <w:tcW w:type="dxa" w:w="1296"/>
            <w:vAlign w:val="center"/>
          </w:tcPr>
          <w:p>
            <w:pPr>
              <w:spacing w:before="40" w:after="40" w:line="240" w:lineRule="auto"/>
            </w:pPr>
            <w:r>
              <w:rPr>
                <w:b/>
                <w:sz w:val="18"/>
              </w:rPr>
              <w:t>Test Top-5</w:t>
            </w:r>
          </w:p>
        </w:tc>
        <w:tc>
          <w:tcPr>
            <w:tcW w:type="dxa" w:w="1296"/>
            <w:vAlign w:val="center"/>
          </w:tcPr>
          <w:p>
            <w:pPr>
              <w:spacing w:before="40" w:after="40" w:line="240" w:lineRule="auto"/>
            </w:pPr>
            <w:r>
              <w:rPr>
                <w:b/>
                <w:sz w:val="18"/>
              </w:rPr>
              <w:t>Test macro-F1</w:t>
            </w:r>
          </w:p>
        </w:tc>
      </w:tr>
      <w:tr>
        <w:trPr>
          <w:cantSplit/>
        </w:trPr>
        <w:tc>
          <w:tcPr>
            <w:tcW w:type="dxa" w:w="2160"/>
            <w:vAlign w:val="center"/>
          </w:tcPr>
          <w:p>
            <w:pPr>
              <w:spacing w:before="40" w:after="40" w:line="240" w:lineRule="auto"/>
            </w:pPr>
            <w:r>
              <w:rPr>
                <w:b w:val="0"/>
                <w:sz w:val="18"/>
              </w:rPr>
              <w:t>Single image</w:t>
            </w:r>
          </w:p>
        </w:tc>
        <w:tc>
          <w:tcPr>
            <w:tcW w:type="dxa" w:w="1296"/>
            <w:vAlign w:val="center"/>
          </w:tcPr>
          <w:p>
            <w:pPr>
              <w:spacing w:before="40" w:after="40" w:line="240" w:lineRule="auto"/>
            </w:pPr>
            <w:r>
              <w:rPr>
                <w:b w:val="0"/>
                <w:sz w:val="18"/>
              </w:rPr>
              <w:t>82.49%</w:t>
            </w:r>
          </w:p>
        </w:tc>
        <w:tc>
          <w:tcPr>
            <w:tcW w:type="dxa" w:w="1296"/>
            <w:vAlign w:val="center"/>
          </w:tcPr>
          <w:p>
            <w:pPr>
              <w:spacing w:before="40" w:after="40" w:line="240" w:lineRule="auto"/>
            </w:pPr>
            <w:r>
              <w:rPr>
                <w:b w:val="0"/>
                <w:sz w:val="18"/>
              </w:rPr>
              <w:t>83.51%</w:t>
            </w:r>
          </w:p>
        </w:tc>
        <w:tc>
          <w:tcPr>
            <w:tcW w:type="dxa" w:w="1296"/>
            <w:vAlign w:val="center"/>
          </w:tcPr>
          <w:p>
            <w:pPr>
              <w:spacing w:before="40" w:after="40" w:line="240" w:lineRule="auto"/>
            </w:pPr>
            <w:r>
              <w:rPr>
                <w:b w:val="0"/>
                <w:sz w:val="18"/>
              </w:rPr>
              <w:t>88.45%</w:t>
            </w:r>
          </w:p>
        </w:tc>
        <w:tc>
          <w:tcPr>
            <w:tcW w:type="dxa" w:w="1296"/>
            <w:vAlign w:val="center"/>
          </w:tcPr>
          <w:p>
            <w:pPr>
              <w:spacing w:before="40" w:after="40" w:line="240" w:lineRule="auto"/>
            </w:pPr>
            <w:r>
              <w:rPr>
                <w:b w:val="0"/>
                <w:sz w:val="18"/>
              </w:rPr>
              <w:t>89.99%</w:t>
            </w:r>
          </w:p>
        </w:tc>
        <w:tc>
          <w:tcPr>
            <w:tcW w:type="dxa" w:w="1296"/>
            <w:vAlign w:val="center"/>
          </w:tcPr>
          <w:p>
            <w:pPr>
              <w:spacing w:before="40" w:after="40" w:line="240" w:lineRule="auto"/>
            </w:pPr>
            <w:r>
              <w:rPr>
                <w:b w:val="0"/>
                <w:sz w:val="18"/>
              </w:rPr>
              <w:t>0.8189</w:t>
            </w:r>
          </w:p>
        </w:tc>
      </w:tr>
      <w:tr>
        <w:trPr>
          <w:cantSplit/>
        </w:trPr>
        <w:tc>
          <w:tcPr>
            <w:tcW w:type="dxa" w:w="2160"/>
            <w:vAlign w:val="center"/>
          </w:tcPr>
          <w:p>
            <w:pPr>
              <w:spacing w:before="40" w:after="40" w:line="240" w:lineRule="auto"/>
            </w:pPr>
            <w:r>
              <w:rPr>
                <w:b/>
                <w:sz w:val="18"/>
              </w:rPr>
              <w:t>Seven-angle mean</w:t>
            </w:r>
          </w:p>
        </w:tc>
        <w:tc>
          <w:tcPr>
            <w:tcW w:type="dxa" w:w="1296"/>
            <w:vAlign w:val="center"/>
          </w:tcPr>
          <w:p>
            <w:pPr>
              <w:spacing w:before="40" w:after="40" w:line="240" w:lineRule="auto"/>
            </w:pPr>
            <w:r>
              <w:rPr>
                <w:b/>
                <w:sz w:val="18"/>
              </w:rPr>
              <w:t>83.56%</w:t>
            </w:r>
          </w:p>
        </w:tc>
        <w:tc>
          <w:tcPr>
            <w:tcW w:type="dxa" w:w="1296"/>
            <w:vAlign w:val="center"/>
          </w:tcPr>
          <w:p>
            <w:pPr>
              <w:spacing w:before="40" w:after="40" w:line="240" w:lineRule="auto"/>
            </w:pPr>
            <w:r>
              <w:rPr>
                <w:b/>
                <w:sz w:val="18"/>
              </w:rPr>
              <w:t>84.51%</w:t>
            </w:r>
          </w:p>
        </w:tc>
        <w:tc>
          <w:tcPr>
            <w:tcW w:type="dxa" w:w="1296"/>
            <w:vAlign w:val="center"/>
          </w:tcPr>
          <w:p>
            <w:pPr>
              <w:spacing w:before="40" w:after="40" w:line="240" w:lineRule="auto"/>
            </w:pPr>
            <w:r>
              <w:rPr>
                <w:b/>
                <w:sz w:val="18"/>
              </w:rPr>
              <w:t>89.65%</w:t>
            </w:r>
          </w:p>
        </w:tc>
        <w:tc>
          <w:tcPr>
            <w:tcW w:type="dxa" w:w="1296"/>
            <w:vAlign w:val="center"/>
          </w:tcPr>
          <w:p>
            <w:pPr>
              <w:spacing w:before="40" w:after="40" w:line="240" w:lineRule="auto"/>
            </w:pPr>
            <w:r>
              <w:rPr>
                <w:b/>
                <w:sz w:val="18"/>
              </w:rPr>
              <w:t>90.72%</w:t>
            </w:r>
          </w:p>
        </w:tc>
        <w:tc>
          <w:tcPr>
            <w:tcW w:type="dxa" w:w="1296"/>
            <w:vAlign w:val="center"/>
          </w:tcPr>
          <w:p>
            <w:pPr>
              <w:spacing w:before="40" w:after="40" w:line="240" w:lineRule="auto"/>
            </w:pPr>
            <w:r>
              <w:rPr>
                <w:b/>
                <w:sz w:val="18"/>
              </w:rPr>
              <w:t>0.8284</w:t>
            </w:r>
          </w:p>
        </w:tc>
      </w:tr>
      <w:tr>
        <w:trPr>
          <w:cantSplit/>
        </w:trPr>
        <w:tc>
          <w:tcPr>
            <w:tcW w:type="dxa" w:w="2160"/>
            <w:vAlign w:val="center"/>
          </w:tcPr>
          <w:p>
            <w:pPr>
              <w:spacing w:before="40" w:after="40" w:line="240" w:lineRule="auto"/>
            </w:pPr>
            <w:r>
              <w:rPr>
                <w:b w:val="0"/>
                <w:sz w:val="18"/>
              </w:rPr>
              <w:t>Seven-angle max</w:t>
            </w:r>
          </w:p>
        </w:tc>
        <w:tc>
          <w:tcPr>
            <w:tcW w:type="dxa" w:w="1296"/>
            <w:vAlign w:val="center"/>
          </w:tcPr>
          <w:p>
            <w:pPr>
              <w:spacing w:before="40" w:after="40" w:line="240" w:lineRule="auto"/>
            </w:pPr>
            <w:r>
              <w:rPr>
                <w:b w:val="0"/>
                <w:sz w:val="18"/>
              </w:rPr>
              <w:t>83.26%</w:t>
            </w:r>
          </w:p>
        </w:tc>
        <w:tc>
          <w:tcPr>
            <w:tcW w:type="dxa" w:w="1296"/>
            <w:vAlign w:val="center"/>
          </w:tcPr>
          <w:p>
            <w:pPr>
              <w:spacing w:before="40" w:after="40" w:line="240" w:lineRule="auto"/>
            </w:pPr>
            <w:r>
              <w:rPr>
                <w:b w:val="0"/>
                <w:sz w:val="18"/>
              </w:rPr>
              <w:t>84.31%</w:t>
            </w:r>
          </w:p>
        </w:tc>
        <w:tc>
          <w:tcPr>
            <w:tcW w:type="dxa" w:w="1296"/>
            <w:vAlign w:val="center"/>
          </w:tcPr>
          <w:p>
            <w:pPr>
              <w:spacing w:before="40" w:after="40" w:line="240" w:lineRule="auto"/>
            </w:pPr>
            <w:r>
              <w:rPr>
                <w:b w:val="0"/>
                <w:sz w:val="18"/>
              </w:rPr>
              <w:t>89.45%</w:t>
            </w:r>
          </w:p>
        </w:tc>
        <w:tc>
          <w:tcPr>
            <w:tcW w:type="dxa" w:w="1296"/>
            <w:vAlign w:val="center"/>
          </w:tcPr>
          <w:p>
            <w:pPr>
              <w:spacing w:before="40" w:after="40" w:line="240" w:lineRule="auto"/>
            </w:pPr>
            <w:r>
              <w:rPr>
                <w:b w:val="0"/>
                <w:sz w:val="18"/>
              </w:rPr>
              <w:t>90.65%</w:t>
            </w:r>
          </w:p>
        </w:tc>
        <w:tc>
          <w:tcPr>
            <w:tcW w:type="dxa" w:w="1296"/>
            <w:vAlign w:val="center"/>
          </w:tcPr>
          <w:p>
            <w:pPr>
              <w:spacing w:before="40" w:after="40" w:line="240" w:lineRule="auto"/>
            </w:pPr>
            <w:r>
              <w:rPr>
                <w:b w:val="0"/>
                <w:sz w:val="18"/>
              </w:rPr>
              <w:t>0.8251</w:t>
            </w:r>
          </w:p>
        </w:tc>
      </w:tr>
    </w:tbl>
    <w:p>
      <w:pPr>
        <w:spacing w:after="120"/>
      </w:pPr>
      <w:r>
        <w:t>Averaging improves this model from 83.51% to 84.51% test accuracy (+1.00 percentage point), or 15 more correct test images: 1,266 instead of 1,251. Macro-F1 improves from 0.8189 to 0.8284. Max pooling scores 84.31%; mean is ahead by three images. Baseline TTA was not tested.</w:t>
      </w:r>
    </w:p>
    <w:p>
      <w:pPr>
        <w:keepNext/>
        <w:spacing w:after="40"/>
        <w:jc w:val="center"/>
      </w:pPr>
      <w:r>
        <w:drawing>
          <wp:inline xmlns:a="http://schemas.openxmlformats.org/drawingml/2006/main" xmlns:pic="http://schemas.openxmlformats.org/drawingml/2006/picture">
            <wp:extent cx="5486400" cy="2423160"/>
            <wp:docPr id="7" name="Picture 7" descr="Averaging job 39152253: baseline and the same ±30° model with single-image, mean and max scoring."/>
            <wp:cNvGraphicFramePr>
              <a:graphicFrameLocks noChangeAspect="1"/>
            </wp:cNvGraphicFramePr>
            <a:graphic>
              <a:graphicData uri="http://schemas.openxmlformats.org/drawingml/2006/picture">
                <pic:pic>
                  <pic:nvPicPr>
                    <pic:cNvPr id="0" name="averaging_run_39152253.png"/>
                    <pic:cNvPicPr/>
                  </pic:nvPicPr>
                  <pic:blipFill>
                    <a:blip r:embed="rId26"/>
                    <a:stretch>
                      <a:fillRect/>
                    </a:stretch>
                  </pic:blipFill>
                  <pic:spPr>
                    <a:xfrm>
                      <a:off x="0" y="0"/>
                      <a:ext cx="5486400" cy="2423160"/>
                    </a:xfrm>
                    <a:prstGeom prst="rect"/>
                  </pic:spPr>
                </pic:pic>
              </a:graphicData>
            </a:graphic>
          </wp:inline>
        </w:drawing>
      </w:r>
    </w:p>
    <w:p>
      <w:pPr>
        <w:pStyle w:val="Caption"/>
        <w:spacing w:after="120"/>
      </w:pPr>
      <w:r>
        <w:t>Figure 1. Completed averaging run: the baseline bar is single-image inference; the remaining bars use the same ±30° trained model.</w:t>
      </w:r>
    </w:p>
    <w:p>
      <w:pPr>
        <w:spacing w:after="120"/>
      </w:pPr>
      <w:r>
        <w:t>Averaging evaluates saved weights; the loss curves elsewhere belong to the training runs. The newer ±45°/±60° averaging submission is job 39484294, whose results are not available here yet.</w:t>
      </w:r>
    </w:p>
    <w:p>
      <w:hyperlink r:id="rId27">
        <w:r>
          <w:rPr>
            <w:color w:val="365F91"/>
            <w:u w:val="single"/>
          </w:rPr>
          <w:t>Completed averaging-job log (39152253)</w:t>
        </w:r>
      </w:hyperlink>
    </w:p>
    <w:p>
      <w:r>
        <w:br w:type="page"/>
      </w:r>
    </w:p>
    <w:p>
      <w:pPr>
        <w:pStyle w:val="Heading2"/>
        <w:spacing w:after="120"/>
      </w:pPr>
      <w:r>
        <w:t>All policies and pooling methods</w:t>
      </w:r>
    </w:p>
    <w:p>
      <w:pPr>
        <w:widowControl/>
        <w:spacing w:after="120"/>
      </w:pPr>
      <w:r>
        <w:t>Inference uses views at −30°, −20°, −10°, 0°, +10°, +20° and +30° for every model. Each view is scored with margin-free ArcFace logits followed by softmax. Mean averages class probabilities; max takes each class’s maximum view probability and renormalizes. Model weights are not averaged.</w:t>
      </w:r>
    </w:p>
    <w:p>
      <w:pPr>
        <w:pStyle w:val="Heading2"/>
        <w:keepNext/>
      </w:pPr>
      <w:r>
        <w:t>Test results: same 1,498 crops and 149 identities</w:t>
      </w:r>
    </w:p>
    <w:tbl>
      <w:tblPr>
        <w:tblStyle w:val="LightGrid-Accent1"/>
        <w:tblW w:type="auto" w:w="0"/>
        <w:jc w:val="center"/>
        <w:tblLayout w:type="fixed"/>
        <w:tblLook w:firstColumn="1" w:firstRow="1" w:lastColumn="0" w:lastRow="0" w:noHBand="0" w:noVBand="1" w:val="04A0"/>
      </w:tblPr>
      <w:tblGrid>
        <w:gridCol w:w="1872"/>
        <w:gridCol w:w="1692"/>
        <w:gridCol w:w="1692"/>
        <w:gridCol w:w="1692"/>
        <w:gridCol w:w="1692"/>
      </w:tblGrid>
      <w:tr>
        <w:trPr>
          <w:cantSplit/>
          <w:tblHeader/>
        </w:trPr>
        <w:tc>
          <w:tcPr>
            <w:tcW w:type="dxa" w:w="1872"/>
            <w:vAlign w:val="center"/>
          </w:tcPr>
          <w:p>
            <w:pPr>
              <w:spacing w:before="40" w:after="40" w:line="240" w:lineRule="auto"/>
            </w:pPr>
            <w:r>
              <w:rPr>
                <w:b/>
                <w:sz w:val="18"/>
              </w:rPr>
              <w:t>Training policy</w:t>
            </w:r>
          </w:p>
        </w:tc>
        <w:tc>
          <w:tcPr>
            <w:tcW w:type="dxa" w:w="1692"/>
            <w:vAlign w:val="center"/>
          </w:tcPr>
          <w:p>
            <w:pPr>
              <w:spacing w:before="40" w:after="40" w:line="240" w:lineRule="auto"/>
            </w:pPr>
            <w:r>
              <w:rPr>
                <w:b/>
                <w:sz w:val="18"/>
              </w:rPr>
              <w:t>Single-image Top-1</w:t>
            </w:r>
          </w:p>
        </w:tc>
        <w:tc>
          <w:tcPr>
            <w:tcW w:type="dxa" w:w="1692"/>
            <w:vAlign w:val="center"/>
          </w:tcPr>
          <w:p>
            <w:pPr>
              <w:spacing w:before="40" w:after="40" w:line="240" w:lineRule="auto"/>
            </w:pPr>
            <w:r>
              <w:rPr>
                <w:b/>
                <w:sz w:val="18"/>
              </w:rPr>
              <w:t>Mean TTA Top-1</w:t>
            </w:r>
          </w:p>
        </w:tc>
        <w:tc>
          <w:tcPr>
            <w:tcW w:type="dxa" w:w="1692"/>
            <w:vAlign w:val="center"/>
          </w:tcPr>
          <w:p>
            <w:pPr>
              <w:spacing w:before="40" w:after="40" w:line="240" w:lineRule="auto"/>
            </w:pPr>
            <w:r>
              <w:rPr>
                <w:b/>
                <w:sz w:val="18"/>
              </w:rPr>
              <w:t>Max TTA Top-1</w:t>
            </w:r>
          </w:p>
        </w:tc>
        <w:tc>
          <w:tcPr>
            <w:tcW w:type="dxa" w:w="1692"/>
            <w:vAlign w:val="center"/>
          </w:tcPr>
          <w:p>
            <w:pPr>
              <w:spacing w:before="40" w:after="40" w:line="240" w:lineRule="auto"/>
            </w:pPr>
            <w:r>
              <w:rPr>
                <w:b/>
                <w:sz w:val="18"/>
              </w:rPr>
              <w:t>Mean TTA macro-F1</w:t>
            </w:r>
          </w:p>
        </w:tc>
      </w:tr>
      <w:tr>
        <w:trPr>
          <w:cantSplit/>
        </w:trPr>
        <w:tc>
          <w:tcPr>
            <w:tcW w:type="dxa" w:w="1872"/>
            <w:vAlign w:val="center"/>
          </w:tcPr>
          <w:p>
            <w:pPr>
              <w:spacing w:before="40" w:after="40" w:line="240" w:lineRule="auto"/>
            </w:pPr>
            <w:r>
              <w:rPr>
                <w:b w:val="0"/>
                <w:sz w:val="18"/>
              </w:rPr>
              <w:t>Baseline</w:t>
            </w:r>
          </w:p>
        </w:tc>
        <w:tc>
          <w:tcPr>
            <w:tcW w:type="dxa" w:w="1692"/>
            <w:vAlign w:val="center"/>
          </w:tcPr>
          <w:p>
            <w:pPr>
              <w:spacing w:before="40" w:after="40" w:line="240" w:lineRule="auto"/>
            </w:pPr>
            <w:r>
              <w:rPr>
                <w:b w:val="0"/>
                <w:sz w:val="18"/>
              </w:rPr>
              <w:t>82.51%</w:t>
            </w:r>
          </w:p>
        </w:tc>
        <w:tc>
          <w:tcPr>
            <w:tcW w:type="dxa" w:w="1692"/>
            <w:vAlign w:val="center"/>
          </w:tcPr>
          <w:p>
            <w:pPr>
              <w:spacing w:before="40" w:after="40" w:line="240" w:lineRule="auto"/>
            </w:pPr>
            <w:r>
              <w:rPr>
                <w:b w:val="0"/>
                <w:sz w:val="18"/>
              </w:rPr>
              <w:t>Not tested</w:t>
            </w:r>
          </w:p>
        </w:tc>
        <w:tc>
          <w:tcPr>
            <w:tcW w:type="dxa" w:w="1692"/>
            <w:vAlign w:val="center"/>
          </w:tcPr>
          <w:p>
            <w:pPr>
              <w:spacing w:before="40" w:after="40" w:line="240" w:lineRule="auto"/>
            </w:pPr>
            <w:r>
              <w:rPr>
                <w:b w:val="0"/>
                <w:sz w:val="18"/>
              </w:rPr>
              <w:t>Not tested</w:t>
            </w:r>
          </w:p>
        </w:tc>
        <w:tc>
          <w:tcPr>
            <w:tcW w:type="dxa" w:w="1692"/>
            <w:vAlign w:val="center"/>
          </w:tcPr>
          <w:p>
            <w:pPr>
              <w:spacing w:before="40" w:after="40" w:line="240" w:lineRule="auto"/>
            </w:pPr>
            <w:r>
              <w:rPr>
                <w:b w:val="0"/>
                <w:sz w:val="18"/>
              </w:rPr>
              <w:t>Not tested</w:t>
            </w:r>
          </w:p>
        </w:tc>
      </w:tr>
      <w:tr>
        <w:trPr>
          <w:cantSplit/>
        </w:trPr>
        <w:tc>
          <w:tcPr>
            <w:tcW w:type="dxa" w:w="1872"/>
            <w:vAlign w:val="center"/>
          </w:tcPr>
          <w:p>
            <w:pPr>
              <w:spacing w:before="40" w:after="40" w:line="240" w:lineRule="auto"/>
            </w:pPr>
            <w:r>
              <w:rPr>
                <w:b/>
                <w:sz w:val="18"/>
              </w:rPr>
              <w:t>±30° policy</w:t>
            </w:r>
          </w:p>
        </w:tc>
        <w:tc>
          <w:tcPr>
            <w:tcW w:type="dxa" w:w="1692"/>
            <w:vAlign w:val="center"/>
          </w:tcPr>
          <w:p>
            <w:pPr>
              <w:spacing w:before="40" w:after="40" w:line="240" w:lineRule="auto"/>
            </w:pPr>
            <w:r>
              <w:rPr>
                <w:b/>
                <w:sz w:val="18"/>
              </w:rPr>
              <w:t>83.51%</w:t>
            </w:r>
          </w:p>
        </w:tc>
        <w:tc>
          <w:tcPr>
            <w:tcW w:type="dxa" w:w="1692"/>
            <w:vAlign w:val="center"/>
          </w:tcPr>
          <w:p>
            <w:pPr>
              <w:spacing w:before="40" w:after="40" w:line="240" w:lineRule="auto"/>
            </w:pPr>
            <w:r>
              <w:rPr>
                <w:b/>
                <w:sz w:val="18"/>
              </w:rPr>
              <w:t>84.51%</w:t>
            </w:r>
          </w:p>
        </w:tc>
        <w:tc>
          <w:tcPr>
            <w:tcW w:type="dxa" w:w="1692"/>
            <w:vAlign w:val="center"/>
          </w:tcPr>
          <w:p>
            <w:pPr>
              <w:spacing w:before="40" w:after="40" w:line="240" w:lineRule="auto"/>
            </w:pPr>
            <w:r>
              <w:rPr>
                <w:b/>
                <w:sz w:val="18"/>
              </w:rPr>
              <w:t>84.31%</w:t>
            </w:r>
          </w:p>
        </w:tc>
        <w:tc>
          <w:tcPr>
            <w:tcW w:type="dxa" w:w="1692"/>
            <w:vAlign w:val="center"/>
          </w:tcPr>
          <w:p>
            <w:pPr>
              <w:spacing w:before="40" w:after="40" w:line="240" w:lineRule="auto"/>
            </w:pPr>
            <w:r>
              <w:rPr>
                <w:b/>
                <w:sz w:val="18"/>
              </w:rPr>
              <w:t>0.8284</w:t>
            </w:r>
          </w:p>
        </w:tc>
      </w:tr>
      <w:tr>
        <w:trPr>
          <w:cantSplit/>
        </w:trPr>
        <w:tc>
          <w:tcPr>
            <w:tcW w:type="dxa" w:w="1872"/>
            <w:vAlign w:val="center"/>
          </w:tcPr>
          <w:p>
            <w:pPr>
              <w:spacing w:before="40" w:after="40" w:line="240" w:lineRule="auto"/>
            </w:pPr>
            <w:r>
              <w:rPr>
                <w:b w:val="0"/>
                <w:sz w:val="18"/>
              </w:rPr>
              <w:t>±100° policy</w:t>
            </w:r>
          </w:p>
        </w:tc>
        <w:tc>
          <w:tcPr>
            <w:tcW w:type="dxa" w:w="1692"/>
            <w:vAlign w:val="center"/>
          </w:tcPr>
          <w:p>
            <w:pPr>
              <w:spacing w:before="40" w:after="40" w:line="240" w:lineRule="auto"/>
            </w:pPr>
            <w:r>
              <w:rPr>
                <w:b w:val="0"/>
                <w:sz w:val="18"/>
              </w:rPr>
              <w:t>81.44%</w:t>
            </w:r>
          </w:p>
        </w:tc>
        <w:tc>
          <w:tcPr>
            <w:tcW w:type="dxa" w:w="1692"/>
            <w:vAlign w:val="center"/>
          </w:tcPr>
          <w:p>
            <w:pPr>
              <w:spacing w:before="40" w:after="40" w:line="240" w:lineRule="auto"/>
            </w:pPr>
            <w:r>
              <w:rPr>
                <w:b w:val="0"/>
                <w:sz w:val="18"/>
              </w:rPr>
              <w:t>82.44%</w:t>
            </w:r>
          </w:p>
        </w:tc>
        <w:tc>
          <w:tcPr>
            <w:tcW w:type="dxa" w:w="1692"/>
            <w:vAlign w:val="center"/>
          </w:tcPr>
          <w:p>
            <w:pPr>
              <w:spacing w:before="40" w:after="40" w:line="240" w:lineRule="auto"/>
            </w:pPr>
            <w:r>
              <w:rPr>
                <w:b w:val="0"/>
                <w:sz w:val="18"/>
              </w:rPr>
              <w:t>81.84%</w:t>
            </w:r>
          </w:p>
        </w:tc>
        <w:tc>
          <w:tcPr>
            <w:tcW w:type="dxa" w:w="1692"/>
            <w:vAlign w:val="center"/>
          </w:tcPr>
          <w:p>
            <w:pPr>
              <w:spacing w:before="40" w:after="40" w:line="240" w:lineRule="auto"/>
            </w:pPr>
            <w:r>
              <w:rPr>
                <w:b w:val="0"/>
                <w:sz w:val="18"/>
              </w:rPr>
              <w:t>0.7999</w:t>
            </w:r>
          </w:p>
        </w:tc>
      </w:tr>
      <w:tr>
        <w:trPr>
          <w:cantSplit/>
        </w:trPr>
        <w:tc>
          <w:tcPr>
            <w:tcW w:type="dxa" w:w="1872"/>
            <w:vAlign w:val="center"/>
          </w:tcPr>
          <w:p>
            <w:pPr>
              <w:spacing w:before="40" w:after="40" w:line="240" w:lineRule="auto"/>
            </w:pPr>
            <w:r>
              <w:rPr>
                <w:b w:val="0"/>
                <w:sz w:val="18"/>
              </w:rPr>
              <w:t>±150° policy</w:t>
            </w:r>
          </w:p>
        </w:tc>
        <w:tc>
          <w:tcPr>
            <w:tcW w:type="dxa" w:w="1692"/>
            <w:vAlign w:val="center"/>
          </w:tcPr>
          <w:p>
            <w:pPr>
              <w:spacing w:before="40" w:after="40" w:line="240" w:lineRule="auto"/>
            </w:pPr>
            <w:r>
              <w:rPr>
                <w:b w:val="0"/>
                <w:sz w:val="18"/>
              </w:rPr>
              <w:t>56.94%</w:t>
            </w:r>
          </w:p>
        </w:tc>
        <w:tc>
          <w:tcPr>
            <w:tcW w:type="dxa" w:w="1692"/>
            <w:vAlign w:val="center"/>
          </w:tcPr>
          <w:p>
            <w:pPr>
              <w:spacing w:before="40" w:after="40" w:line="240" w:lineRule="auto"/>
            </w:pPr>
            <w:r>
              <w:rPr>
                <w:b w:val="0"/>
                <w:sz w:val="18"/>
              </w:rPr>
              <w:t>58.41%</w:t>
            </w:r>
          </w:p>
        </w:tc>
        <w:tc>
          <w:tcPr>
            <w:tcW w:type="dxa" w:w="1692"/>
            <w:vAlign w:val="center"/>
          </w:tcPr>
          <w:p>
            <w:pPr>
              <w:spacing w:before="40" w:after="40" w:line="240" w:lineRule="auto"/>
            </w:pPr>
            <w:r>
              <w:rPr>
                <w:b w:val="0"/>
                <w:sz w:val="18"/>
              </w:rPr>
              <w:t>57.48%</w:t>
            </w:r>
          </w:p>
        </w:tc>
        <w:tc>
          <w:tcPr>
            <w:tcW w:type="dxa" w:w="1692"/>
            <w:vAlign w:val="center"/>
          </w:tcPr>
          <w:p>
            <w:pPr>
              <w:spacing w:before="40" w:after="40" w:line="240" w:lineRule="auto"/>
            </w:pPr>
            <w:r>
              <w:rPr>
                <w:b w:val="0"/>
                <w:sz w:val="18"/>
              </w:rPr>
              <w:t>0.4636</w:t>
            </w:r>
          </w:p>
        </w:tc>
      </w:tr>
    </w:tbl>
    <w:p>
      <w:pPr>
        <w:spacing w:after="0" w:before="0"/>
      </w:pPr>
    </w:p>
    <w:p>
      <w:pPr>
        <w:widowControl/>
        <w:spacing w:after="120"/>
      </w:pPr>
      <w:r>
        <w:t>The baseline was not evaluated with TTA. The combined two-point improvement therefore includes a training-policy change and an inference change. Mean versus max differs by only three test images for the ±30° model; that small difference should not be generalized from one run.</w:t>
      </w:r>
    </w:p>
    <w:p>
      <w:pPr>
        <w:pStyle w:val="Heading2"/>
        <w:keepNext/>
      </w:pPr>
      <w:r>
        <w:t>Validation results used for selection</w:t>
      </w:r>
    </w:p>
    <w:tbl>
      <w:tblPr>
        <w:tblStyle w:val="LightGrid-Accent1"/>
        <w:tblW w:type="auto" w:w="0"/>
        <w:jc w:val="center"/>
        <w:tblLayout w:type="fixed"/>
        <w:tblLook w:firstColumn="1" w:firstRow="1" w:lastColumn="0" w:lastRow="0" w:noHBand="0" w:noVBand="1" w:val="04A0"/>
      </w:tblPr>
      <w:tblGrid>
        <w:gridCol w:w="2160"/>
        <w:gridCol w:w="2160"/>
        <w:gridCol w:w="2160"/>
        <w:gridCol w:w="2160"/>
      </w:tblGrid>
      <w:tr>
        <w:trPr>
          <w:cantSplit/>
          <w:tblHeader/>
        </w:trPr>
        <w:tc>
          <w:tcPr>
            <w:tcW w:type="dxa" w:w="2160"/>
            <w:vAlign w:val="center"/>
          </w:tcPr>
          <w:p>
            <w:pPr>
              <w:spacing w:before="40" w:after="40" w:line="240" w:lineRule="auto"/>
            </w:pPr>
            <w:r>
              <w:rPr>
                <w:b/>
                <w:sz w:val="18"/>
              </w:rPr>
              <w:t>Training policy</w:t>
            </w:r>
          </w:p>
        </w:tc>
        <w:tc>
          <w:tcPr>
            <w:tcW w:type="dxa" w:w="2160"/>
            <w:vAlign w:val="center"/>
          </w:tcPr>
          <w:p>
            <w:pPr>
              <w:spacing w:before="40" w:after="40" w:line="240" w:lineRule="auto"/>
            </w:pPr>
            <w:r>
              <w:rPr>
                <w:b/>
                <w:sz w:val="18"/>
              </w:rPr>
              <w:t>Single-image Top-1</w:t>
            </w:r>
          </w:p>
        </w:tc>
        <w:tc>
          <w:tcPr>
            <w:tcW w:type="dxa" w:w="2160"/>
            <w:vAlign w:val="center"/>
          </w:tcPr>
          <w:p>
            <w:pPr>
              <w:spacing w:before="40" w:after="40" w:line="240" w:lineRule="auto"/>
            </w:pPr>
            <w:r>
              <w:rPr>
                <w:b/>
                <w:sz w:val="18"/>
              </w:rPr>
              <w:t>Mean TTA Top-1</w:t>
            </w:r>
          </w:p>
        </w:tc>
        <w:tc>
          <w:tcPr>
            <w:tcW w:type="dxa" w:w="2160"/>
            <w:vAlign w:val="center"/>
          </w:tcPr>
          <w:p>
            <w:pPr>
              <w:spacing w:before="40" w:after="40" w:line="240" w:lineRule="auto"/>
            </w:pPr>
            <w:r>
              <w:rPr>
                <w:b/>
                <w:sz w:val="18"/>
              </w:rPr>
              <w:t>Max TTA Top-1</w:t>
            </w:r>
          </w:p>
        </w:tc>
      </w:tr>
      <w:tr>
        <w:trPr>
          <w:cantSplit/>
        </w:trPr>
        <w:tc>
          <w:tcPr>
            <w:tcW w:type="dxa" w:w="2160"/>
            <w:vAlign w:val="center"/>
          </w:tcPr>
          <w:p>
            <w:pPr>
              <w:spacing w:before="40" w:after="40" w:line="240" w:lineRule="auto"/>
            </w:pPr>
            <w:r>
              <w:rPr>
                <w:b w:val="0"/>
                <w:sz w:val="18"/>
              </w:rPr>
              <w:t>Baseline</w:t>
            </w:r>
          </w:p>
        </w:tc>
        <w:tc>
          <w:tcPr>
            <w:tcW w:type="dxa" w:w="2160"/>
            <w:vAlign w:val="center"/>
          </w:tcPr>
          <w:p>
            <w:pPr>
              <w:spacing w:before="40" w:after="40" w:line="240" w:lineRule="auto"/>
            </w:pPr>
            <w:r>
              <w:rPr>
                <w:b w:val="0"/>
                <w:sz w:val="18"/>
              </w:rPr>
              <w:t>80.49%</w:t>
            </w:r>
          </w:p>
        </w:tc>
        <w:tc>
          <w:tcPr>
            <w:tcW w:type="dxa" w:w="2160"/>
            <w:vAlign w:val="center"/>
          </w:tcPr>
          <w:p>
            <w:pPr>
              <w:spacing w:before="40" w:after="40" w:line="240" w:lineRule="auto"/>
            </w:pPr>
            <w:r>
              <w:rPr>
                <w:b w:val="0"/>
                <w:sz w:val="18"/>
              </w:rPr>
              <w:t>Not tested</w:t>
            </w:r>
          </w:p>
        </w:tc>
        <w:tc>
          <w:tcPr>
            <w:tcW w:type="dxa" w:w="2160"/>
            <w:vAlign w:val="center"/>
          </w:tcPr>
          <w:p>
            <w:pPr>
              <w:spacing w:before="40" w:after="40" w:line="240" w:lineRule="auto"/>
            </w:pPr>
            <w:r>
              <w:rPr>
                <w:b w:val="0"/>
                <w:sz w:val="18"/>
              </w:rPr>
              <w:t>Not tested</w:t>
            </w:r>
          </w:p>
        </w:tc>
      </w:tr>
      <w:tr>
        <w:trPr>
          <w:cantSplit/>
        </w:trPr>
        <w:tc>
          <w:tcPr>
            <w:tcW w:type="dxa" w:w="2160"/>
            <w:vAlign w:val="center"/>
          </w:tcPr>
          <w:p>
            <w:pPr>
              <w:spacing w:before="40" w:after="40" w:line="240" w:lineRule="auto"/>
            </w:pPr>
            <w:r>
              <w:rPr>
                <w:b/>
                <w:sz w:val="18"/>
              </w:rPr>
              <w:t>±30° policy</w:t>
            </w:r>
          </w:p>
        </w:tc>
        <w:tc>
          <w:tcPr>
            <w:tcW w:type="dxa" w:w="2160"/>
            <w:vAlign w:val="center"/>
          </w:tcPr>
          <w:p>
            <w:pPr>
              <w:spacing w:before="40" w:after="40" w:line="240" w:lineRule="auto"/>
            </w:pPr>
            <w:r>
              <w:rPr>
                <w:b/>
                <w:sz w:val="18"/>
              </w:rPr>
              <w:t>82.49%</w:t>
            </w:r>
          </w:p>
        </w:tc>
        <w:tc>
          <w:tcPr>
            <w:tcW w:type="dxa" w:w="2160"/>
            <w:vAlign w:val="center"/>
          </w:tcPr>
          <w:p>
            <w:pPr>
              <w:spacing w:before="40" w:after="40" w:line="240" w:lineRule="auto"/>
            </w:pPr>
            <w:r>
              <w:rPr>
                <w:b/>
                <w:sz w:val="18"/>
              </w:rPr>
              <w:t>83.56%</w:t>
            </w:r>
          </w:p>
        </w:tc>
        <w:tc>
          <w:tcPr>
            <w:tcW w:type="dxa" w:w="2160"/>
            <w:vAlign w:val="center"/>
          </w:tcPr>
          <w:p>
            <w:pPr>
              <w:spacing w:before="40" w:after="40" w:line="240" w:lineRule="auto"/>
            </w:pPr>
            <w:r>
              <w:rPr>
                <w:b/>
                <w:sz w:val="18"/>
              </w:rPr>
              <w:t>83.26%</w:t>
            </w:r>
          </w:p>
        </w:tc>
      </w:tr>
      <w:tr>
        <w:trPr>
          <w:cantSplit/>
        </w:trPr>
        <w:tc>
          <w:tcPr>
            <w:tcW w:type="dxa" w:w="2160"/>
            <w:vAlign w:val="center"/>
          </w:tcPr>
          <w:p>
            <w:pPr>
              <w:spacing w:before="40" w:after="40" w:line="240" w:lineRule="auto"/>
            </w:pPr>
            <w:r>
              <w:rPr>
                <w:b w:val="0"/>
                <w:sz w:val="18"/>
              </w:rPr>
              <w:t>±100° policy</w:t>
            </w:r>
          </w:p>
        </w:tc>
        <w:tc>
          <w:tcPr>
            <w:tcW w:type="dxa" w:w="2160"/>
            <w:vAlign w:val="center"/>
          </w:tcPr>
          <w:p>
            <w:pPr>
              <w:spacing w:before="40" w:after="40" w:line="240" w:lineRule="auto"/>
            </w:pPr>
            <w:r>
              <w:rPr>
                <w:b w:val="0"/>
                <w:sz w:val="18"/>
              </w:rPr>
              <w:t>79.49%</w:t>
            </w:r>
          </w:p>
        </w:tc>
        <w:tc>
          <w:tcPr>
            <w:tcW w:type="dxa" w:w="2160"/>
            <w:vAlign w:val="center"/>
          </w:tcPr>
          <w:p>
            <w:pPr>
              <w:spacing w:before="40" w:after="40" w:line="240" w:lineRule="auto"/>
            </w:pPr>
            <w:r>
              <w:rPr>
                <w:b w:val="0"/>
                <w:sz w:val="18"/>
              </w:rPr>
              <w:t>81.26%</w:t>
            </w:r>
          </w:p>
        </w:tc>
        <w:tc>
          <w:tcPr>
            <w:tcW w:type="dxa" w:w="2160"/>
            <w:vAlign w:val="center"/>
          </w:tcPr>
          <w:p>
            <w:pPr>
              <w:spacing w:before="40" w:after="40" w:line="240" w:lineRule="auto"/>
            </w:pPr>
            <w:r>
              <w:rPr>
                <w:b w:val="0"/>
                <w:sz w:val="18"/>
              </w:rPr>
              <w:t>80.72%</w:t>
            </w:r>
          </w:p>
        </w:tc>
      </w:tr>
      <w:tr>
        <w:trPr>
          <w:cantSplit/>
        </w:trPr>
        <w:tc>
          <w:tcPr>
            <w:tcW w:type="dxa" w:w="2160"/>
            <w:vAlign w:val="center"/>
          </w:tcPr>
          <w:p>
            <w:pPr>
              <w:spacing w:before="40" w:after="40" w:line="240" w:lineRule="auto"/>
            </w:pPr>
            <w:r>
              <w:rPr>
                <w:b w:val="0"/>
                <w:sz w:val="18"/>
              </w:rPr>
              <w:t>±150° policy</w:t>
            </w:r>
          </w:p>
        </w:tc>
        <w:tc>
          <w:tcPr>
            <w:tcW w:type="dxa" w:w="2160"/>
            <w:vAlign w:val="center"/>
          </w:tcPr>
          <w:p>
            <w:pPr>
              <w:spacing w:before="40" w:after="40" w:line="240" w:lineRule="auto"/>
            </w:pPr>
            <w:r>
              <w:rPr>
                <w:b w:val="0"/>
                <w:sz w:val="18"/>
              </w:rPr>
              <w:t>56.30%</w:t>
            </w:r>
          </w:p>
        </w:tc>
        <w:tc>
          <w:tcPr>
            <w:tcW w:type="dxa" w:w="2160"/>
            <w:vAlign w:val="center"/>
          </w:tcPr>
          <w:p>
            <w:pPr>
              <w:spacing w:before="40" w:after="40" w:line="240" w:lineRule="auto"/>
            </w:pPr>
            <w:r>
              <w:rPr>
                <w:b w:val="0"/>
                <w:sz w:val="18"/>
              </w:rPr>
              <w:t>58.06%</w:t>
            </w:r>
          </w:p>
        </w:tc>
        <w:tc>
          <w:tcPr>
            <w:tcW w:type="dxa" w:w="2160"/>
            <w:vAlign w:val="center"/>
          </w:tcPr>
          <w:p>
            <w:pPr>
              <w:spacing w:before="40" w:after="40" w:line="240" w:lineRule="auto"/>
            </w:pPr>
            <w:r>
              <w:rPr>
                <w:b w:val="0"/>
                <w:sz w:val="18"/>
              </w:rPr>
              <w:t>55.99%</w:t>
            </w:r>
          </w:p>
        </w:tc>
      </w:tr>
    </w:tbl>
    <w:p>
      <w:pPr>
        <w:spacing w:after="0" w:before="0"/>
      </w:pPr>
    </w:p>
    <w:p>
      <w:pPr>
        <w:widowControl/>
        <w:spacing w:after="120"/>
      </w:pPr>
      <w:r>
        <w:t>Each model’s checkpoint was selected by its ordinary validation Top-1 during training. All nine model/pooling combinations were then compared on validation; ±30° + mean won at 83.56%. Test scoring followed that choice. Post-hoc logit adjustment was disabled (tau=0).</w:t>
      </w:r>
    </w:p>
    <w:p>
      <w:r>
        <w:br w:type="page"/>
      </w:r>
    </w:p>
    <w:p>
      <w:pPr>
        <w:pStyle w:val="Heading1"/>
        <w:keepNext/>
      </w:pPr>
      <w:r>
        <w:t>4. Loss curves: baseline and all policies</w:t>
      </w:r>
    </w:p>
    <w:p>
      <w:pPr>
        <w:widowControl/>
        <w:spacing w:after="120"/>
      </w:pPr>
      <w:r>
        <w:t>These are the actual logged losses, without smoothing. Both training and validation loss use cross-entropy on ArcFace logits with the training margin. Accuracy and final evaluation use margin-free logits. Loss magnitudes are therefore not the cross-entropy of the final reported probabilities. Checkpoints were chosen by validation accuracy, not minimum loss.</w:t>
      </w:r>
    </w:p>
    <w:p>
      <w:pPr>
        <w:keepNext/>
        <w:spacing w:after="40"/>
        <w:jc w:val="center"/>
      </w:pPr>
      <w:r>
        <w:drawing>
          <wp:inline xmlns:a="http://schemas.openxmlformats.org/drawingml/2006/main" xmlns:pic="http://schemas.openxmlformats.org/drawingml/2006/picture">
            <wp:extent cx="5486400" cy="2468880"/>
            <wp:docPr id="1" name="Picture 1" descr="Figure 1. Training loss under the same 30-epoch budget; inputs differ by policy."/>
            <wp:cNvGraphicFramePr>
              <a:graphicFrameLocks noChangeAspect="1"/>
            </wp:cNvGraphicFramePr>
            <a:graphic>
              <a:graphicData uri="http://schemas.openxmlformats.org/drawingml/2006/picture">
                <pic:pic>
                  <pic:nvPicPr>
                    <pic:cNvPr id="0" name="training_loss.png"/>
                    <pic:cNvPicPr/>
                  </pic:nvPicPr>
                  <pic:blipFill>
                    <a:blip r:embed="rId10"/>
                    <a:stretch>
                      <a:fillRect/>
                    </a:stretch>
                  </pic:blipFill>
                  <pic:spPr>
                    <a:xfrm>
                      <a:off x="0" y="0"/>
                      <a:ext cx="5486400" cy="2468880"/>
                    </a:xfrm>
                    <a:prstGeom prst="rect"/>
                  </pic:spPr>
                </pic:pic>
              </a:graphicData>
            </a:graphic>
          </wp:inline>
        </w:drawing>
      </w:r>
    </w:p>
    <w:p>
      <w:pPr>
        <w:pStyle w:val="Caption"/>
        <w:keepNext w:val="0"/>
        <w:spacing w:after="160"/>
      </w:pPr>
      <w:r>
        <w:t>Figure 2. Training loss under the same 30-epoch budget; inputs differ by policy.</w:t>
      </w:r>
    </w:p>
    <w:p>
      <w:pPr>
        <w:keepNext/>
        <w:spacing w:after="40"/>
        <w:jc w:val="center"/>
      </w:pPr>
      <w:r>
        <w:drawing>
          <wp:inline xmlns:a="http://schemas.openxmlformats.org/drawingml/2006/main" xmlns:pic="http://schemas.openxmlformats.org/drawingml/2006/picture">
            <wp:extent cx="5486400" cy="2468880"/>
            <wp:docPr id="2" name="Picture 2" descr="Figure 2. Validation loss on the common unaugmented validation split."/>
            <wp:cNvGraphicFramePr>
              <a:graphicFrameLocks noChangeAspect="1"/>
            </wp:cNvGraphicFramePr>
            <a:graphic>
              <a:graphicData uri="http://schemas.openxmlformats.org/drawingml/2006/picture">
                <pic:pic>
                  <pic:nvPicPr>
                    <pic:cNvPr id="0" name="validation_loss.png"/>
                    <pic:cNvPicPr/>
                  </pic:nvPicPr>
                  <pic:blipFill>
                    <a:blip r:embed="rId11"/>
                    <a:stretch>
                      <a:fillRect/>
                    </a:stretch>
                  </pic:blipFill>
                  <pic:spPr>
                    <a:xfrm>
                      <a:off x="0" y="0"/>
                      <a:ext cx="5486400" cy="2468880"/>
                    </a:xfrm>
                    <a:prstGeom prst="rect"/>
                  </pic:spPr>
                </pic:pic>
              </a:graphicData>
            </a:graphic>
          </wp:inline>
        </w:drawing>
      </w:r>
    </w:p>
    <w:p>
      <w:pPr>
        <w:pStyle w:val="Caption"/>
        <w:keepNext w:val="0"/>
        <w:spacing w:after="160"/>
      </w:pPr>
      <w:r>
        <w:t>Figure 3. Validation loss on the common unaugmented validation split.</w:t>
      </w:r>
    </w:p>
    <w:p>
      <w:r>
        <w:br w:type="page"/>
      </w:r>
    </w:p>
    <w:p>
      <w:pPr>
        <w:pStyle w:val="Heading1"/>
        <w:keepNext/>
      </w:pPr>
      <w:r>
        <w:t>5. Loss curves for each new policy</w:t>
      </w:r>
    </w:p>
    <w:p>
      <w:pPr>
        <w:widowControl/>
        <w:spacing w:after="120"/>
      </w:pPr>
      <w:r>
        <w:t>Dotted grey is baseline validation loss. Vertical dashed lines mark the checkpoint chosen by validation Top-1. All three panels use the same loss range.</w:t>
      </w:r>
    </w:p>
    <w:p>
      <w:pPr>
        <w:keepNext/>
        <w:spacing w:after="40"/>
        <w:jc w:val="center"/>
      </w:pPr>
      <w:r>
        <w:drawing>
          <wp:inline xmlns:a="http://schemas.openxmlformats.org/drawingml/2006/main" xmlns:pic="http://schemas.openxmlformats.org/drawingml/2006/picture">
            <wp:extent cx="5486400" cy="1965960"/>
            <wp:docPr id="3" name="Picture 3" descr="Figure 3. ±30° policy: training and validation loss; best epoch 29."/>
            <wp:cNvGraphicFramePr>
              <a:graphicFrameLocks noChangeAspect="1"/>
            </wp:cNvGraphicFramePr>
            <a:graphic>
              <a:graphicData uri="http://schemas.openxmlformats.org/drawingml/2006/picture">
                <pic:pic>
                  <pic:nvPicPr>
                    <pic:cNvPr id="0" name="rot30_loss.png"/>
                    <pic:cNvPicPr/>
                  </pic:nvPicPr>
                  <pic:blipFill>
                    <a:blip r:embed="rId12"/>
                    <a:stretch>
                      <a:fillRect/>
                    </a:stretch>
                  </pic:blipFill>
                  <pic:spPr>
                    <a:xfrm>
                      <a:off x="0" y="0"/>
                      <a:ext cx="5486400" cy="1965960"/>
                    </a:xfrm>
                    <a:prstGeom prst="rect"/>
                  </pic:spPr>
                </pic:pic>
              </a:graphicData>
            </a:graphic>
          </wp:inline>
        </w:drawing>
      </w:r>
    </w:p>
    <w:p>
      <w:pPr>
        <w:pStyle w:val="Caption"/>
        <w:keepNext w:val="0"/>
        <w:spacing w:after="160"/>
      </w:pPr>
      <w:r>
        <w:t>Figure 4. ±30° policy: training and validation loss; best epoch 29.</w:t>
      </w:r>
    </w:p>
    <w:p>
      <w:pPr>
        <w:keepNext/>
        <w:spacing w:after="40"/>
        <w:jc w:val="center"/>
      </w:pPr>
      <w:r>
        <w:drawing>
          <wp:inline xmlns:a="http://schemas.openxmlformats.org/drawingml/2006/main" xmlns:pic="http://schemas.openxmlformats.org/drawingml/2006/picture">
            <wp:extent cx="5486400" cy="1965960"/>
            <wp:docPr id="4" name="Picture 4" descr="Figure 4. ±100° policy: training and validation loss; best epoch 30."/>
            <wp:cNvGraphicFramePr>
              <a:graphicFrameLocks noChangeAspect="1"/>
            </wp:cNvGraphicFramePr>
            <a:graphic>
              <a:graphicData uri="http://schemas.openxmlformats.org/drawingml/2006/picture">
                <pic:pic>
                  <pic:nvPicPr>
                    <pic:cNvPr id="0" name="rot100_loss.png"/>
                    <pic:cNvPicPr/>
                  </pic:nvPicPr>
                  <pic:blipFill>
                    <a:blip r:embed="rId13"/>
                    <a:stretch>
                      <a:fillRect/>
                    </a:stretch>
                  </pic:blipFill>
                  <pic:spPr>
                    <a:xfrm>
                      <a:off x="0" y="0"/>
                      <a:ext cx="5486400" cy="1965960"/>
                    </a:xfrm>
                    <a:prstGeom prst="rect"/>
                  </pic:spPr>
                </pic:pic>
              </a:graphicData>
            </a:graphic>
          </wp:inline>
        </w:drawing>
      </w:r>
    </w:p>
    <w:p>
      <w:pPr>
        <w:pStyle w:val="Caption"/>
        <w:keepNext w:val="0"/>
        <w:spacing w:after="160"/>
      </w:pPr>
      <w:r>
        <w:t>Figure 5. ±100° policy: training and validation loss; best epoch 30.</w:t>
      </w:r>
    </w:p>
    <w:p>
      <w:pPr>
        <w:keepNext/>
        <w:spacing w:after="40"/>
        <w:jc w:val="center"/>
      </w:pPr>
      <w:r>
        <w:drawing>
          <wp:inline xmlns:a="http://schemas.openxmlformats.org/drawingml/2006/main" xmlns:pic="http://schemas.openxmlformats.org/drawingml/2006/picture">
            <wp:extent cx="5486400" cy="1965960"/>
            <wp:docPr id="5" name="Picture 5" descr="Figure 5. ±150° policy: training and validation loss; best epoch 30."/>
            <wp:cNvGraphicFramePr>
              <a:graphicFrameLocks noChangeAspect="1"/>
            </wp:cNvGraphicFramePr>
            <a:graphic>
              <a:graphicData uri="http://schemas.openxmlformats.org/drawingml/2006/picture">
                <pic:pic>
                  <pic:nvPicPr>
                    <pic:cNvPr id="0" name="rot150_loss.png"/>
                    <pic:cNvPicPr/>
                  </pic:nvPicPr>
                  <pic:blipFill>
                    <a:blip r:embed="rId14"/>
                    <a:stretch>
                      <a:fillRect/>
                    </a:stretch>
                  </pic:blipFill>
                  <pic:spPr>
                    <a:xfrm>
                      <a:off x="0" y="0"/>
                      <a:ext cx="5486400" cy="1965960"/>
                    </a:xfrm>
                    <a:prstGeom prst="rect"/>
                  </pic:spPr>
                </pic:pic>
              </a:graphicData>
            </a:graphic>
          </wp:inline>
        </w:drawing>
      </w:r>
    </w:p>
    <w:p>
      <w:pPr>
        <w:pStyle w:val="Caption"/>
        <w:keepNext w:val="0"/>
        <w:spacing w:after="160"/>
      </w:pPr>
      <w:r>
        <w:t>Figure 6. ±150° policy: training and validation loss; best epoch 30.</w:t>
      </w:r>
    </w:p>
    <w:p>
      <w:r>
        <w:br w:type="page"/>
      </w:r>
    </w:p>
    <w:p>
      <w:pPr>
        <w:pStyle w:val="Heading1"/>
        <w:keepNext/>
      </w:pPr>
      <w:r>
        <w:t>6. Learning behaviour and interpretation</w:t>
      </w:r>
    </w:p>
    <w:tbl>
      <w:tblPr>
        <w:tblStyle w:val="LightGrid-Accent1"/>
        <w:tblW w:type="auto" w:w="0"/>
        <w:jc w:val="center"/>
        <w:tblLayout w:type="fixed"/>
        <w:tblLook w:firstColumn="1" w:firstRow="1" w:lastColumn="0" w:lastRow="0" w:noHBand="0" w:noVBand="1" w:val="04A0"/>
      </w:tblPr>
      <w:tblGrid>
        <w:gridCol w:w="2016"/>
        <w:gridCol w:w="1152"/>
        <w:gridCol w:w="1944"/>
        <w:gridCol w:w="1944"/>
        <w:gridCol w:w="1584"/>
      </w:tblGrid>
      <w:tr>
        <w:trPr>
          <w:cantSplit/>
          <w:tblHeader/>
        </w:trPr>
        <w:tc>
          <w:tcPr>
            <w:tcW w:type="dxa" w:w="2016"/>
            <w:vAlign w:val="center"/>
          </w:tcPr>
          <w:p>
            <w:pPr>
              <w:spacing w:before="40" w:after="40" w:line="240" w:lineRule="auto"/>
            </w:pPr>
            <w:r>
              <w:rPr>
                <w:b/>
                <w:sz w:val="18"/>
              </w:rPr>
              <w:t>Policy</w:t>
            </w:r>
          </w:p>
        </w:tc>
        <w:tc>
          <w:tcPr>
            <w:tcW w:type="dxa" w:w="1152"/>
            <w:vAlign w:val="center"/>
          </w:tcPr>
          <w:p>
            <w:pPr>
              <w:spacing w:before="40" w:after="40" w:line="240" w:lineRule="auto"/>
            </w:pPr>
            <w:r>
              <w:rPr>
                <w:b/>
                <w:sz w:val="18"/>
              </w:rPr>
              <w:t>Best epoch</w:t>
            </w:r>
          </w:p>
        </w:tc>
        <w:tc>
          <w:tcPr>
            <w:tcW w:type="dxa" w:w="1944"/>
            <w:vAlign w:val="center"/>
          </w:tcPr>
          <w:p>
            <w:pPr>
              <w:spacing w:before="40" w:after="40" w:line="240" w:lineRule="auto"/>
            </w:pPr>
            <w:r>
              <w:rPr>
                <w:b/>
                <w:sz w:val="18"/>
              </w:rPr>
              <w:t>Best validation Top-1</w:t>
            </w:r>
          </w:p>
        </w:tc>
        <w:tc>
          <w:tcPr>
            <w:tcW w:type="dxa" w:w="1944"/>
            <w:vAlign w:val="center"/>
          </w:tcPr>
          <w:p>
            <w:pPr>
              <w:spacing w:before="40" w:after="40" w:line="240" w:lineRule="auto"/>
            </w:pPr>
            <w:r>
              <w:rPr>
                <w:b/>
                <w:sz w:val="18"/>
              </w:rPr>
              <w:t>Final training Top-1</w:t>
            </w:r>
          </w:p>
        </w:tc>
        <w:tc>
          <w:tcPr>
            <w:tcW w:type="dxa" w:w="1584"/>
            <w:vAlign w:val="center"/>
          </w:tcPr>
          <w:p>
            <w:pPr>
              <w:spacing w:before="40" w:after="40" w:line="240" w:lineRule="auto"/>
            </w:pPr>
            <w:r>
              <w:rPr>
                <w:b/>
                <w:sz w:val="18"/>
              </w:rPr>
              <w:t>Final training loss</w:t>
            </w:r>
          </w:p>
        </w:tc>
      </w:tr>
      <w:tr>
        <w:trPr>
          <w:cantSplit/>
        </w:trPr>
        <w:tc>
          <w:tcPr>
            <w:tcW w:type="dxa" w:w="2016"/>
            <w:vAlign w:val="center"/>
          </w:tcPr>
          <w:p>
            <w:pPr>
              <w:spacing w:before="40" w:after="40" w:line="240" w:lineRule="auto"/>
            </w:pPr>
            <w:r>
              <w:rPr>
                <w:b w:val="0"/>
                <w:sz w:val="18"/>
              </w:rPr>
              <w:t>Baseline</w:t>
            </w:r>
          </w:p>
        </w:tc>
        <w:tc>
          <w:tcPr>
            <w:tcW w:type="dxa" w:w="1152"/>
            <w:vAlign w:val="center"/>
          </w:tcPr>
          <w:p>
            <w:pPr>
              <w:spacing w:before="40" w:after="40" w:line="240" w:lineRule="auto"/>
            </w:pPr>
            <w:r>
              <w:rPr>
                <w:b w:val="0"/>
                <w:sz w:val="18"/>
              </w:rPr>
              <w:t>28</w:t>
            </w:r>
          </w:p>
        </w:tc>
        <w:tc>
          <w:tcPr>
            <w:tcW w:type="dxa" w:w="1944"/>
            <w:vAlign w:val="center"/>
          </w:tcPr>
          <w:p>
            <w:pPr>
              <w:spacing w:before="40" w:after="40" w:line="240" w:lineRule="auto"/>
            </w:pPr>
            <w:r>
              <w:rPr>
                <w:b w:val="0"/>
                <w:sz w:val="18"/>
              </w:rPr>
              <w:t>80.49%</w:t>
            </w:r>
          </w:p>
        </w:tc>
        <w:tc>
          <w:tcPr>
            <w:tcW w:type="dxa" w:w="1944"/>
            <w:vAlign w:val="center"/>
          </w:tcPr>
          <w:p>
            <w:pPr>
              <w:spacing w:before="40" w:after="40" w:line="240" w:lineRule="auto"/>
            </w:pPr>
            <w:r>
              <w:rPr>
                <w:b w:val="0"/>
                <w:sz w:val="18"/>
              </w:rPr>
              <w:t>99.79%</w:t>
            </w:r>
          </w:p>
        </w:tc>
        <w:tc>
          <w:tcPr>
            <w:tcW w:type="dxa" w:w="1584"/>
            <w:vAlign w:val="center"/>
          </w:tcPr>
          <w:p>
            <w:pPr>
              <w:spacing w:before="40" w:after="40" w:line="240" w:lineRule="auto"/>
            </w:pPr>
            <w:r>
              <w:rPr>
                <w:b w:val="0"/>
                <w:sz w:val="18"/>
              </w:rPr>
              <w:t>0.096</w:t>
            </w:r>
          </w:p>
        </w:tc>
      </w:tr>
      <w:tr>
        <w:trPr>
          <w:cantSplit/>
        </w:trPr>
        <w:tc>
          <w:tcPr>
            <w:tcW w:type="dxa" w:w="2016"/>
            <w:vAlign w:val="center"/>
          </w:tcPr>
          <w:p>
            <w:pPr>
              <w:spacing w:before="40" w:after="40" w:line="240" w:lineRule="auto"/>
            </w:pPr>
            <w:r>
              <w:rPr>
                <w:b w:val="0"/>
                <w:sz w:val="18"/>
              </w:rPr>
              <w:t>±30° policy</w:t>
            </w:r>
          </w:p>
        </w:tc>
        <w:tc>
          <w:tcPr>
            <w:tcW w:type="dxa" w:w="1152"/>
            <w:vAlign w:val="center"/>
          </w:tcPr>
          <w:p>
            <w:pPr>
              <w:spacing w:before="40" w:after="40" w:line="240" w:lineRule="auto"/>
            </w:pPr>
            <w:r>
              <w:rPr>
                <w:b w:val="0"/>
                <w:sz w:val="18"/>
              </w:rPr>
              <w:t>29</w:t>
            </w:r>
          </w:p>
        </w:tc>
        <w:tc>
          <w:tcPr>
            <w:tcW w:type="dxa" w:w="1944"/>
            <w:vAlign w:val="center"/>
          </w:tcPr>
          <w:p>
            <w:pPr>
              <w:spacing w:before="40" w:after="40" w:line="240" w:lineRule="auto"/>
            </w:pPr>
            <w:r>
              <w:rPr>
                <w:b w:val="0"/>
                <w:sz w:val="18"/>
              </w:rPr>
              <w:t>82.49%</w:t>
            </w:r>
          </w:p>
        </w:tc>
        <w:tc>
          <w:tcPr>
            <w:tcW w:type="dxa" w:w="1944"/>
            <w:vAlign w:val="center"/>
          </w:tcPr>
          <w:p>
            <w:pPr>
              <w:spacing w:before="40" w:after="40" w:line="240" w:lineRule="auto"/>
            </w:pPr>
            <w:r>
              <w:rPr>
                <w:b w:val="0"/>
                <w:sz w:val="18"/>
              </w:rPr>
              <w:t>99.82%</w:t>
            </w:r>
          </w:p>
        </w:tc>
        <w:tc>
          <w:tcPr>
            <w:tcW w:type="dxa" w:w="1584"/>
            <w:vAlign w:val="center"/>
          </w:tcPr>
          <w:p>
            <w:pPr>
              <w:spacing w:before="40" w:after="40" w:line="240" w:lineRule="auto"/>
            </w:pPr>
            <w:r>
              <w:rPr>
                <w:b w:val="0"/>
                <w:sz w:val="18"/>
              </w:rPr>
              <w:t>0.153</w:t>
            </w:r>
          </w:p>
        </w:tc>
      </w:tr>
      <w:tr>
        <w:trPr>
          <w:cantSplit/>
        </w:trPr>
        <w:tc>
          <w:tcPr>
            <w:tcW w:type="dxa" w:w="2016"/>
            <w:vAlign w:val="center"/>
          </w:tcPr>
          <w:p>
            <w:pPr>
              <w:spacing w:before="40" w:after="40" w:line="240" w:lineRule="auto"/>
            </w:pPr>
            <w:r>
              <w:rPr>
                <w:b w:val="0"/>
                <w:sz w:val="18"/>
              </w:rPr>
              <w:t>±100° policy</w:t>
            </w:r>
          </w:p>
        </w:tc>
        <w:tc>
          <w:tcPr>
            <w:tcW w:type="dxa" w:w="1152"/>
            <w:vAlign w:val="center"/>
          </w:tcPr>
          <w:p>
            <w:pPr>
              <w:spacing w:before="40" w:after="40" w:line="240" w:lineRule="auto"/>
            </w:pPr>
            <w:r>
              <w:rPr>
                <w:b w:val="0"/>
                <w:sz w:val="18"/>
              </w:rPr>
              <w:t>30</w:t>
            </w:r>
          </w:p>
        </w:tc>
        <w:tc>
          <w:tcPr>
            <w:tcW w:type="dxa" w:w="1944"/>
            <w:vAlign w:val="center"/>
          </w:tcPr>
          <w:p>
            <w:pPr>
              <w:spacing w:before="40" w:after="40" w:line="240" w:lineRule="auto"/>
            </w:pPr>
            <w:r>
              <w:rPr>
                <w:b w:val="0"/>
                <w:sz w:val="18"/>
              </w:rPr>
              <w:t>79.49%</w:t>
            </w:r>
          </w:p>
        </w:tc>
        <w:tc>
          <w:tcPr>
            <w:tcW w:type="dxa" w:w="1944"/>
            <w:vAlign w:val="center"/>
          </w:tcPr>
          <w:p>
            <w:pPr>
              <w:spacing w:before="40" w:after="40" w:line="240" w:lineRule="auto"/>
            </w:pPr>
            <w:r>
              <w:rPr>
                <w:b w:val="0"/>
                <w:sz w:val="18"/>
              </w:rPr>
              <w:t>96.83%</w:t>
            </w:r>
          </w:p>
        </w:tc>
        <w:tc>
          <w:tcPr>
            <w:tcW w:type="dxa" w:w="1584"/>
            <w:vAlign w:val="center"/>
          </w:tcPr>
          <w:p>
            <w:pPr>
              <w:spacing w:before="40" w:after="40" w:line="240" w:lineRule="auto"/>
            </w:pPr>
            <w:r>
              <w:rPr>
                <w:b w:val="0"/>
                <w:sz w:val="18"/>
              </w:rPr>
              <w:t>2.191</w:t>
            </w:r>
          </w:p>
        </w:tc>
      </w:tr>
      <w:tr>
        <w:trPr>
          <w:cantSplit/>
        </w:trPr>
        <w:tc>
          <w:tcPr>
            <w:tcW w:type="dxa" w:w="2016"/>
            <w:vAlign w:val="center"/>
          </w:tcPr>
          <w:p>
            <w:pPr>
              <w:spacing w:before="40" w:after="40" w:line="240" w:lineRule="auto"/>
            </w:pPr>
            <w:r>
              <w:rPr>
                <w:b w:val="0"/>
                <w:sz w:val="18"/>
              </w:rPr>
              <w:t>±150° policy</w:t>
            </w:r>
          </w:p>
        </w:tc>
        <w:tc>
          <w:tcPr>
            <w:tcW w:type="dxa" w:w="1152"/>
            <w:vAlign w:val="center"/>
          </w:tcPr>
          <w:p>
            <w:pPr>
              <w:spacing w:before="40" w:after="40" w:line="240" w:lineRule="auto"/>
            </w:pPr>
            <w:r>
              <w:rPr>
                <w:b w:val="0"/>
                <w:sz w:val="18"/>
              </w:rPr>
              <w:t>30</w:t>
            </w:r>
          </w:p>
        </w:tc>
        <w:tc>
          <w:tcPr>
            <w:tcW w:type="dxa" w:w="1944"/>
            <w:vAlign w:val="center"/>
          </w:tcPr>
          <w:p>
            <w:pPr>
              <w:spacing w:before="40" w:after="40" w:line="240" w:lineRule="auto"/>
            </w:pPr>
            <w:r>
              <w:rPr>
                <w:b w:val="0"/>
                <w:sz w:val="18"/>
              </w:rPr>
              <w:t>56.30%</w:t>
            </w:r>
          </w:p>
        </w:tc>
        <w:tc>
          <w:tcPr>
            <w:tcW w:type="dxa" w:w="1944"/>
            <w:vAlign w:val="center"/>
          </w:tcPr>
          <w:p>
            <w:pPr>
              <w:spacing w:before="40" w:after="40" w:line="240" w:lineRule="auto"/>
            </w:pPr>
            <w:r>
              <w:rPr>
                <w:b w:val="0"/>
                <w:sz w:val="18"/>
              </w:rPr>
              <w:t>59.29%</w:t>
            </w:r>
          </w:p>
        </w:tc>
        <w:tc>
          <w:tcPr>
            <w:tcW w:type="dxa" w:w="1584"/>
            <w:vAlign w:val="center"/>
          </w:tcPr>
          <w:p>
            <w:pPr>
              <w:spacing w:before="40" w:after="40" w:line="240" w:lineRule="auto"/>
            </w:pPr>
            <w:r>
              <w:rPr>
                <w:b w:val="0"/>
                <w:sz w:val="18"/>
              </w:rPr>
              <w:t>9.456</w:t>
            </w:r>
          </w:p>
        </w:tc>
      </w:tr>
    </w:tbl>
    <w:p>
      <w:pPr>
        <w:spacing w:after="0" w:before="0"/>
      </w:pPr>
    </w:p>
    <w:p>
      <w:pPr>
        <w:keepNext/>
        <w:spacing w:after="40"/>
        <w:jc w:val="center"/>
      </w:pPr>
      <w:r>
        <w:drawing>
          <wp:inline xmlns:a="http://schemas.openxmlformats.org/drawingml/2006/main" xmlns:pic="http://schemas.openxmlformats.org/drawingml/2006/picture">
            <wp:extent cx="5486400" cy="2468880"/>
            <wp:docPr id="6" name="Picture 6" descr="Figure 6. Margin-free single-image validation accuracy; TTA is scored after training."/>
            <wp:cNvGraphicFramePr>
              <a:graphicFrameLocks noChangeAspect="1"/>
            </wp:cNvGraphicFramePr>
            <a:graphic>
              <a:graphicData uri="http://schemas.openxmlformats.org/drawingml/2006/picture">
                <pic:pic>
                  <pic:nvPicPr>
                    <pic:cNvPr id="0" name="validation_accuracy.png"/>
                    <pic:cNvPicPr/>
                  </pic:nvPicPr>
                  <pic:blipFill>
                    <a:blip r:embed="rId15"/>
                    <a:stretch>
                      <a:fillRect/>
                    </a:stretch>
                  </pic:blipFill>
                  <pic:spPr>
                    <a:xfrm>
                      <a:off x="0" y="0"/>
                      <a:ext cx="5486400" cy="2468880"/>
                    </a:xfrm>
                    <a:prstGeom prst="rect"/>
                  </pic:spPr>
                </pic:pic>
              </a:graphicData>
            </a:graphic>
          </wp:inline>
        </w:drawing>
      </w:r>
    </w:p>
    <w:p>
      <w:pPr>
        <w:pStyle w:val="Caption"/>
        <w:keepNext w:val="0"/>
        <w:spacing w:after="160"/>
      </w:pPr>
      <w:r>
        <w:t>Figure 7. Margin-free single-image validation accuracy; TTA is scored after training.</w:t>
      </w:r>
    </w:p>
    <w:p>
      <w:pPr>
        <w:pStyle w:val="ListBullet"/>
        <w:spacing w:after="80"/>
      </w:pPr>
      <w:r>
        <w:rPr>
          <w:b/>
        </w:rPr>
        <w:t xml:space="preserve">Moderate augmentation helped. </w:t>
      </w:r>
      <w:r>
        <w:t>The ±30° policy improved single-image validation and test scores. Its lower validation loss is consistent with the measured identification gain.</w:t>
      </w:r>
    </w:p>
    <w:p>
      <w:pPr>
        <w:pStyle w:val="ListBullet"/>
        <w:spacing w:after="80"/>
      </w:pPr>
      <w:r>
        <w:rPr>
          <w:b/>
        </w:rPr>
        <w:t xml:space="preserve">The strongest policy struggled. </w:t>
      </w:r>
      <w:r>
        <w:t>The ±150° model finished at 59.29% accuracy on its augmented training batches and 56.30% validation accuracy. It was struggling with that training task at the chosen budget, rather than simply fitting it perfectly and failing to generalize.</w:t>
      </w:r>
    </w:p>
    <w:p>
      <w:pPr>
        <w:pStyle w:val="ListBullet"/>
        <w:spacing w:after="80"/>
      </w:pPr>
      <w:r>
        <w:rPr>
          <w:b/>
        </w:rPr>
        <w:t xml:space="preserve">Mechanism remains an interpretation. </w:t>
      </w:r>
      <w:r>
        <w:t>Large rotations with zoom/translation can move useful facial regions out of the crop; blur, noise and erasing may obscure the remaining identity cues. Several factors changed together, so the experiment does not isolate a causal operation. Training accuracy also measures inputs of different difficulty across policies.</w:t>
      </w:r>
    </w:p>
    <w:p>
      <w:r>
        <w:br w:type="page"/>
      </w:r>
    </w:p>
    <w:p>
      <w:pPr>
        <w:pStyle w:val="Heading1"/>
        <w:keepNext/>
      </w:pPr>
      <w:r>
        <w:t>7. Per-class results and reproducibility</w:t>
      </w:r>
    </w:p>
    <w:p>
      <w:pPr>
        <w:widowControl/>
        <w:spacing w:after="120"/>
      </w:pPr>
      <w:r>
        <w:t>For the selected ±30° + mean model, macro precision is 84.54% and macro recall is 82.92%. Overall improvement does not imply that every individual improved. The five lowest-recall identities are shown below.</w:t>
      </w:r>
    </w:p>
    <w:tbl>
      <w:tblPr>
        <w:tblStyle w:val="LightGrid-Accent1"/>
        <w:tblW w:type="auto" w:w="0"/>
        <w:jc w:val="center"/>
        <w:tblLayout w:type="fixed"/>
        <w:tblLook w:firstColumn="1" w:firstRow="1" w:lastColumn="0" w:lastRow="0" w:noHBand="0" w:noVBand="1" w:val="04A0"/>
      </w:tblPr>
      <w:tblGrid>
        <w:gridCol w:w="2592"/>
        <w:gridCol w:w="1440"/>
        <w:gridCol w:w="2592"/>
        <w:gridCol w:w="2016"/>
      </w:tblGrid>
      <w:tr>
        <w:trPr>
          <w:cantSplit/>
          <w:tblHeader/>
        </w:trPr>
        <w:tc>
          <w:tcPr>
            <w:tcW w:type="dxa" w:w="2592"/>
            <w:vAlign w:val="center"/>
          </w:tcPr>
          <w:p>
            <w:pPr>
              <w:spacing w:before="40" w:after="40" w:line="240" w:lineRule="auto"/>
            </w:pPr>
            <w:r>
              <w:rPr>
                <w:b/>
                <w:sz w:val="18"/>
              </w:rPr>
              <w:t>Identity</w:t>
            </w:r>
          </w:p>
        </w:tc>
        <w:tc>
          <w:tcPr>
            <w:tcW w:type="dxa" w:w="1440"/>
            <w:vAlign w:val="center"/>
          </w:tcPr>
          <w:p>
            <w:pPr>
              <w:spacing w:before="40" w:after="40" w:line="240" w:lineRule="auto"/>
            </w:pPr>
            <w:r>
              <w:rPr>
                <w:b/>
                <w:sz w:val="18"/>
              </w:rPr>
              <w:t>Test images</w:t>
            </w:r>
          </w:p>
        </w:tc>
        <w:tc>
          <w:tcPr>
            <w:tcW w:type="dxa" w:w="2592"/>
            <w:vAlign w:val="center"/>
          </w:tcPr>
          <w:p>
            <w:pPr>
              <w:spacing w:before="40" w:after="40" w:line="240" w:lineRule="auto"/>
            </w:pPr>
            <w:r>
              <w:rPr>
                <w:b/>
                <w:sz w:val="18"/>
              </w:rPr>
              <w:t>Recall / accuracy</w:t>
            </w:r>
          </w:p>
        </w:tc>
        <w:tc>
          <w:tcPr>
            <w:tcW w:type="dxa" w:w="2016"/>
            <w:vAlign w:val="center"/>
          </w:tcPr>
          <w:p>
            <w:pPr>
              <w:spacing w:before="40" w:after="40" w:line="240" w:lineRule="auto"/>
            </w:pPr>
            <w:r>
              <w:rPr>
                <w:b/>
                <w:sz w:val="18"/>
              </w:rPr>
              <w:t>F1</w:t>
            </w:r>
          </w:p>
        </w:tc>
      </w:tr>
      <w:tr>
        <w:trPr>
          <w:cantSplit/>
        </w:trPr>
        <w:tc>
          <w:tcPr>
            <w:tcW w:type="dxa" w:w="2592"/>
            <w:vAlign w:val="center"/>
          </w:tcPr>
          <w:p>
            <w:pPr>
              <w:spacing w:before="40" w:after="40" w:line="240" w:lineRule="auto"/>
            </w:pPr>
            <w:r>
              <w:rPr>
                <w:b w:val="0"/>
                <w:sz w:val="18"/>
              </w:rPr>
              <w:t>Caro</w:t>
            </w:r>
          </w:p>
        </w:tc>
        <w:tc>
          <w:tcPr>
            <w:tcW w:type="dxa" w:w="1440"/>
            <w:vAlign w:val="center"/>
          </w:tcPr>
          <w:p>
            <w:pPr>
              <w:spacing w:before="40" w:after="40" w:line="240" w:lineRule="auto"/>
            </w:pPr>
            <w:r>
              <w:rPr>
                <w:b w:val="0"/>
                <w:sz w:val="18"/>
              </w:rPr>
              <w:t>3</w:t>
            </w:r>
          </w:p>
        </w:tc>
        <w:tc>
          <w:tcPr>
            <w:tcW w:type="dxa" w:w="2592"/>
            <w:vAlign w:val="center"/>
          </w:tcPr>
          <w:p>
            <w:pPr>
              <w:spacing w:before="40" w:after="40" w:line="240" w:lineRule="auto"/>
            </w:pPr>
            <w:r>
              <w:rPr>
                <w:b w:val="0"/>
                <w:sz w:val="18"/>
              </w:rPr>
              <w:t>0.00%</w:t>
            </w:r>
          </w:p>
        </w:tc>
        <w:tc>
          <w:tcPr>
            <w:tcW w:type="dxa" w:w="2016"/>
            <w:vAlign w:val="center"/>
          </w:tcPr>
          <w:p>
            <w:pPr>
              <w:spacing w:before="40" w:after="40" w:line="240" w:lineRule="auto"/>
            </w:pPr>
            <w:r>
              <w:rPr>
                <w:b w:val="0"/>
                <w:sz w:val="18"/>
              </w:rPr>
              <w:t>0.0000</w:t>
            </w:r>
          </w:p>
        </w:tc>
      </w:tr>
      <w:tr>
        <w:trPr>
          <w:cantSplit/>
        </w:trPr>
        <w:tc>
          <w:tcPr>
            <w:tcW w:type="dxa" w:w="2592"/>
            <w:vAlign w:val="center"/>
          </w:tcPr>
          <w:p>
            <w:pPr>
              <w:spacing w:before="40" w:after="40" w:line="240" w:lineRule="auto"/>
            </w:pPr>
            <w:r>
              <w:rPr>
                <w:b w:val="0"/>
                <w:sz w:val="18"/>
              </w:rPr>
              <w:t>Racoon</w:t>
            </w:r>
          </w:p>
        </w:tc>
        <w:tc>
          <w:tcPr>
            <w:tcW w:type="dxa" w:w="1440"/>
            <w:vAlign w:val="center"/>
          </w:tcPr>
          <w:p>
            <w:pPr>
              <w:spacing w:before="40" w:after="40" w:line="240" w:lineRule="auto"/>
            </w:pPr>
            <w:r>
              <w:rPr>
                <w:b w:val="0"/>
                <w:sz w:val="18"/>
              </w:rPr>
              <w:t>4</w:t>
            </w:r>
          </w:p>
        </w:tc>
        <w:tc>
          <w:tcPr>
            <w:tcW w:type="dxa" w:w="2592"/>
            <w:vAlign w:val="center"/>
          </w:tcPr>
          <w:p>
            <w:pPr>
              <w:spacing w:before="40" w:after="40" w:line="240" w:lineRule="auto"/>
            </w:pPr>
            <w:r>
              <w:rPr>
                <w:b w:val="0"/>
                <w:sz w:val="18"/>
              </w:rPr>
              <w:t>25.00%</w:t>
            </w:r>
          </w:p>
        </w:tc>
        <w:tc>
          <w:tcPr>
            <w:tcW w:type="dxa" w:w="2016"/>
            <w:vAlign w:val="center"/>
          </w:tcPr>
          <w:p>
            <w:pPr>
              <w:spacing w:before="40" w:after="40" w:line="240" w:lineRule="auto"/>
            </w:pPr>
            <w:r>
              <w:rPr>
                <w:b w:val="0"/>
                <w:sz w:val="18"/>
              </w:rPr>
              <w:t>0.4000</w:t>
            </w:r>
          </w:p>
        </w:tc>
      </w:tr>
      <w:tr>
        <w:trPr>
          <w:cantSplit/>
        </w:trPr>
        <w:tc>
          <w:tcPr>
            <w:tcW w:type="dxa" w:w="2592"/>
            <w:vAlign w:val="center"/>
          </w:tcPr>
          <w:p>
            <w:pPr>
              <w:spacing w:before="40" w:after="40" w:line="240" w:lineRule="auto"/>
            </w:pPr>
            <w:r>
              <w:rPr>
                <w:b w:val="0"/>
                <w:sz w:val="18"/>
              </w:rPr>
              <w:t>Scarlet</w:t>
            </w:r>
          </w:p>
        </w:tc>
        <w:tc>
          <w:tcPr>
            <w:tcW w:type="dxa" w:w="1440"/>
            <w:vAlign w:val="center"/>
          </w:tcPr>
          <w:p>
            <w:pPr>
              <w:spacing w:before="40" w:after="40" w:line="240" w:lineRule="auto"/>
            </w:pPr>
            <w:r>
              <w:rPr>
                <w:b w:val="0"/>
                <w:sz w:val="18"/>
              </w:rPr>
              <w:t>5</w:t>
            </w:r>
          </w:p>
        </w:tc>
        <w:tc>
          <w:tcPr>
            <w:tcW w:type="dxa" w:w="2592"/>
            <w:vAlign w:val="center"/>
          </w:tcPr>
          <w:p>
            <w:pPr>
              <w:spacing w:before="40" w:after="40" w:line="240" w:lineRule="auto"/>
            </w:pPr>
            <w:r>
              <w:rPr>
                <w:b w:val="0"/>
                <w:sz w:val="18"/>
              </w:rPr>
              <w:t>40.00%</w:t>
            </w:r>
          </w:p>
        </w:tc>
        <w:tc>
          <w:tcPr>
            <w:tcW w:type="dxa" w:w="2016"/>
            <w:vAlign w:val="center"/>
          </w:tcPr>
          <w:p>
            <w:pPr>
              <w:spacing w:before="40" w:after="40" w:line="240" w:lineRule="auto"/>
            </w:pPr>
            <w:r>
              <w:rPr>
                <w:b w:val="0"/>
                <w:sz w:val="18"/>
              </w:rPr>
              <w:t>0.3333</w:t>
            </w:r>
          </w:p>
        </w:tc>
      </w:tr>
      <w:tr>
        <w:trPr>
          <w:cantSplit/>
        </w:trPr>
        <w:tc>
          <w:tcPr>
            <w:tcW w:type="dxa" w:w="2592"/>
            <w:vAlign w:val="center"/>
          </w:tcPr>
          <w:p>
            <w:pPr>
              <w:spacing w:before="40" w:after="40" w:line="240" w:lineRule="auto"/>
            </w:pPr>
            <w:r>
              <w:rPr>
                <w:b w:val="0"/>
                <w:sz w:val="18"/>
              </w:rPr>
              <w:t>Adele</w:t>
            </w:r>
          </w:p>
        </w:tc>
        <w:tc>
          <w:tcPr>
            <w:tcW w:type="dxa" w:w="1440"/>
            <w:vAlign w:val="center"/>
          </w:tcPr>
          <w:p>
            <w:pPr>
              <w:spacing w:before="40" w:after="40" w:line="240" w:lineRule="auto"/>
            </w:pPr>
            <w:r>
              <w:rPr>
                <w:b w:val="0"/>
                <w:sz w:val="18"/>
              </w:rPr>
              <w:t>8</w:t>
            </w:r>
          </w:p>
        </w:tc>
        <w:tc>
          <w:tcPr>
            <w:tcW w:type="dxa" w:w="2592"/>
            <w:vAlign w:val="center"/>
          </w:tcPr>
          <w:p>
            <w:pPr>
              <w:spacing w:before="40" w:after="40" w:line="240" w:lineRule="auto"/>
            </w:pPr>
            <w:r>
              <w:rPr>
                <w:b w:val="0"/>
                <w:sz w:val="18"/>
              </w:rPr>
              <w:t>50.00%</w:t>
            </w:r>
          </w:p>
        </w:tc>
        <w:tc>
          <w:tcPr>
            <w:tcW w:type="dxa" w:w="2016"/>
            <w:vAlign w:val="center"/>
          </w:tcPr>
          <w:p>
            <w:pPr>
              <w:spacing w:before="40" w:after="40" w:line="240" w:lineRule="auto"/>
            </w:pPr>
            <w:r>
              <w:rPr>
                <w:b w:val="0"/>
                <w:sz w:val="18"/>
              </w:rPr>
              <w:t>0.5714</w:t>
            </w:r>
          </w:p>
        </w:tc>
      </w:tr>
      <w:tr>
        <w:trPr>
          <w:cantSplit/>
        </w:trPr>
        <w:tc>
          <w:tcPr>
            <w:tcW w:type="dxa" w:w="2592"/>
            <w:vAlign w:val="center"/>
          </w:tcPr>
          <w:p>
            <w:pPr>
              <w:spacing w:before="40" w:after="40" w:line="240" w:lineRule="auto"/>
            </w:pPr>
            <w:r>
              <w:rPr>
                <w:b w:val="0"/>
                <w:sz w:val="18"/>
              </w:rPr>
              <w:t>Carole</w:t>
            </w:r>
          </w:p>
        </w:tc>
        <w:tc>
          <w:tcPr>
            <w:tcW w:type="dxa" w:w="1440"/>
            <w:vAlign w:val="center"/>
          </w:tcPr>
          <w:p>
            <w:pPr>
              <w:spacing w:before="40" w:after="40" w:line="240" w:lineRule="auto"/>
            </w:pPr>
            <w:r>
              <w:rPr>
                <w:b w:val="0"/>
                <w:sz w:val="18"/>
              </w:rPr>
              <w:t>4</w:t>
            </w:r>
          </w:p>
        </w:tc>
        <w:tc>
          <w:tcPr>
            <w:tcW w:type="dxa" w:w="2592"/>
            <w:vAlign w:val="center"/>
          </w:tcPr>
          <w:p>
            <w:pPr>
              <w:spacing w:before="40" w:after="40" w:line="240" w:lineRule="auto"/>
            </w:pPr>
            <w:r>
              <w:rPr>
                <w:b w:val="0"/>
                <w:sz w:val="18"/>
              </w:rPr>
              <w:t>50.00%</w:t>
            </w:r>
          </w:p>
        </w:tc>
        <w:tc>
          <w:tcPr>
            <w:tcW w:type="dxa" w:w="2016"/>
            <w:vAlign w:val="center"/>
          </w:tcPr>
          <w:p>
            <w:pPr>
              <w:spacing w:before="40" w:after="40" w:line="240" w:lineRule="auto"/>
            </w:pPr>
            <w:r>
              <w:rPr>
                <w:b w:val="0"/>
                <w:sz w:val="18"/>
              </w:rPr>
              <w:t>0.4444</w:t>
            </w:r>
          </w:p>
        </w:tc>
      </w:tr>
    </w:tbl>
    <w:p>
      <w:pPr>
        <w:spacing w:after="0" w:before="0"/>
      </w:pPr>
    </w:p>
    <w:p>
      <w:pPr>
        <w:widowControl/>
        <w:spacing w:after="120"/>
      </w:pPr>
      <w:r>
        <w:t>The selected model fixes 67 baseline errors and introduces 37 errors where the baseline was correct, a net gain of 30 images. Low-support class scores remain coarse: for a class with four test images, one image changes recall by 25 percentage points.</w:t>
      </w:r>
    </w:p>
    <w:tbl>
      <w:tblPr>
        <w:tblStyle w:val="LightGrid-Accent1"/>
        <w:tblW w:type="auto" w:w="0"/>
        <w:jc w:val="center"/>
        <w:tblLayout w:type="fixed"/>
        <w:tblLook w:firstColumn="1" w:firstRow="1" w:lastColumn="0" w:lastRow="0" w:noHBand="0" w:noVBand="1" w:val="04A0"/>
      </w:tblPr>
      <w:tblGrid>
        <w:gridCol w:w="1728"/>
        <w:gridCol w:w="2592"/>
        <w:gridCol w:w="2160"/>
        <w:gridCol w:w="2160"/>
      </w:tblGrid>
      <w:tr>
        <w:trPr>
          <w:cantSplit/>
          <w:tblHeader/>
        </w:trPr>
        <w:tc>
          <w:tcPr>
            <w:tcW w:type="dxa" w:w="1728"/>
            <w:vAlign w:val="center"/>
          </w:tcPr>
          <w:p>
            <w:pPr>
              <w:spacing w:before="40" w:after="40" w:line="240" w:lineRule="auto"/>
            </w:pPr>
            <w:r>
              <w:rPr>
                <w:b/>
                <w:sz w:val="18"/>
              </w:rPr>
              <w:t>Job</w:t>
            </w:r>
          </w:p>
        </w:tc>
        <w:tc>
          <w:tcPr>
            <w:tcW w:type="dxa" w:w="2592"/>
            <w:vAlign w:val="center"/>
          </w:tcPr>
          <w:p>
            <w:pPr>
              <w:spacing w:before="40" w:after="40" w:line="240" w:lineRule="auto"/>
            </w:pPr>
            <w:r>
              <w:rPr>
                <w:b/>
                <w:sz w:val="18"/>
              </w:rPr>
              <w:t>Task</w:t>
            </w:r>
          </w:p>
        </w:tc>
        <w:tc>
          <w:tcPr>
            <w:tcW w:type="dxa" w:w="2160"/>
            <w:vAlign w:val="center"/>
          </w:tcPr>
          <w:p>
            <w:pPr>
              <w:spacing w:before="40" w:after="40" w:line="240" w:lineRule="auto"/>
            </w:pPr>
            <w:r>
              <w:rPr>
                <w:b/>
                <w:sz w:val="18"/>
              </w:rPr>
              <w:t>Date completed</w:t>
            </w:r>
          </w:p>
        </w:tc>
        <w:tc>
          <w:tcPr>
            <w:tcW w:type="dxa" w:w="2160"/>
            <w:vAlign w:val="center"/>
          </w:tcPr>
          <w:p>
            <w:pPr>
              <w:spacing w:before="40" w:after="40" w:line="240" w:lineRule="auto"/>
            </w:pPr>
            <w:r>
              <w:rPr>
                <w:b/>
                <w:sz w:val="18"/>
              </w:rPr>
              <w:t>Wall time</w:t>
            </w:r>
          </w:p>
        </w:tc>
      </w:tr>
      <w:tr>
        <w:trPr>
          <w:cantSplit/>
        </w:trPr>
        <w:tc>
          <w:tcPr>
            <w:tcW w:type="dxa" w:w="1728"/>
            <w:vAlign w:val="center"/>
          </w:tcPr>
          <w:p>
            <w:pPr>
              <w:spacing w:before="40" w:after="40" w:line="240" w:lineRule="auto"/>
            </w:pPr>
            <w:r>
              <w:rPr>
                <w:b w:val="0"/>
                <w:sz w:val="18"/>
              </w:rPr>
              <w:t>38494871</w:t>
            </w:r>
          </w:p>
        </w:tc>
        <w:tc>
          <w:tcPr>
            <w:tcW w:type="dxa" w:w="2592"/>
            <w:vAlign w:val="center"/>
          </w:tcPr>
          <w:p>
            <w:pPr>
              <w:spacing w:before="40" w:after="40" w:line="240" w:lineRule="auto"/>
            </w:pPr>
            <w:r>
              <w:rPr>
                <w:b w:val="0"/>
                <w:sz w:val="18"/>
              </w:rPr>
              <w:t>Baseline</w:t>
            </w:r>
          </w:p>
        </w:tc>
        <w:tc>
          <w:tcPr>
            <w:tcW w:type="dxa" w:w="2160"/>
            <w:vAlign w:val="center"/>
          </w:tcPr>
          <w:p>
            <w:pPr>
              <w:spacing w:before="40" w:after="40" w:line="240" w:lineRule="auto"/>
            </w:pPr>
            <w:r>
              <w:rPr>
                <w:b w:val="0"/>
                <w:sz w:val="18"/>
              </w:rPr>
              <w:t>23 Oct 2026</w:t>
            </w:r>
          </w:p>
        </w:tc>
        <w:tc>
          <w:tcPr>
            <w:tcW w:type="dxa" w:w="2160"/>
            <w:vAlign w:val="center"/>
          </w:tcPr>
          <w:p>
            <w:pPr>
              <w:spacing w:before="40" w:after="40" w:line="240" w:lineRule="auto"/>
            </w:pPr>
            <w:r>
              <w:rPr>
                <w:b w:val="0"/>
                <w:sz w:val="18"/>
              </w:rPr>
              <w:t>24m 36s</w:t>
            </w:r>
          </w:p>
        </w:tc>
      </w:tr>
      <w:tr>
        <w:trPr>
          <w:cantSplit/>
        </w:trPr>
        <w:tc>
          <w:tcPr>
            <w:tcW w:type="dxa" w:w="1728"/>
            <w:vAlign w:val="center"/>
          </w:tcPr>
          <w:p>
            <w:pPr>
              <w:spacing w:before="40" w:after="40" w:line="240" w:lineRule="auto"/>
            </w:pPr>
            <w:r>
              <w:rPr>
                <w:b w:val="0"/>
                <w:sz w:val="18"/>
              </w:rPr>
              <w:t>39152252_0</w:t>
            </w:r>
          </w:p>
        </w:tc>
        <w:tc>
          <w:tcPr>
            <w:tcW w:type="dxa" w:w="2592"/>
            <w:vAlign w:val="center"/>
          </w:tcPr>
          <w:p>
            <w:pPr>
              <w:spacing w:before="40" w:after="40" w:line="240" w:lineRule="auto"/>
            </w:pPr>
            <w:r>
              <w:rPr>
                <w:b w:val="0"/>
                <w:sz w:val="18"/>
              </w:rPr>
              <w:t>±30° training</w:t>
            </w:r>
          </w:p>
        </w:tc>
        <w:tc>
          <w:tcPr>
            <w:tcW w:type="dxa" w:w="2160"/>
            <w:vAlign w:val="center"/>
          </w:tcPr>
          <w:p>
            <w:pPr>
              <w:spacing w:before="40" w:after="40" w:line="240" w:lineRule="auto"/>
            </w:pPr>
            <w:r>
              <w:rPr>
                <w:b w:val="0"/>
                <w:sz w:val="18"/>
              </w:rPr>
              <w:t>26 Oct 2026</w:t>
            </w:r>
          </w:p>
        </w:tc>
        <w:tc>
          <w:tcPr>
            <w:tcW w:type="dxa" w:w="2160"/>
            <w:vAlign w:val="center"/>
          </w:tcPr>
          <w:p>
            <w:pPr>
              <w:spacing w:before="40" w:after="40" w:line="240" w:lineRule="auto"/>
            </w:pPr>
            <w:r>
              <w:rPr>
                <w:b w:val="0"/>
                <w:sz w:val="18"/>
              </w:rPr>
              <w:t>26m 12s</w:t>
            </w:r>
          </w:p>
        </w:tc>
      </w:tr>
      <w:tr>
        <w:trPr>
          <w:cantSplit/>
        </w:trPr>
        <w:tc>
          <w:tcPr>
            <w:tcW w:type="dxa" w:w="1728"/>
            <w:vAlign w:val="center"/>
          </w:tcPr>
          <w:p>
            <w:pPr>
              <w:spacing w:before="40" w:after="40" w:line="240" w:lineRule="auto"/>
            </w:pPr>
            <w:r>
              <w:rPr>
                <w:b w:val="0"/>
                <w:sz w:val="18"/>
              </w:rPr>
              <w:t>39152252_1</w:t>
            </w:r>
          </w:p>
        </w:tc>
        <w:tc>
          <w:tcPr>
            <w:tcW w:type="dxa" w:w="2592"/>
            <w:vAlign w:val="center"/>
          </w:tcPr>
          <w:p>
            <w:pPr>
              <w:spacing w:before="40" w:after="40" w:line="240" w:lineRule="auto"/>
            </w:pPr>
            <w:r>
              <w:rPr>
                <w:b w:val="0"/>
                <w:sz w:val="18"/>
              </w:rPr>
              <w:t>±100° training</w:t>
            </w:r>
          </w:p>
        </w:tc>
        <w:tc>
          <w:tcPr>
            <w:tcW w:type="dxa" w:w="2160"/>
            <w:vAlign w:val="center"/>
          </w:tcPr>
          <w:p>
            <w:pPr>
              <w:spacing w:before="40" w:after="40" w:line="240" w:lineRule="auto"/>
            </w:pPr>
            <w:r>
              <w:rPr>
                <w:b w:val="0"/>
                <w:sz w:val="18"/>
              </w:rPr>
              <w:t>26 Oct 2026</w:t>
            </w:r>
          </w:p>
        </w:tc>
        <w:tc>
          <w:tcPr>
            <w:tcW w:type="dxa" w:w="2160"/>
            <w:vAlign w:val="center"/>
          </w:tcPr>
          <w:p>
            <w:pPr>
              <w:spacing w:before="40" w:after="40" w:line="240" w:lineRule="auto"/>
            </w:pPr>
            <w:r>
              <w:rPr>
                <w:b w:val="0"/>
                <w:sz w:val="18"/>
              </w:rPr>
              <w:t>12m 15s</w:t>
            </w:r>
          </w:p>
        </w:tc>
      </w:tr>
      <w:tr>
        <w:trPr>
          <w:cantSplit/>
        </w:trPr>
        <w:tc>
          <w:tcPr>
            <w:tcW w:type="dxa" w:w="1728"/>
            <w:vAlign w:val="center"/>
          </w:tcPr>
          <w:p>
            <w:pPr>
              <w:spacing w:before="40" w:after="40" w:line="240" w:lineRule="auto"/>
            </w:pPr>
            <w:r>
              <w:rPr>
                <w:b w:val="0"/>
                <w:sz w:val="18"/>
              </w:rPr>
              <w:t>39152252_2</w:t>
            </w:r>
          </w:p>
        </w:tc>
        <w:tc>
          <w:tcPr>
            <w:tcW w:type="dxa" w:w="2592"/>
            <w:vAlign w:val="center"/>
          </w:tcPr>
          <w:p>
            <w:pPr>
              <w:spacing w:before="40" w:after="40" w:line="240" w:lineRule="auto"/>
            </w:pPr>
            <w:r>
              <w:rPr>
                <w:b w:val="0"/>
                <w:sz w:val="18"/>
              </w:rPr>
              <w:t>±150° training</w:t>
            </w:r>
          </w:p>
        </w:tc>
        <w:tc>
          <w:tcPr>
            <w:tcW w:type="dxa" w:w="2160"/>
            <w:vAlign w:val="center"/>
          </w:tcPr>
          <w:p>
            <w:pPr>
              <w:spacing w:before="40" w:after="40" w:line="240" w:lineRule="auto"/>
            </w:pPr>
            <w:r>
              <w:rPr>
                <w:b w:val="0"/>
                <w:sz w:val="18"/>
              </w:rPr>
              <w:t>26 Oct 2026</w:t>
            </w:r>
          </w:p>
        </w:tc>
        <w:tc>
          <w:tcPr>
            <w:tcW w:type="dxa" w:w="2160"/>
            <w:vAlign w:val="center"/>
          </w:tcPr>
          <w:p>
            <w:pPr>
              <w:spacing w:before="40" w:after="40" w:line="240" w:lineRule="auto"/>
            </w:pPr>
            <w:r>
              <w:rPr>
                <w:b w:val="0"/>
                <w:sz w:val="18"/>
              </w:rPr>
              <w:t>27m 54s</w:t>
            </w:r>
          </w:p>
        </w:tc>
      </w:tr>
      <w:tr>
        <w:trPr>
          <w:cantSplit/>
        </w:trPr>
        <w:tc>
          <w:tcPr>
            <w:tcW w:type="dxa" w:w="1728"/>
            <w:vAlign w:val="center"/>
          </w:tcPr>
          <w:p>
            <w:pPr>
              <w:spacing w:before="40" w:after="40" w:line="240" w:lineRule="auto"/>
            </w:pPr>
            <w:r>
              <w:rPr>
                <w:b w:val="0"/>
                <w:sz w:val="18"/>
              </w:rPr>
              <w:t>39152253</w:t>
            </w:r>
          </w:p>
        </w:tc>
        <w:tc>
          <w:tcPr>
            <w:tcW w:type="dxa" w:w="2592"/>
            <w:vAlign w:val="center"/>
          </w:tcPr>
          <w:p>
            <w:pPr>
              <w:spacing w:before="40" w:after="40" w:line="240" w:lineRule="auto"/>
            </w:pPr>
            <w:r>
              <w:rPr>
                <w:b w:val="0"/>
                <w:sz w:val="18"/>
              </w:rPr>
              <w:t>TTA comparison</w:t>
            </w:r>
          </w:p>
        </w:tc>
        <w:tc>
          <w:tcPr>
            <w:tcW w:type="dxa" w:w="2160"/>
            <w:vAlign w:val="center"/>
          </w:tcPr>
          <w:p>
            <w:pPr>
              <w:spacing w:before="40" w:after="40" w:line="240" w:lineRule="auto"/>
            </w:pPr>
            <w:r>
              <w:rPr>
                <w:b w:val="0"/>
                <w:sz w:val="18"/>
              </w:rPr>
              <w:t>28 Oct 2026</w:t>
            </w:r>
          </w:p>
        </w:tc>
        <w:tc>
          <w:tcPr>
            <w:tcW w:type="dxa" w:w="2160"/>
            <w:vAlign w:val="center"/>
          </w:tcPr>
          <w:p>
            <w:pPr>
              <w:spacing w:before="40" w:after="40" w:line="240" w:lineRule="auto"/>
            </w:pPr>
            <w:r>
              <w:rPr>
                <w:b w:val="0"/>
                <w:sz w:val="18"/>
              </w:rPr>
              <w:t>17m 55s</w:t>
            </w:r>
          </w:p>
        </w:tc>
      </w:tr>
    </w:tbl>
    <w:p>
      <w:pPr>
        <w:spacing w:after="0" w:before="0"/>
      </w:pPr>
    </w:p>
    <w:p>
      <w:pPr>
        <w:widowControl/>
        <w:spacing w:after="120"/>
      </w:pPr>
      <w:r>
        <w:t>All jobs completed with exit code 0:0. Wall times include startup and I/O and are not a controlled compute-speed comparison. The 6,665 / 1,302 / 1,498 train/validation/test crops use the current 149-identity registry dated 14 October. Image-path and true-label pairs match across all test comparisons.</w:t>
      </w:r>
    </w:p>
    <w:p>
      <w:pPr>
        <w:spacing w:after="60"/>
      </w:pPr>
      <w:hyperlink r:id="rId16">
        <w:r>
          <w:rPr>
            <w:color w:val="365F91"/>
            <w:u w:val="single"/>
            <w:sz w:val="19"/>
          </w:rPr>
          <w:t>Full Markdown report, figures, interpretation and source links</w:t>
        </w:r>
      </w:hyperlink>
    </w:p>
    <w:p>
      <w:pPr>
        <w:spacing w:after="60"/>
      </w:pPr>
      <w:hyperlink r:id="rId17">
        <w:r>
          <w:rPr>
            <w:color w:val="365F91"/>
            <w:u w:val="single"/>
            <w:sz w:val="19"/>
          </w:rPr>
          <w:t>All 18 validation/test comparisons (CSV)</w:t>
        </w:r>
      </w:hyperlink>
    </w:p>
    <w:p>
      <w:pPr>
        <w:spacing w:after="60"/>
      </w:pPr>
      <w:hyperlink r:id="rId18">
        <w:r>
          <w:rPr>
            <w:color w:val="365F91"/>
            <w:u w:val="single"/>
            <w:sz w:val="19"/>
          </w:rPr>
          <w:t>Validation-only selection record (JSON)</w:t>
        </w:r>
      </w:hyperlink>
    </w:p>
    <w:p>
      <w:pPr>
        <w:spacing w:after="60"/>
      </w:pPr>
      <w:hyperlink r:id="rId19">
        <w:r>
          <w:rPr>
            <w:color w:val="365F91"/>
            <w:u w:val="single"/>
            <w:sz w:val="19"/>
          </w:rPr>
          <w:t>Selected model per-class metrics (CSV)</w:t>
        </w:r>
      </w:hyperlink>
    </w:p>
    <w:p>
      <w:pPr>
        <w:spacing w:after="60"/>
      </w:pPr>
      <w:hyperlink r:id="rId20">
        <w:r>
          <w:rPr>
            <w:color w:val="365F91"/>
            <w:u w:val="single"/>
            <w:sz w:val="19"/>
          </w:rPr>
          <w:t>Source curve data, hashes and job metadata (JSON)</w:t>
        </w:r>
      </w:hyperlink>
    </w:p>
    <w:p>
      <w:r>
        <w:br w:type="page"/>
      </w:r>
    </w:p>
    <w:p>
      <w:pPr>
        <w:pStyle w:val="Heading1"/>
        <w:keepNext/>
      </w:pPr>
      <w:r>
        <w:t>8. Caveats and advice on further experiments</w:t>
      </w:r>
    </w:p>
    <w:p>
      <w:pPr>
        <w:pStyle w:val="ListBullet"/>
        <w:spacing w:after="80"/>
      </w:pPr>
      <w:r>
        <w:rPr>
          <w:b/>
        </w:rPr>
        <w:t xml:space="preserve">One fit per policy. </w:t>
      </w:r>
      <w:r>
        <w:t>Measured gains are not confidence intervals or proof of repeated-run reliability. Repeat the most promising candidates across seeds before interpreting small differences as robust.</w:t>
      </w:r>
    </w:p>
    <w:p>
      <w:pPr>
        <w:pStyle w:val="ListBullet"/>
        <w:spacing w:after="80"/>
      </w:pPr>
      <w:r>
        <w:rPr>
          <w:b/>
        </w:rPr>
        <w:t xml:space="preserve">The policies are bundled. </w:t>
      </w:r>
      <w:r>
        <w:t>Rotation, noise, blur, scale, translation and erasing changed together. The baseline also has a different crop/RandAugment pipeline. This comparison does not locate an optimal rotation limit.</w:t>
      </w:r>
    </w:p>
    <w:p>
      <w:pPr>
        <w:pStyle w:val="ListBullet"/>
        <w:spacing w:after="80"/>
      </w:pPr>
      <w:r>
        <w:rPr>
          <w:b/>
        </w:rPr>
        <w:t xml:space="preserve">Baseline TTA is missing. </w:t>
      </w:r>
      <w:r>
        <w:t>The effect of applying the same seven-angle inference to the previous baseline is unknown. It would be a useful checkpoint-only comparison before committing to a large new training search.</w:t>
      </w:r>
    </w:p>
    <w:p>
      <w:pPr>
        <w:pStyle w:val="ListBullet"/>
        <w:spacing w:after="80"/>
      </w:pPr>
      <w:r>
        <w:rPr>
          <w:b/>
        </w:rPr>
        <w:t xml:space="preserve">Fixed training budget. </w:t>
      </w:r>
      <w:r>
        <w:t>The experiment compares 30-epoch runs. Longer training could change a curve, but these data do not justify automatically increasing to 150 epochs.</w:t>
      </w:r>
    </w:p>
    <w:p>
      <w:pPr>
        <w:pStyle w:val="ListBullet"/>
        <w:spacing w:after="80"/>
      </w:pPr>
      <w:r>
        <w:rPr>
          <w:b/>
        </w:rPr>
        <w:t xml:space="preserve">Historical reports differ. </w:t>
      </w:r>
      <w:r>
        <w:t>The earlier progress document includes 156-label and pre-cleanup results. Do not compare those raw rows directly with this 149-label evaluation without matching the image cohort and taxonomy.</w:t>
      </w:r>
    </w:p>
    <w:p>
      <w:pPr>
        <w:pStyle w:val="Heading2"/>
        <w:keepNext/>
      </w:pPr>
      <w:r>
        <w:t>Is a range between 30° and 100° worth testing?</w:t>
      </w:r>
    </w:p>
    <w:p>
      <w:pPr>
        <w:widowControl/>
        <w:spacing w:after="120"/>
      </w:pPr>
      <w:r>
        <w:t>Yes, as a small controlled follow-up. I would first consider ±45° and ±60°, with all other settings kept at the current ±30° policy: the same noise, blur, scale, translation, erasing, split, seed and 30-epoch budget. This would test rotation range directly. Keep ±30° as the reference and select on validation.</w:t>
      </w:r>
    </w:p>
    <w:p>
      <w:pPr>
        <w:widowControl/>
        <w:spacing w:after="120"/>
      </w:pPr>
      <w:r>
        <w:t>I would not start a broad sweep or assume that a value between 30° and 100° must win. If ±45°/±60° show a useful validation gain, repeat the strongest candidates across seeds; otherwise retain the simpler ±30° setting. All proposals in this section are advice only: no additional experiments, training trials or model evaluations were run or submitted for this report.</w:t>
      </w:r>
    </w:p>
    <w:p>
      <w:pPr>
        <w:pStyle w:val="Heading2"/>
        <w:keepNext/>
      </w:pPr>
      <w:r>
        <w:t>Reference and related reports</w:t>
      </w:r>
    </w:p>
    <w:p>
      <w:pPr>
        <w:spacing w:after="60"/>
      </w:pPr>
      <w:hyperlink r:id="rId21">
        <w:r>
          <w:rPr>
            <w:color w:val="365F91"/>
            <w:u w:val="single"/>
            <w:sz w:val="19"/>
          </w:rPr>
          <w:t>Previous progress report (formatting reference; historical results)</w:t>
        </w:r>
      </w:hyperlink>
    </w:p>
    <w:p>
      <w:pPr>
        <w:spacing w:after="60"/>
      </w:pPr>
      <w:hyperlink r:id="rId22">
        <w:r>
          <w:rPr>
            <w:color w:val="365F91"/>
            <w:u w:val="single"/>
            <w:sz w:val="19"/>
          </w:rPr>
          <w:t>Current baseline report: 23 October 2026</w:t>
        </w:r>
      </w:hyperlink>
    </w:p>
    <w:p>
      <w:pPr>
        <w:spacing w:after="60"/>
      </w:pPr>
      <w:hyperlink r:id="rId23">
        <w:r>
          <w:rPr>
            <w:color w:val="365F91"/>
            <w:u w:val="single"/>
            <w:sz w:val="19"/>
          </w:rPr>
          <w:t>Report index and folder layout</w:t>
        </w:r>
      </w:hyperlink>
    </w:p>
    <w:p>
      <w:pPr>
        <w:spacing w:after="60"/>
      </w:pPr>
      <w:hyperlink r:id="rId24">
        <w:r>
          <w:rPr>
            <w:color w:val="365F91"/>
            <w:u w:val="single"/>
            <w:sz w:val="19"/>
          </w:rPr>
          <w:t>Torchvision 0.17 RandomAffine documentation</w:t>
        </w:r>
      </w:hyperlink>
    </w:p>
    <w:p>
      <w:pPr>
        <w:spacing w:after="60"/>
      </w:pPr>
      <w:hyperlink r:id="rId25">
        <w:r>
          <w:rPr>
            <w:color w:val="365F91"/>
            <w:u w:val="single"/>
            <w:sz w:val="19"/>
          </w:rPr>
          <w:t>Torchvision 0.17.2 RandAugment implementation</w:t>
        </w:r>
      </w:hyperlink>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Macaque ReID · </w:t>
    </w:r>
    <w:r>
      <w:rPr>
        <w:color w:val="666666"/>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hyperlink" Target="../markdown/FINAL_EVAL_REPORT_2026-10-28_augmentation_comparison.md" TargetMode="External"/><Relationship Id="rId17" Type="http://schemas.openxmlformats.org/officeDocument/2006/relationships/hyperlink" Target="../../artifacts/augmentation_sweeps/20261025T023752Z_jyY1BT/eval/comparison.csv" TargetMode="External"/><Relationship Id="rId18" Type="http://schemas.openxmlformats.org/officeDocument/2006/relationships/hyperlink" Target="../../artifacts/augmentation_sweeps/20261025T023752Z_jyY1BT/eval/selection.json" TargetMode="External"/><Relationship Id="rId19" Type="http://schemas.openxmlformats.org/officeDocument/2006/relationships/hyperlink" Target="../../artifacts/augmentation_sweeps/20261025T023752Z_jyY1BT/eval/train_macaque_arcface_aggressive_rot30_macaque-resnet50-arcface_aggressive_rot30_canonical_20261014_best_macaque-resnet50-arcface_aggressive_rot30_canonical_20261014_mean_test_tta_mean_per_class_metrics.csv" TargetMode="External"/><Relationship Id="rId20" Type="http://schemas.openxmlformats.org/officeDocument/2006/relationships/hyperlink" Target="../figures/augmentation_comparison_2026-10-28/plot_data.json" TargetMode="External"/><Relationship Id="rId21" Type="http://schemas.openxmlformats.org/officeDocument/2006/relationships/hyperlink" Target="Macaque_ReID_Report.docx" TargetMode="External"/><Relationship Id="rId22" Type="http://schemas.openxmlformats.org/officeDocument/2006/relationships/hyperlink" Target="Macaque_ReID_Report_2026-10-23_Baseline.docx" TargetMode="External"/><Relationship Id="rId23" Type="http://schemas.openxmlformats.org/officeDocument/2006/relationships/hyperlink" Target="../README.md" TargetMode="External"/><Relationship Id="rId24" Type="http://schemas.openxmlformats.org/officeDocument/2006/relationships/hyperlink" Target="https://docs.pytorch.org/vision/0.17/generated/torchvision.transforms.RandomAffine.html" TargetMode="External"/><Relationship Id="rId25" Type="http://schemas.openxmlformats.org/officeDocument/2006/relationships/hyperlink" Target="https://github.com/pytorch/vision/blob/v0.17.2/torchvision/transforms/autoaugment.py" TargetMode="External"/><Relationship Id="rId26" Type="http://schemas.openxmlformats.org/officeDocument/2006/relationships/image" Target="media/image1.png"/><Relationship Id="rId27" Type="http://schemas.openxmlformats.org/officeDocument/2006/relationships/hyperlink" Target="../../artifacts/augmentation_sweeps/20261025T023752Z_jyY1BT/logs/39152253_tta.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Macaque Face Re-Identification — Augmentation and Averaging</dc:title>
  <dc:subject>Macaque face identification: current 149-identity evaluation</dc:subject>
  <dc:creator>Macaque ReID project</dc:creator>
  <cp:keywords/>
  <dc:description>generated by python-docx</dc:description>
  <cp:lastModifiedBy>Macaque ReID project</cp:lastModifiedBy>
  <cp:revision>1</cp:revision>
  <dcterms:created xsi:type="dcterms:W3CDTF">2026-10-28T16:02:13Z</dcterms:created>
  <dcterms:modified xsi:type="dcterms:W3CDTF">2026-10-28T18:33:20Z</dcterms:modified>
  <cp:category/>
</cp:coreProperties>
</file>