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</w:pPr>
      <w:r>
        <w:t>Macaque Re-identification — All-policy Comparison</w:t>
      </w:r>
    </w:p>
    <w:p>
      <w:pPr>
        <w:spacing w:after="120"/>
      </w:pPr>
      <w:r>
        <w:t>28 October 2026 · revised 30 October 2026 · supervisor review</w:t>
      </w:r>
    </w:p>
    <w:p>
      <w:pPr>
        <w:spacing w:after="120"/>
      </w:pPr>
      <w:r>
        <w:t>149 identities · 6,665 train / 1,302 validation / 1,498 test crops · one fit per policy</w:t>
      </w:r>
    </w:p>
    <w:p>
      <w:pPr>
        <w:pStyle w:val="Heading1"/>
      </w:pPr>
      <w:r>
        <w:t>1. Findings for supervisor discussion</w:t>
      </w:r>
    </w:p>
    <w:p>
      <w:pPr>
        <w:spacing w:after="120"/>
      </w:pPr>
      <w:r>
        <w:rPr>
          <w:b/>
        </w:rPr>
        <w:t>±45° training with seven-angle mean probability averaging is the current validation-based choice.</w:t>
      </w:r>
      <w:r>
        <w:t xml:space="preserve"> It identifies </w:t>
      </w:r>
      <w:r>
        <w:rPr>
          <w:b/>
        </w:rPr>
        <w:t>1,275/1,498 test images (85.11%)</w:t>
      </w:r>
      <w:r>
        <w:t xml:space="preserve">, with </w:t>
      </w:r>
      <w:r>
        <w:rPr>
          <w:b/>
        </w:rPr>
        <w:t>83.74% macro F1</w:t>
      </w:r>
      <w:r>
        <w:t xml:space="preserve">. This is </w:t>
      </w:r>
      <w:r>
        <w:rPr>
          <w:b/>
        </w:rPr>
        <w:t>0.60 percentage points / nine images</w:t>
      </w:r>
      <w:r>
        <w:t xml:space="preserve"> above ±30° mean and </w:t>
      </w:r>
      <w:r>
        <w:rPr>
          <w:b/>
        </w:rPr>
        <w:t>2.60 points / 39 images</w:t>
      </w:r>
      <w:r>
        <w:t xml:space="preserve"> above the original baseline without TTA.</w:t>
      </w:r>
    </w:p>
    <w:p>
      <w:pPr>
        <w:spacing w:after="120"/>
      </w:pPr>
      <w:r>
        <w:t>The comparison supports three distinct findings:</w:t>
      </w:r>
    </w:p>
    <w:p>
      <w:pPr>
        <w:pStyle w:val="ListBullet"/>
        <w:spacing w:after="120"/>
      </w:pPr>
      <w:r>
        <w:rPr>
          <w:b/>
        </w:rPr>
        <w:t>Single-image performance:</w:t>
      </w:r>
      <w:r>
        <w:t xml:space="preserve"> ±30° has the highest validation top-1 (82.49%). ±30° and ±45° tie on single-image test top-1 (83.51%); ±60° scores 83.11%.</w:t>
      </w:r>
    </w:p>
    <w:p>
      <w:pPr>
        <w:pStyle w:val="ListBullet"/>
        <w:spacing w:after="120"/>
      </w:pPr>
      <w:r>
        <w:rPr>
          <w:b/>
        </w:rPr>
        <w:t>Averaging:</w:t>
      </w:r>
      <w:r>
        <w:t xml:space="preserve"> ±45° mean reaches 85.11% test top-1; ±60° mean reaches 84.98%; ±30° mean reaches 84.51%. Both ±30° mean and ±45° mean score 83.56% on validation; ±45° has higher validation macro F1 (80.11% versus 79.82%).</w:t>
      </w:r>
    </w:p>
    <w:p>
      <w:pPr>
        <w:pStyle w:val="ListBullet"/>
        <w:spacing w:after="120"/>
      </w:pPr>
      <w:r>
        <w:rPr>
          <w:b/>
        </w:rPr>
        <w:t>Strength and reliability:</w:t>
      </w:r>
      <w:r>
        <w:t xml:space="preserve"> ±100° and ±150° have lower test top-1 at this 30-epoch budget. The ±30°/±45°/±60° differences are small and have not been confirmed across training seeds.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339"/>
        <w:gridCol w:w="1339"/>
        <w:gridCol w:w="1339"/>
        <w:gridCol w:w="1339"/>
        <w:gridCol w:w="1339"/>
      </w:tblGrid>
      <w:tr>
        <w:trPr>
          <w:cantSplit/>
          <w:tblHeader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Training policy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Validation single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Validation mean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Test single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Test mean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Test mean macro F1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Original baseline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80.49%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Not evaluated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82.51%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Not evaluated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Not evaluated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±30°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82.49%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83.56%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83.51%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84.51%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82.84%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±45°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82.10%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83.56%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83.51%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85.11%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83.74%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±60°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82.18%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83.41%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83.11%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84.98%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83.37%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79.49%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81.26%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81.44%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82.44%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79.99%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±150°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56.30%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58.06%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56.94%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58.41%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46.36%</w:t>
            </w:r>
          </w:p>
        </w:tc>
      </w:tr>
    </w:tbl>
    <w:p>
      <w:pPr>
        <w:spacing w:after="0"/>
      </w:pPr>
    </w:p>
    <w:p>
      <w:pPr>
        <w:spacing w:after="120"/>
      </w:pPr>
      <w:r>
        <w:t>All percentages above refer to top-1 accuracy except the final F1 column. “Single” uses one unrotated image. “Mean” averages seven probability vectors at −30°, −20°, −10°, 0°, +10°, +20°, +30°. Baseline TTA was not evaluated. The original baseline uses affine ±15° plus possible RandAugment rotation.</w:t>
      </w:r>
    </w:p>
    <w:p>
      <w:pPr>
        <w:spacing w:after="120"/>
      </w:pPr>
      <w:hyperlink r:id="rId10">
        <w:r>
          <w:rPr>
            <w:color w:val="365F91"/>
          </w:rPr>
          <w:t>One-page comparison sheet for the meeting (landscape PDF)</w:t>
        </w:r>
      </w:hyperlink>
      <w:r>
        <w:t>.</w:t>
      </w:r>
    </w:p>
    <w:p>
      <w:pPr>
        <w:pStyle w:val="Heading1"/>
        <w:pageBreakBefore/>
      </w:pPr>
      <w:r>
        <w:t>2. Training and validation learning curves — all policies together</w:t>
      </w:r>
    </w:p>
    <w:p>
      <w:pPr>
        <w:spacing w:after="120"/>
      </w:pPr>
      <w:r>
        <w:t xml:space="preserve">The same policy colours and ordering are used throughout this report. Both loss panels show </w:t>
      </w:r>
      <w:r>
        <w:rPr>
          <w:b/>
        </w:rPr>
        <w:t>all six policies, all 30 epochs, without smoothing</w:t>
      </w:r>
      <w:r>
        <w:t xml:space="preserve">, on a common </w:t>
      </w:r>
      <w:r>
        <w:rPr>
          <w:b/>
        </w:rPr>
        <w:t>0–20 loss scale</w:t>
      </w:r>
      <w:r>
        <w:t>. This replaces the separate original/follow-up comparison in the main results presentation.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895557"/>
            <wp:docPr id="1" name="Picture 1" descr="All-policy comparison: training and validation loss over 30 epoch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policy_lo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1. Shared learning-curve comparison.</w:t>
      </w:r>
      <w:r>
        <w:t xml:space="preserve"> Panel A shows training loss on each policy's augmented inputs; panel B shows validation loss on the same clean validation cohort. Training inputs differ in difficulty, so training loss alone does not rank generalisation. Both logged losses use cross-entropy with the label-dependent ArcFace training margin. Checkpoints were selected by ordinary validation top-1, not minimum loss. </w:t>
      </w:r>
      <w:hyperlink r:id="rId12">
        <w:r>
          <w:rPr>
            <w:color w:val="365F91"/>
          </w:rPr>
          <w:t>Full-size PDF</w:t>
        </w:r>
      </w:hyperlink>
      <w:r>
        <w:t>.</w:t>
      </w:r>
    </w:p>
    <w:p>
      <w:pPr>
        <w:pStyle w:val="Heading1"/>
        <w:pageBreakBefore/>
      </w:pPr>
      <w:r>
        <w:t>3. Final held-out test comparison — accuracy and cross-entropy</w:t>
      </w:r>
    </w:p>
    <w:p>
      <w:pPr>
        <w:spacing w:after="120"/>
      </w:pPr>
      <w:r>
        <w:t xml:space="preserve">The test set provides one final comparison per saved checkpoint and inference method. </w:t>
      </w:r>
      <w:r>
        <w:rPr>
          <w:b/>
        </w:rPr>
        <w:t>No epoch-by-epoch test-loss series was recorded.</w:t>
      </w:r>
      <w:r>
        <w:t xml:space="preserve"> The figure therefore shows final test accuracy and final test cross-entropy as checkpoint summaries. It includes all three inference methods for every evaluated policy.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824025"/>
            <wp:docPr id="2" name="Picture 2" descr="All-policy final test accuracy and cross-entropy for single, mean and max infer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2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2. Final test comparison on the same 1,498 images.</w:t>
      </w:r>
      <w:r>
        <w:t xml:space="preserve"> Higher top-1 is better; lower cross-entropy is better. Marker shape identifies inference method; policy colours match Figure 1. Baseline test loss is </w:t>
      </w:r>
      <w:r>
        <w:rPr>
          <w:b/>
        </w:rPr>
        <w:t>not recorded</w:t>
      </w:r>
      <w:r>
        <w:t xml:space="preserve">, and its TTA methods are </w:t>
      </w:r>
      <w:r>
        <w:rPr>
          <w:b/>
        </w:rPr>
        <w:t>not evaluated</w:t>
      </w:r>
      <w:r>
        <w:t xml:space="preserve">; neither missing result is represented as zero. </w:t>
      </w:r>
      <w:hyperlink r:id="rId14">
        <w:r>
          <w:rPr>
            <w:color w:val="365F91"/>
          </w:rPr>
          <w:t>Full-size PDF</w:t>
        </w:r>
      </w:hyperlink>
      <w:r>
        <w:t>.</w:t>
      </w:r>
    </w:p>
    <w:p>
      <w:pPr>
        <w:pStyle w:val="Heading2"/>
        <w:pageBreakBefore/>
      </w:pPr>
      <w:r>
        <w:t>Detailed final test results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584"/>
        <w:gridCol w:w="1584"/>
        <w:gridCol w:w="1584"/>
        <w:gridCol w:w="1584"/>
      </w:tblGrid>
      <w:tr>
        <w:trPr>
          <w:cantSplit/>
          <w:tblHeader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Training policy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Single top-1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Mean top-1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Max top-1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Mean macro F1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Original baseline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82.51%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evaluated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evaluated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evaluated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±30°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83.51%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84.51%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84.31%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82.84%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±45°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83.51%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85.11%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84.78%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83.74%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±60°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83.11%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84.98%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84.98%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83.37%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±100°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81.44%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82.44%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81.84%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79.99%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±150°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56.94%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58.41%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57.48%</w:t>
            </w:r>
          </w:p>
        </w:tc>
        <w:tc>
          <w:tcPr>
            <w:tcW w:type="dxa" w:w="158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46.36%</w:t>
            </w:r>
          </w:p>
        </w:tc>
      </w:tr>
    </w:tbl>
    <w:p>
      <w:pPr>
        <w:spacing w:after="0"/>
      </w:pPr>
    </w:p>
    <w:p>
      <w:pPr>
        <w:pStyle w:val="Heading3"/>
        <w:spacing w:after="120"/>
      </w:pPr>
      <w:r>
        <w:t>Test cross-entropy (NLL), lower is better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Training policy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Single NLL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Mean NLL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Max NLL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Original baseline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recorded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evaluated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Not evaluated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±30°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1.4832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1.1607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1.1313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±45°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1.4272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1.0951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1.0486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±60°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1.3775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1.0730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1.0283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±100°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1.3789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1.1162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1.0730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±150°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3.5889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3.5798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3.5799</w:t>
            </w:r>
          </w:p>
        </w:tc>
      </w:tr>
    </w:tbl>
    <w:p>
      <w:pPr>
        <w:spacing w:after="0"/>
      </w:pPr>
    </w:p>
    <w:p>
      <w:pPr>
        <w:pStyle w:val="Heading2"/>
      </w:pPr>
      <w:r>
        <w:t>Loss values and checkpoint timing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339"/>
        <w:gridCol w:w="1339"/>
        <w:gridCol w:w="1339"/>
        <w:gridCol w:w="1339"/>
        <w:gridCol w:w="1339"/>
      </w:tblGrid>
      <w:tr>
        <w:trPr>
          <w:cantSplit/>
          <w:tblHeader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Training policy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Selected epoch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Train CE at epoch 30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Validation CE at epoch 30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Test NLL single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Test NLL mean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Original baseline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28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0.0959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5.7418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Not recorded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Not evaluated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±30°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0.1535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5.4072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1.4832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1.1607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±45°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0.2350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5.3246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1.4272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1.0951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±60°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0.2986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5.4917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1.3775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1.0730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2.1910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6.1596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1.3789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1.1162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±150°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9.4555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9.8135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3.5889</w:t>
            </w:r>
          </w:p>
        </w:tc>
        <w:tc>
          <w:tcPr>
            <w:tcW w:type="dxa" w:w="1339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3.5798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</w:rPr>
        <w:t>The test columns describe the selected checkpoint; the learning-loss columns describe epoch 30.</w:t>
      </w:r>
      <w:r>
        <w:t xml:space="preserve"> Train/validation CE includes the ArcFace margin; final test NLL uses the margin-free prediction probabilities. They are reported together for completeness but use separate plot panels and definitions. Their numerical magnitudes should not be read as a directly comparable train–test loss gap.</w:t>
      </w:r>
    </w:p>
    <w:p>
      <w:pPr>
        <w:spacing w:after="120"/>
      </w:pPr>
      <w:hyperlink r:id="rId15">
        <w:r>
          <w:rPr>
            <w:color w:val="365F91"/>
          </w:rPr>
          <w:t>Test cross-entropy CSV</w:t>
        </w:r>
      </w:hyperlink>
      <w:r>
        <w:t xml:space="preserve"> · </w:t>
      </w:r>
      <w:hyperlink r:id="rId16">
        <w:r>
          <w:rPr>
            <w:color w:val="365F91"/>
          </w:rPr>
          <w:t>All source hashes, checks and curve values</w:t>
        </w:r>
      </w:hyperlink>
      <w:r>
        <w:t>.</w:t>
      </w:r>
    </w:p>
    <w:p>
      <w:pPr>
        <w:pStyle w:val="Heading1"/>
        <w:pageBreakBefore/>
      </w:pPr>
      <w:r>
        <w:t>4. Augmentation settings and meeting examples</w:t>
      </w:r>
    </w:p>
    <w:p>
      <w:pPr>
        <w:spacing w:after="120"/>
      </w:pPr>
      <w:r>
        <w:t xml:space="preserve">The previous </w:t>
      </w:r>
      <w:r>
        <w:rPr>
          <w:rFonts w:ascii="Consolas" w:hAnsi="Consolas"/>
          <w:sz w:val="16"/>
        </w:rPr>
        <w:t>strong</w:t>
      </w:r>
      <w:r>
        <w:t xml:space="preserve"> profile explicitly used </w:t>
      </w:r>
      <w:r>
        <w:rPr>
          <w:b/>
        </w:rPr>
        <w:t>RandomAffine(degrees=15)</w:t>
      </w:r>
      <w:r>
        <w:t xml:space="preserve">, which samples an affine rotation from </w:t>
      </w:r>
      <w:r>
        <w:rPr>
          <w:b/>
        </w:rPr>
        <w:t>−15° to +15°</w:t>
      </w:r>
      <w:r>
        <w:t xml:space="preserve">. It then applied restricted RandAugment with two operations and magnitude 5. In the installed torchvision 0.17.2 implementation, a selected </w:t>
      </w:r>
      <w:r>
        <w:rPr>
          <w:rFonts w:ascii="Consolas" w:hAnsi="Consolas"/>
          <w:sz w:val="16"/>
        </w:rPr>
        <w:t>Rotate</w:t>
      </w:r>
      <w:r>
        <w:t xml:space="preserve"> operation contributes </w:t>
      </w:r>
      <w:r>
        <w:rPr>
          <w:b/>
        </w:rPr>
        <w:t>+5° or −5°</w:t>
      </w:r>
      <w:r>
        <w:t>; operations are sampled sequentially and can repeat. The total baseline rotation could therefore exceed ±15°. It should not be described as an unaugmented or strictly ±15° baseline.</w:t>
      </w:r>
    </w:p>
    <w:p>
      <w:pPr>
        <w:spacing w:after="120"/>
      </w:pPr>
      <w:r>
        <w:t>The new policies use one affine rotation step and do not add RandAugment rotations. The names ±30°, ±45°, ±60°, ±100° and ±150° describe training angle ranges, not fixed rotations. Only rotation differs among the ±30°/±45°/±60° policies; the ±100°/±150° policies also change other augmentation settings.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"/>
        <w:gridCol w:w="1800"/>
        <w:gridCol w:w="994"/>
        <w:gridCol w:w="965"/>
        <w:gridCol w:w="1238"/>
        <w:gridCol w:w="1368"/>
        <w:gridCol w:w="1238"/>
      </w:tblGrid>
      <w:tr>
        <w:trPr>
          <w:cantSplit/>
          <w:tblHeader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Policy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Training rotation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Affine scale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Translation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Noise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Gaussian blur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7"/>
              </w:rPr>
              <w:t>Random erasing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Baseline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Affine ±15°; RandAugment may add rotations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0.90–1.10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±8%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No explicit Gaussian noise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35%; σ 0.1–2.0; 5×5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30%; area 2–12%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±30°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Single affine: −30° to +30°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0.80–1.25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35%; σ 0.03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40%; σ 0.2–2.0; 7×7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20%; area 2–10%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±45°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Single affine: −45° to +45°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0.80–1.25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35%; σ 0.03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40%; σ 0.2–2.0; 7×7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20%; area 2–10%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±60°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Single affine: −60° to +60°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0.80–1.25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35%; σ 0.03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40%; σ 0.2–2.0; 7×7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20%; area 2–10%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±100°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Single affine: −100° to +100°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0.70–1.35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±12%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45%; σ 0.05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50%; σ 0.2–2.5; 7×7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25%; area 2–12%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±150°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Single affine: −150° to +150°</w:t>
            </w:r>
          </w:p>
        </w:tc>
        <w:tc>
          <w:tcPr>
            <w:tcW w:type="dxa" w:w="994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0.60–1.50</w:t>
            </w:r>
          </w:p>
        </w:tc>
        <w:tc>
          <w:tcPr>
            <w:tcW w:type="dxa" w:w="965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±15%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50%; σ 0.08</w:t>
            </w:r>
          </w:p>
        </w:tc>
        <w:tc>
          <w:tcPr>
            <w:tcW w:type="dxa" w:w="136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60%; σ 0.3–3.0; 7×7</w:t>
            </w:r>
          </w:p>
        </w:tc>
        <w:tc>
          <w:tcPr>
            <w:tcW w:type="dxa" w:w="1238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7"/>
              </w:rPr>
              <w:t>30%; area 2–15%</w:t>
            </w:r>
          </w:p>
        </w:tc>
      </w:tr>
    </w:tbl>
    <w:p>
      <w:pPr>
        <w:spacing w:after="0"/>
      </w:pPr>
    </w:p>
    <w:p>
      <w:pPr>
        <w:spacing w:after="120"/>
      </w:pPr>
      <w:r>
        <w:t>The baseline also uses a random resized crop (area scale 0.8–1.0) and restricted RandAugment. The new policies resize to 224×224 before the affine operation and use explicit colour jitter instead of RandAugment. None of these six policies uses horizontal mirroring. Noise sigma is specified for float images in [0,1] before normalization. Scale and translation in the baseline row describe its explicit affine step; its other geometry operations can add further variation.</w:t>
      </w:r>
    </w:p>
    <w:p>
      <w:pPr>
        <w:spacing w:after="120"/>
      </w:pPr>
      <w:r>
        <w:t xml:space="preserve">At test time, TTA uses exactly </w:t>
      </w:r>
      <w:r>
        <w:rPr>
          <w:b/>
        </w:rPr>
        <w:t>−30°, −20°, −10°, 0°, +10°, +20°, +30°</w:t>
      </w:r>
      <w:r>
        <w:t>, regardless of the training policy. Each view produces margin-free class logits followed by softmax. Mean pools the seven probability vectors; max takes each class's maximum view probability and renormalizes. TTA does not retrain or average model weights.</w:t>
      </w:r>
    </w:p>
    <w:p>
      <w:pPr>
        <w:spacing w:after="120"/>
      </w:pPr>
      <w:r>
        <w:t xml:space="preserve">Implementation references: </w:t>
      </w:r>
      <w:hyperlink r:id="rId17">
        <w:r>
          <w:rPr>
            <w:color w:val="365F91"/>
          </w:rPr>
          <w:t>local transforms</w:t>
        </w:r>
      </w:hyperlink>
      <w:r>
        <w:t xml:space="preserve">, </w:t>
      </w:r>
      <w:hyperlink r:id="rId18">
        <w:r>
          <w:rPr>
            <w:color w:val="365F91"/>
          </w:rPr>
          <w:t>RandomAffine 0.17 documentation</w:t>
        </w:r>
      </w:hyperlink>
      <w:r>
        <w:t xml:space="preserve">, and </w:t>
      </w:r>
      <w:hyperlink r:id="rId19">
        <w:r>
          <w:rPr>
            <w:color w:val="365F91"/>
          </w:rPr>
          <w:t>RandAugment 0.17.2 source</w:t>
        </w:r>
      </w:hyperlink>
      <w:r>
        <w:t>.</w:t>
      </w:r>
    </w:p>
    <w:p>
      <w:pPr>
        <w:pStyle w:val="Heading2"/>
        <w:pageBreakBefore/>
      </w:pPr>
      <w:r>
        <w:t>Meeting examples: original and augmented training images</w:t>
      </w:r>
    </w:p>
    <w:p>
      <w:pPr>
        <w:spacing w:after="120"/>
      </w:pPr>
      <w:r>
        <w:t xml:space="preserve">For the meeting discussion, the following sheets show </w:t>
      </w:r>
      <w:r>
        <w:rPr>
          <w:b/>
        </w:rPr>
        <w:t>real training-set crops alongside examples generated with the actual training augmentation code</w:t>
      </w:r>
      <w:r>
        <w:t>. They use Abby, Harry and Warty; the sources are training images, not validation/test images chosen for their prediction results.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 descr="Original training crops beside sampled ±30°, ±45°, ±60°, ±100° and ±150° augmentation poli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3. Original training crops and sampled full-pipeline augmentation.</w:t>
      </w:r>
      <w:r>
        <w:t xml:space="preserve"> Each row uses the same source crop across the five policies.</w:t>
      </w:r>
    </w:p>
    <w:p>
      <w:pPr>
        <w:spacing w:after="120"/>
      </w:pPr>
      <w:r>
        <w:rPr>
          <w:b/>
        </w:rPr>
        <w:t>How to read the training sheet.</w:t>
      </w:r>
      <w:r>
        <w:t xml:space="preserve"> Each row starts with the same original face crop, resized to 224×224 without augmentation for display. The other columns are random samples from the full training pipelines, including affine rotation/zoom/ translation, colour jitter and probabilistic blur, noise and erasing. Column headings give the configured rotation range; the sampled rotation is printed below it. The ±30°/±45°/±60° policies share all other settings, while ±100°/±150° also increase other augmentation strengths. The same seed is reset across policies within each row (42, 43 and 44), so the illustrations can be reproduced.</w:t>
      </w:r>
    </w:p>
    <w:p>
      <w:pPr>
        <w:spacing w:after="120"/>
      </w:pPr>
      <w:r>
        <w:t xml:space="preserve">These are </w:t>
      </w:r>
      <w:r>
        <w:rPr>
          <w:b/>
        </w:rPr>
        <w:t>newly generated illustrations</w:t>
      </w:r>
      <w:r>
        <w:t>, not exact images recovered from past training batches. Normalization is reversed and values are clipped to [0,1] for viewing. Grey affine borders and any erased patches are pipeline outputs. No horizontal mirroring is used. The source originals are existing detection crops rather than full camera photographs.</w:t>
      </w:r>
    </w:p>
    <w:p>
      <w:pPr>
        <w:spacing w:after="120"/>
      </w:pPr>
      <w:hyperlink r:id="rId21">
        <w:r>
          <w:rPr>
            <w:color w:val="365F91"/>
          </w:rPr>
          <w:t>Training sheet: full-size PNG</w:t>
        </w:r>
      </w:hyperlink>
      <w:r>
        <w:t xml:space="preserve"> · </w:t>
      </w:r>
      <w:hyperlink r:id="rId22">
        <w:r>
          <w:rPr>
            <w:color w:val="365F91"/>
          </w:rPr>
          <w:t>PDF for presenting or printing</w:t>
        </w:r>
      </w:hyperlink>
      <w:r>
        <w:t xml:space="preserve"> · </w:t>
      </w:r>
      <w:hyperlink r:id="rId23">
        <w:r>
          <w:rPr>
            <w:color w:val="365F91"/>
          </w:rPr>
          <w:t>Individual originals and augmented images</w:t>
        </w:r>
      </w:hyperlink>
    </w:p>
    <w:p>
      <w:pPr>
        <w:pStyle w:val="Heading2"/>
        <w:pageBreakBefore/>
      </w:pPr>
      <w:r>
        <w:t>Meeting examples: the seven inference views used for averaging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 descr="Original crop and the seven deterministic inference views at −30°, −20°, −10°, 0°, +10°, +20° and +30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4. Seven deterministic inference views and an original reference.</w:t>
      </w:r>
      <w:r>
        <w:t xml:space="preserve"> The reference is not an eighth inference view.</w:t>
      </w:r>
    </w:p>
    <w:p>
      <w:pPr>
        <w:spacing w:after="120"/>
      </w:pPr>
      <w:r>
        <w:t xml:space="preserve">This second sheet illustrates </w:t>
      </w:r>
      <w:r>
        <w:rPr>
          <w:b/>
        </w:rPr>
        <w:t>test-time augmentation (TTA)</w:t>
      </w:r>
      <w:r>
        <w:t xml:space="preserve"> using the Abby training crop only as a demonstration image. The original panel is a reference; it is not an eighth inference view. The seven views include 0° exactly once. Each view is resized/rotated and scored by the same saved model; their </w:t>
      </w:r>
      <w:r>
        <w:rPr>
          <w:b/>
        </w:rPr>
        <w:t>class probabilities are averaged</w:t>
      </w:r>
      <w:r>
        <w:t>, not their pixels or model weights. TTA does not apply the random training colour jitter, noise, blur or erasing. Its seven angles remain ±30° through 0° even for models trained with ±45° or ±60°.</w:t>
      </w:r>
    </w:p>
    <w:p>
      <w:pPr>
        <w:spacing w:after="120"/>
      </w:pPr>
      <w:hyperlink r:id="rId25">
        <w:r>
          <w:rPr>
            <w:color w:val="365F91"/>
          </w:rPr>
          <w:t>Inference-view sheet: full-size PNG</w:t>
        </w:r>
      </w:hyperlink>
      <w:r>
        <w:t xml:space="preserve"> · </w:t>
      </w:r>
      <w:hyperlink r:id="rId26">
        <w:r>
          <w:rPr>
            <w:color w:val="365F91"/>
          </w:rPr>
          <w:t>PDF for presenting or printing</w:t>
        </w:r>
      </w:hyperlink>
      <w:r>
        <w:t xml:space="preserve"> · </w:t>
      </w:r>
      <w:hyperlink r:id="rId27">
        <w:r>
          <w:rPr>
            <w:color w:val="365F91"/>
          </w:rPr>
          <w:t>Source paths, image hashes, seeds and transform parameters</w:t>
        </w:r>
      </w:hyperlink>
      <w:r>
        <w:t xml:space="preserve"> · </w:t>
      </w:r>
      <w:hyperlink r:id="rId28">
        <w:r>
          <w:rPr>
            <w:color w:val="365F91"/>
          </w:rPr>
          <w:t>Reproduction script</w:t>
        </w:r>
      </w:hyperlink>
    </w:p>
    <w:p>
      <w:pPr>
        <w:pStyle w:val="Heading1"/>
        <w:pageBreakBefore/>
      </w:pPr>
      <w:r>
        <w:t>5. Interpretation and individual-level results</w:t>
      </w:r>
    </w:p>
    <w:p>
      <w:pPr>
        <w:spacing w:after="120"/>
      </w:pPr>
      <w:r>
        <w:t xml:space="preserve">Moderate augmentation and seven-angle averaging perform best in this experiment. The ±45° mean model correctly identifies 1,275 test images, compared with 1,266 for ±30° mean and 1,236 for the original baseline. Its averaging gain over its own single-image result is </w:t>
      </w:r>
      <w:r>
        <w:rPr>
          <w:b/>
        </w:rPr>
        <w:t>1.60 points / 24 images</w:t>
      </w:r>
      <w:r>
        <w:t xml:space="preserve">. Image-by-image comparison with the baseline fixes </w:t>
      </w:r>
      <w:r>
        <w:rPr>
          <w:b/>
        </w:rPr>
        <w:t>72 errors</w:t>
      </w:r>
      <w:r>
        <w:t xml:space="preserve"> and introduces </w:t>
      </w:r>
      <w:r>
        <w:rPr>
          <w:b/>
        </w:rPr>
        <w:t>33 errors</w:t>
      </w:r>
      <w:r>
        <w:t xml:space="preserve">, a net gain of 39. Macro precision is </w:t>
      </w:r>
      <w:r>
        <w:rPr>
          <w:b/>
        </w:rPr>
        <w:t>85.15%</w:t>
      </w:r>
      <w:r>
        <w:t xml:space="preserve"> and macro recall is </w:t>
      </w:r>
      <w:r>
        <w:rPr>
          <w:b/>
        </w:rPr>
        <w:t>84.09%</w:t>
      </w:r>
      <w:r>
        <w:t>.</w:t>
      </w:r>
    </w:p>
    <w:p>
      <w:pPr>
        <w:spacing w:after="120"/>
      </w:pPr>
      <w:r>
        <w:rPr>
          <w:b/>
        </w:rPr>
        <w:t>Metric trade-off.</w:t>
      </w:r>
      <w:r>
        <w:t xml:space="preserve"> ±45° mean has the highest test top-1. ±60° mean has lower test NLL than ±45° mean (1.0730 versus 1.0951), and ±60° max has the lowest measured NLL (1.0283). NLL scores the probability assigned to the true identity, including confident mistakes; top-1 counts correct classifications. These test descriptions do not change the validation-based choice.</w:t>
      </w:r>
    </w:p>
    <w:p>
      <w:pPr>
        <w:spacing w:after="120"/>
      </w:pPr>
      <w:r>
        <w:t>The ±150° policy finishes with only 59.29% accuracy on its augmented training inputs and 56.30% validation accuracy. The shared curves show that it has difficulty fitting this training task at the chosen budget. Longer training has not been tested. Strong rotation/zoom may crop away identity cues, and noise, blur and erasing may obscure them; this mechanism is an interpretation rather than a separately measured cause.</w:t>
      </w:r>
    </w:p>
    <w:p>
      <w:pPr>
        <w:spacing w:after="120"/>
      </w:pPr>
      <w:r>
        <w:t>The ±30°/±45°/±60° follow-up changes only rotation range while holding other settings fixed. Comparisons with the baseline or ±100°/±150° change several augmentation settings together. Neither comparison establishes a robust optimal angle from a single fit per policy.</w:t>
      </w:r>
    </w:p>
    <w:p>
      <w:pPr>
        <w:pStyle w:val="Heading2"/>
      </w:pPr>
      <w:r>
        <w:t>Per-identity results for ±45° + mean</w:t>
      </w:r>
    </w:p>
    <w:p>
      <w:pPr>
        <w:pStyle w:val="ListBullet"/>
        <w:spacing w:after="120"/>
      </w:pPr>
      <w:r>
        <w:t xml:space="preserve">Per-class metrics: </w:t>
      </w:r>
      <w:hyperlink r:id="rId29">
        <w:r>
          <w:rPr>
            <w:color w:val="365F91"/>
          </w:rPr>
          <w:t>selected ±45° + mean per-class CSV</w:t>
        </w:r>
      </w:hyperlink>
    </w:p>
    <w:p>
      <w:pPr>
        <w:pStyle w:val="ListBullet"/>
        <w:spacing w:after="120"/>
      </w:pPr>
      <w:r>
        <w:t xml:space="preserve">Per-image predictions: </w:t>
      </w:r>
      <w:hyperlink r:id="rId30">
        <w:r>
          <w:rPr>
            <w:color w:val="365F91"/>
          </w:rPr>
          <w:t>selected model predictions and hard examples</w:t>
        </w:r>
      </w:hyperlink>
    </w:p>
    <w:p>
      <w:pPr>
        <w:pStyle w:val="ListBullet"/>
        <w:spacing w:after="120"/>
      </w:pPr>
      <w:r>
        <w:t xml:space="preserve">Full evaluation summary: </w:t>
      </w:r>
      <w:hyperlink r:id="rId31">
        <w:r>
          <w:rPr>
            <w:color w:val="365F91"/>
          </w:rPr>
          <w:t>selected model metrics JSON</w:t>
        </w:r>
      </w:hyperlink>
    </w:p>
    <w:p>
      <w:pPr>
        <w:pStyle w:val="ListBullet"/>
        <w:spacing w:after="120"/>
      </w:pPr>
      <w:r>
        <w:t xml:space="preserve">Confusion matrix: </w:t>
      </w:r>
      <w:hyperlink r:id="rId32">
        <w:r>
          <w:rPr>
            <w:color w:val="365F91"/>
          </w:rPr>
          <w:t>149×149 matrix in NumPy format</w:t>
        </w:r>
      </w:hyperlink>
    </w:p>
    <w:p>
      <w:pPr>
        <w:spacing w:after="120"/>
      </w:pPr>
      <w:r>
        <w:t>The five lowest-recall identities for the selected configuration are: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Identity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Test images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Recall / per-class accuracy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F1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Caro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0.00%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Thief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33.33%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50.00%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Harry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42.86%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54.55%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Racoon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50.00%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66.67%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Nathalie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55.56%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62.50%</w:t>
            </w:r>
          </w:p>
        </w:tc>
      </w:tr>
    </w:tbl>
    <w:p>
      <w:pPr>
        <w:spacing w:after="0"/>
      </w:pPr>
    </w:p>
    <w:p>
      <w:pPr>
        <w:spacing w:after="120"/>
      </w:pPr>
      <w:r>
        <w:t>One identity has zero test recall. Low-support identities remain sensitive to individual errors; overall accuracy alone does not describe all individuals equally. New embedding projections were not computed by this comparison job, so the baseline's t-SNE plot is not reused for the new model.</w:t>
      </w:r>
    </w:p>
    <w:p>
      <w:pPr>
        <w:pStyle w:val="Heading1"/>
        <w:pageBreakBefore/>
      </w:pPr>
      <w:r>
        <w:t>6. Limitations, selection and reproducibility</w:t>
      </w:r>
    </w:p>
    <w:p>
      <w:pPr>
        <w:pStyle w:val="ListBullet"/>
        <w:spacing w:after="120"/>
      </w:pPr>
      <w:r>
        <w:rPr>
          <w:b/>
        </w:rPr>
        <w:t>Selection:</w:t>
      </w:r>
      <w:r>
        <w:t xml:space="preserve"> saved checkpoints use the best ordinary validation top-1. The original job selected ±30° mean among nine model/method combinations; the follow-up selected ±45° mean among six. Both choices were locked before their test scoring. Across suites, the two mean methods tie at exactly 1,088/1,302 validation images; validation macro F1 favours ±45° under the recorded tie-break rule.</w:t>
      </w:r>
    </w:p>
    <w:p>
      <w:pPr>
        <w:pStyle w:val="ListBullet"/>
        <w:spacing w:after="120"/>
      </w:pPr>
      <w:r>
        <w:rPr>
          <w:b/>
        </w:rPr>
        <w:t>One fit per policy:</w:t>
      </w:r>
      <w:r>
        <w:t xml:space="preserve"> the measured nine-image advantage over ±30° mean is not a repeated-seed confidence interval or evidence of statistical significance. Test NLL is descriptive and was not used to change the selection.</w:t>
      </w:r>
    </w:p>
    <w:p>
      <w:pPr>
        <w:pStyle w:val="ListBullet"/>
        <w:spacing w:after="120"/>
      </w:pPr>
      <w:r>
        <w:rPr>
          <w:b/>
        </w:rPr>
        <w:t>Metric definitions:</w:t>
      </w:r>
      <w:r>
        <w:t xml:space="preserve"> training/validation loss includes the ArcFace training margin; final test NLL uses margin-free probabilities. No per-epoch test loss exists in these runs. Baseline test NLL is missing and baseline TTA was not evaluated.</w:t>
      </w:r>
    </w:p>
    <w:p>
      <w:pPr>
        <w:pStyle w:val="ListBullet"/>
        <w:spacing w:after="120"/>
      </w:pPr>
      <w:r>
        <w:rPr>
          <w:b/>
        </w:rPr>
        <w:t>Matched cohort:</w:t>
      </w:r>
      <w:r>
        <w:t xml:space="preserve"> all 15 augmented-model test prediction files use the baseline's exact 1,498 image/identity pairs. Both suites' split-manifest and registry SHA-256 pairs match. Registry date 14 October is not an experiment date.</w:t>
      </w:r>
    </w:p>
    <w:p>
      <w:pPr>
        <w:pStyle w:val="ListBullet"/>
        <w:spacing w:after="120"/>
      </w:pPr>
      <w:r>
        <w:rPr>
          <w:b/>
        </w:rPr>
        <w:t>Training control:</w:t>
      </w:r>
      <w:r>
        <w:t xml:space="preserve"> ImageNet-pretrained ResNet50, 256-dimensional embedding, ArcFace margin 0.5 / scale 30, AdamW LR 3e-4 / weight decay 0.01, cosine schedule, batch size 32, seed 42, GPU/AMP and 30 epochs. Logit adjustment was disabled (tau=0). Training accuracy is measured on augmented inputs of different difficulty.</w:t>
      </w:r>
    </w:p>
    <w:p>
      <w:pPr>
        <w:pStyle w:val="ListBullet"/>
        <w:spacing w:after="120"/>
      </w:pPr>
      <w:r>
        <w:rPr>
          <w:b/>
        </w:rPr>
        <w:t>Next evidence:</w:t>
      </w:r>
      <w:r>
        <w:t xml:space="preserve"> repeat the strongest candidates across seeds; evaluate baseline TTA if a matched inference comparison is needed. This documentation revision derives metrics from saved outputs and launches no additional model jobs.</w:t>
      </w:r>
    </w:p>
    <w:p>
      <w:pPr>
        <w:spacing w:after="120"/>
      </w:pPr>
      <w:r>
        <w:t xml:space="preserve">The selected follow-up checkpoint is </w:t>
      </w:r>
      <w:r>
        <w:rPr>
          <w:rFonts w:ascii="Consolas" w:hAnsi="Consolas"/>
          <w:sz w:val="16"/>
        </w:rPr>
        <w:t>artifacts/​augmentation_​sweeps/​20261028T164412Z_​JmVXbV/​checkpoints/​macaque-resnet50-arcface_​aggressive_​rot45_​canonical_​20261014_​best.pt</w:t>
      </w:r>
      <w:r>
        <w:t>.</w:t>
      </w:r>
    </w:p>
    <w:p>
      <w:pPr>
        <w:pStyle w:val="Heading2"/>
      </w:pPr>
      <w:r>
        <w:t>Final test-loss calculation</w:t>
      </w:r>
    </w:p>
    <w:p>
      <w:pPr>
        <w:spacing w:after="120"/>
      </w:pPr>
      <w:r>
        <w:rPr>
          <w:b/>
        </w:rPr>
        <w:t>How test loss was obtained.</w:t>
      </w:r>
      <w:r>
        <w:t xml:space="preserve"> The original evaluation summaries report accuracy and F1, but do not store loss. For the five augmented models, this revision derives </w:t>
      </w:r>
      <w:r>
        <w:rPr>
          <w:b/>
        </w:rPr>
        <w:t>NLL = mean[−ln p(true identity)]</w:t>
      </w:r>
      <w:r>
        <w:t xml:space="preserve"> from the saved test probabilities. Mean/max use the saved pooled probabilities; single-image NLL uses the cached 0° view. Every recovered prediction and top-1 confidence was checked against the corresponding recorded single/mean/max output. All true-class probabilities are positive; the calculation uses float64 logs without clipping. No model inference, training, new checkpoint selection or test-driven tuning was run.</w:t>
      </w:r>
    </w:p>
    <w:p>
      <w:pPr>
        <w:spacing w:after="120"/>
      </w:pPr>
      <w:r>
        <w:t xml:space="preserve">The baseline's full probability arrays were not saved, so its NLL cannot be recovered from the available summaries. These final test NLL values are </w:t>
      </w:r>
      <w:r>
        <w:rPr>
          <w:b/>
        </w:rPr>
        <w:t>margin-free</w:t>
      </w:r>
      <w:r>
        <w:t xml:space="preserve">; the training/validation curves retain the </w:t>
      </w:r>
      <w:r>
        <w:rPr>
          <w:b/>
        </w:rPr>
        <w:t>margin-adjusted</w:t>
      </w:r>
      <w:r>
        <w:t xml:space="preserve"> objective actually logged during fitting.</w:t>
      </w:r>
    </w:p>
    <w:p>
      <w:pPr>
        <w:pStyle w:val="Heading1"/>
        <w:pageBreakBefore/>
      </w:pPr>
      <w:r>
        <w:t>Appendix A. All-policy diagnostic loss panels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63886"/>
            <wp:docPr id="5" name="Picture 5" descr="Matched-scale per-policy training and validation loss for all six poli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5. Per-policy detail using a common 0–20 loss scale.</w:t>
      </w:r>
      <w:r>
        <w:t xml:space="preserve"> Solid lines show training, dashed lines validation, and vertical dotted lines the recorded selected epochs. The colours and policy ordering match the main comparison. </w:t>
      </w:r>
      <w:hyperlink r:id="rId34">
        <w:r>
          <w:rPr>
            <w:color w:val="365F91"/>
          </w:rPr>
          <w:t>Full-size diagnostic PDF</w:t>
        </w:r>
      </w:hyperlink>
      <w:r>
        <w:t>.</w:t>
      </w:r>
    </w:p>
    <w:p>
      <w:pPr>
        <w:pStyle w:val="Heading1"/>
        <w:pageBreakBefore/>
      </w:pPr>
      <w:r>
        <w:t>Appendix B. All-policy training and validation accuracy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811151"/>
            <wp:docPr id="6" name="Picture 6" descr="Training and validation accuracy for baseline and all five augmentation poli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policy_accurac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rPr>
          <w:b/>
        </w:rPr>
        <w:t>Figure 6. Corresponding accuracy curves for all policies.</w:t>
      </w:r>
      <w:r>
        <w:t xml:space="preserve"> Dots mark the recorded selected epochs on the validation curves. Training accuracy uses policy-specific augmented inputs; validation uses the common clean split. </w:t>
      </w:r>
      <w:hyperlink r:id="rId36">
        <w:r>
          <w:rPr>
            <w:color w:val="365F91"/>
          </w:rPr>
          <w:t>Full-size accuracy PDF</w:t>
        </w:r>
      </w:hyperlink>
      <w:r>
        <w:t>.</w:t>
      </w:r>
    </w:p>
    <w:p>
      <w:pPr>
        <w:pStyle w:val="Heading1"/>
        <w:pageBreakBefore/>
      </w:pPr>
      <w:r>
        <w:t>Appendix C. Source records and completed jobs</w:t>
      </w:r>
    </w:p>
    <w:p>
      <w:pPr>
        <w:pStyle w:val="Heading2"/>
      </w:pPr>
      <w:r>
        <w:t>Source artifacts</w:t>
      </w:r>
    </w:p>
    <w:p>
      <w:pPr>
        <w:pStyle w:val="ListBullet"/>
        <w:spacing w:after="120"/>
      </w:pPr>
      <w:hyperlink r:id="rId16">
        <w:r>
          <w:rPr>
            <w:color w:val="365F91"/>
          </w:rPr>
          <w:t>Combined curve values, source hashes and cached-probability checks</w:t>
        </w:r>
      </w:hyperlink>
      <w:r>
        <w:t>.</w:t>
      </w:r>
    </w:p>
    <w:p>
      <w:pPr>
        <w:pStyle w:val="ListBullet"/>
        <w:spacing w:after="120"/>
      </w:pPr>
      <w:hyperlink r:id="rId37">
        <w:r>
          <w:rPr>
            <w:color w:val="365F91"/>
          </w:rPr>
          <w:t>Reproduce the consolidated figures and final test NLL</w:t>
        </w:r>
      </w:hyperlink>
      <w:r>
        <w:t>.</w:t>
      </w:r>
    </w:p>
    <w:p>
      <w:pPr>
        <w:pStyle w:val="ListBullet"/>
        <w:spacing w:after="120"/>
      </w:pPr>
      <w:hyperlink r:id="rId38">
        <w:r>
          <w:rPr>
            <w:color w:val="365F91"/>
          </w:rPr>
          <w:t>Original 18 validation/test comparisons</w:t>
        </w:r>
      </w:hyperlink>
      <w:r>
        <w:t xml:space="preserve"> and </w:t>
      </w:r>
      <w:hyperlink r:id="rId39">
        <w:r>
          <w:rPr>
            <w:color w:val="365F91"/>
          </w:rPr>
          <w:t>follow-up 12 comparisons</w:t>
        </w:r>
      </w:hyperlink>
      <w:r>
        <w:t>.</w:t>
      </w:r>
    </w:p>
    <w:p>
      <w:pPr>
        <w:pStyle w:val="ListBullet"/>
        <w:spacing w:after="120"/>
      </w:pPr>
      <w:hyperlink r:id="rId40">
        <w:r>
          <w:rPr>
            <w:color w:val="365F91"/>
          </w:rPr>
          <w:t>Original selection record</w:t>
        </w:r>
      </w:hyperlink>
      <w:r>
        <w:t xml:space="preserve"> and </w:t>
      </w:r>
      <w:hyperlink r:id="rId41">
        <w:r>
          <w:rPr>
            <w:color w:val="365F91"/>
          </w:rPr>
          <w:t>follow-up selection record</w:t>
        </w:r>
      </w:hyperlink>
      <w:r>
        <w:t>.</w:t>
      </w:r>
    </w:p>
    <w:p>
      <w:pPr>
        <w:pStyle w:val="ListBullet"/>
        <w:spacing w:after="120"/>
      </w:pPr>
      <w:hyperlink r:id="rId42">
        <w:r>
          <w:rPr>
            <w:color w:val="365F91"/>
          </w:rPr>
          <w:t>Original data provenance</w:t>
        </w:r>
      </w:hyperlink>
      <w:r>
        <w:t xml:space="preserve"> and </w:t>
      </w:r>
      <w:hyperlink r:id="rId43">
        <w:r>
          <w:rPr>
            <w:color w:val="365F91"/>
          </w:rPr>
          <w:t>follow-up data provenance</w:t>
        </w:r>
      </w:hyperlink>
      <w:r>
        <w:t>.</w:t>
      </w:r>
    </w:p>
    <w:p>
      <w:pPr>
        <w:pStyle w:val="ListBullet"/>
        <w:spacing w:after="120"/>
      </w:pPr>
      <w:hyperlink r:id="rId44">
        <w:r>
          <w:rPr>
            <w:color w:val="365F91"/>
          </w:rPr>
          <w:t>Baseline evaluation report</w:t>
        </w:r>
      </w:hyperlink>
      <w:r>
        <w:t>.</w:t>
      </w:r>
    </w:p>
    <w:p>
      <w:pPr>
        <w:pStyle w:val="Heading2"/>
      </w:pPr>
      <w:r>
        <w:t>Completed jobs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Task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Completion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/>
                <w:sz w:val="18"/>
              </w:rPr>
              <w:t>Elapsed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38494871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Baseline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23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24m 36s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39152252_0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±30°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26m 12s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39152252_1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±100°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12m 15s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39152252_2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±150°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27m 54s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39152253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Original averaging comparison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28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17m 55s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39484293_0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±45°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28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26m 24s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39484293_1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±60° training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28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26m 24s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39484294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Follow-up averaging comparison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29 October</w:t>
            </w:r>
          </w:p>
        </w:tc>
        <w:tc>
          <w:tcPr>
            <w:tcW w:type="dxa" w:w="2016"/>
            <w:vAlign w:val="center"/>
          </w:tcPr>
          <w:p>
            <w:pPr>
              <w:spacing w:after="60" w:before="60" w:line="240" w:lineRule="auto"/>
            </w:pPr>
            <w:r>
              <w:rPr>
                <w:b w:val="0"/>
                <w:sz w:val="18"/>
              </w:rPr>
              <w:t>30m 12s</w:t>
            </w:r>
          </w:p>
        </w:tc>
      </w:tr>
    </w:tbl>
    <w:p>
      <w:pPr>
        <w:spacing w:after="0"/>
      </w:pPr>
    </w:p>
    <w:p>
      <w:pPr>
        <w:spacing w:after="120"/>
      </w:pPr>
      <w:r>
        <w:t xml:space="preserve">All listed jobs completed with exit code 0:0. Wall times include startup and I/O and are not controlled compute-speed comparisons. Training/evaluation dates are in 2026. Source logs: </w:t>
      </w:r>
      <w:hyperlink r:id="rId45">
        <w:r>
          <w:rPr>
            <w:color w:val="365F91"/>
          </w:rPr>
          <w:t>original suite</w:t>
        </w:r>
      </w:hyperlink>
      <w:r>
        <w:t xml:space="preserve"> and </w:t>
      </w:r>
      <w:hyperlink r:id="rId46">
        <w:r>
          <w:rPr>
            <w:color w:val="365F91"/>
          </w:rPr>
          <w:t>follow-up suite</w:t>
        </w:r>
      </w:hyperlink>
      <w:r>
        <w:t>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Macaque ReID · </w:t>
    </w:r>
    <w:r>
      <w:rPr>
        <w:color w:val="66666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figures/augmentation_comparison_2026-10-28/supervisor_comparison/one_page_overview.pdf" TargetMode="External"/><Relationship Id="rId11" Type="http://schemas.openxmlformats.org/officeDocument/2006/relationships/image" Target="media/image1.png"/><Relationship Id="rId12" Type="http://schemas.openxmlformats.org/officeDocument/2006/relationships/hyperlink" Target="../figures/augmentation_comparison_2026-10-28/supervisor_comparison/all_policy_loss.pdf" TargetMode="External"/><Relationship Id="rId13" Type="http://schemas.openxmlformats.org/officeDocument/2006/relationships/image" Target="media/image14.png"/><Relationship Id="rId14" Type="http://schemas.openxmlformats.org/officeDocument/2006/relationships/hyperlink" Target="../figures/augmentation_comparison_2026-10-28/supervisor_comparison/final_test_comparison.pdf" TargetMode="External"/><Relationship Id="rId15" Type="http://schemas.openxmlformats.org/officeDocument/2006/relationships/hyperlink" Target="../figures/augmentation_comparison_2026-10-28/supervisor_comparison/final_test_cross_entropy.csv" TargetMode="External"/><Relationship Id="rId16" Type="http://schemas.openxmlformats.org/officeDocument/2006/relationships/hyperlink" Target="../figures/augmentation_comparison_2026-10-28/supervisor_comparison/comparison_data.json" TargetMode="External"/><Relationship Id="rId17" Type="http://schemas.openxmlformats.org/officeDocument/2006/relationships/hyperlink" Target="../../src/datasets/transforms.py" TargetMode="External"/><Relationship Id="rId18" Type="http://schemas.openxmlformats.org/officeDocument/2006/relationships/hyperlink" Target="https://docs.pytorch.org/vision/0.17/generated/torchvision.transforms.RandomAffine.html" TargetMode="External"/><Relationship Id="rId19" Type="http://schemas.openxmlformats.org/officeDocument/2006/relationships/hyperlink" Target="https://github.com/pytorch/vision/blob/v0.17.2/torchvision/transforms/autoaugment.py" TargetMode="External"/><Relationship Id="rId20" Type="http://schemas.openxmlformats.org/officeDocument/2006/relationships/image" Target="media/image3.png"/><Relationship Id="rId21" Type="http://schemas.openxmlformats.org/officeDocument/2006/relationships/hyperlink" Target="../figures/augmentation_comparison_2026-10-28/meeting_examples/original_and_training_augmentations.png" TargetMode="External"/><Relationship Id="rId22" Type="http://schemas.openxmlformats.org/officeDocument/2006/relationships/hyperlink" Target="../figures/augmentation_comparison_2026-10-28/meeting_examples/original_and_training_augmentations.pdf" TargetMode="External"/><Relationship Id="rId23" Type="http://schemas.openxmlformats.org/officeDocument/2006/relationships/hyperlink" Target="../figures/augmentation_comparison_2026-10-28/meeting_examples" TargetMode="External"/><Relationship Id="rId24" Type="http://schemas.openxmlformats.org/officeDocument/2006/relationships/image" Target="media/image4.png"/><Relationship Id="rId25" Type="http://schemas.openxmlformats.org/officeDocument/2006/relationships/hyperlink" Target="../figures/augmentation_comparison_2026-10-28/meeting_examples/seven_angle_inference_views.png" TargetMode="External"/><Relationship Id="rId26" Type="http://schemas.openxmlformats.org/officeDocument/2006/relationships/hyperlink" Target="../figures/augmentation_comparison_2026-10-28/meeting_examples/seven_angle_inference_views.pdf" TargetMode="External"/><Relationship Id="rId27" Type="http://schemas.openxmlformats.org/officeDocument/2006/relationships/hyperlink" Target="../figures/augmentation_comparison_2026-10-28/meeting_examples/examples_manifest.json" TargetMode="External"/><Relationship Id="rId28" Type="http://schemas.openxmlformats.org/officeDocument/2006/relationships/hyperlink" Target="../figures/augmentation_comparison_2026-10-28/meeting_examples/generate_examples.py" TargetMode="External"/><Relationship Id="rId29" Type="http://schemas.openxmlformats.org/officeDocument/2006/relationships/hyperlink" Target="../../artifacts/augmentation_sweeps/20261028T164412Z_JmVXbV/eval/train_macaque_arcface_aggressive_rot45_macaque-resnet50-arcface_aggressive_rot45_canonical_20261014_best_macaque-resnet50-arcface_aggressive_rot45_canonical_20261014_mean_test_tta_mean_per_class_metrics.csv" TargetMode="External"/><Relationship Id="rId30" Type="http://schemas.openxmlformats.org/officeDocument/2006/relationships/hyperlink" Target="../../artifacts/augmentation_sweeps/20261028T164412Z_JmVXbV/eval/train_macaque_arcface_aggressive_rot45_macaque-resnet50-arcface_aggressive_rot45_canonical_20261014_best_macaque-resnet50-arcface_aggressive_rot45_canonical_20261014_mean_test_tta_mean_hard_examples.csv" TargetMode="External"/><Relationship Id="rId31" Type="http://schemas.openxmlformats.org/officeDocument/2006/relationships/hyperlink" Target="../../artifacts/augmentation_sweeps/20261028T164412Z_JmVXbV/eval/train_macaque_arcface_aggressive_rot45_macaque-resnet50-arcface_aggressive_rot45_canonical_20261014_best_macaque-resnet50-arcface_aggressive_rot45_canonical_20261014_mean_test_tta_mean_metrics_summary.json" TargetMode="External"/><Relationship Id="rId32" Type="http://schemas.openxmlformats.org/officeDocument/2006/relationships/hyperlink" Target="../../artifacts/augmentation_sweeps/20261028T164412Z_JmVXbV/eval/train_macaque_arcface_aggressive_rot45_macaque-resnet50-arcface_aggressive_rot45_canonical_20261014_best_macaque-resnet50-arcface_aggressive_rot45_canonical_20261014_mean_test_tta_mean_confusion_matrix.npy" TargetMode="External"/><Relationship Id="rId33" Type="http://schemas.openxmlformats.org/officeDocument/2006/relationships/image" Target="media/image15.png"/><Relationship Id="rId34" Type="http://schemas.openxmlformats.org/officeDocument/2006/relationships/hyperlink" Target="../figures/augmentation_comparison_2026-10-28/supervisor_comparison/all_policy_diagnostics.pdf" TargetMode="External"/><Relationship Id="rId35" Type="http://schemas.openxmlformats.org/officeDocument/2006/relationships/image" Target="media/image2.png"/><Relationship Id="rId36" Type="http://schemas.openxmlformats.org/officeDocument/2006/relationships/hyperlink" Target="../figures/augmentation_comparison_2026-10-28/supervisor_comparison/all_policy_accuracy.pdf" TargetMode="External"/><Relationship Id="rId37" Type="http://schemas.openxmlformats.org/officeDocument/2006/relationships/hyperlink" Target="../figures/augmentation_comparison_2026-10-28/build_supervisor_comparison.py" TargetMode="External"/><Relationship Id="rId38" Type="http://schemas.openxmlformats.org/officeDocument/2006/relationships/hyperlink" Target="../../artifacts/augmentation_sweeps/20261025T023752Z_jyY1BT/eval/comparison.csv" TargetMode="External"/><Relationship Id="rId39" Type="http://schemas.openxmlformats.org/officeDocument/2006/relationships/hyperlink" Target="../../artifacts/augmentation_sweeps/20261028T164412Z_JmVXbV/eval/comparison.csv" TargetMode="External"/><Relationship Id="rId40" Type="http://schemas.openxmlformats.org/officeDocument/2006/relationships/hyperlink" Target="../../artifacts/augmentation_sweeps/20261025T023752Z_jyY1BT/eval/selection.json" TargetMode="External"/><Relationship Id="rId41" Type="http://schemas.openxmlformats.org/officeDocument/2006/relationships/hyperlink" Target="../../artifacts/augmentation_sweeps/20261028T164412Z_JmVXbV/eval/selection.json" TargetMode="External"/><Relationship Id="rId42" Type="http://schemas.openxmlformats.org/officeDocument/2006/relationships/hyperlink" Target="../../artifacts/augmentation_sweeps/20261025T023752Z_jyY1BT/data_inputs.json" TargetMode="External"/><Relationship Id="rId43" Type="http://schemas.openxmlformats.org/officeDocument/2006/relationships/hyperlink" Target="../../artifacts/augmentation_sweeps/20261028T164412Z_JmVXbV/data_inputs.json" TargetMode="External"/><Relationship Id="rId44" Type="http://schemas.openxmlformats.org/officeDocument/2006/relationships/hyperlink" Target="../markdown/FINAL_EVAL_REPORT_2026-10-23_baseline.md" TargetMode="External"/><Relationship Id="rId45" Type="http://schemas.openxmlformats.org/officeDocument/2006/relationships/hyperlink" Target="../../artifacts/augmentation_sweeps/20261025T023752Z_jyY1BT/logs" TargetMode="External"/><Relationship Id="rId46" Type="http://schemas.openxmlformats.org/officeDocument/2006/relationships/hyperlink" Target="../../artifacts/augmentation_sweeps/20261028T164412Z_JmVXbV/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Macaque Re-identification — All-policy Comparison</dc:title>
  <dc:subject>Six-policy comparison of learning curves, final test accuracy and recovered test cross-entropy</dc:subject>
  <dc:creator>Macaque ReID project</dc:creator>
  <cp:keywords/>
  <dc:description>generated by python-docx</dc:description>
  <cp:lastModifiedBy>Macaque ReID project</cp:lastModifiedBy>
  <cp:revision>1</cp:revision>
  <dcterms:created xsi:type="dcterms:W3CDTF">2026-10-28T16:02:13Z</dcterms:created>
  <dcterms:modified xsi:type="dcterms:W3CDTF">2026-10-30T02:19:56Z</dcterms:modified>
  <cp:category/>
</cp:coreProperties>
</file>