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Macaque Face Re-Identification — Augmentation and Averaging</w:t>
      </w:r>
    </w:p>
    <w:p>
      <w:pPr>
        <w:spacing w:after="200"/>
      </w:pPr>
      <w:r>
        <w:t>Augmentation and rotation averaging · 28 October 2026 · revised 30 October 2026</w:t>
      </w:r>
    </w:p>
    <w:p>
      <w:pPr>
        <w:pStyle w:val="Heading1"/>
        <w:keepNext/>
      </w:pPr>
      <w:r>
        <w:t>What I did (summary)</w:t>
      </w:r>
    </w:p>
    <w:p>
      <w:pPr>
        <w:pStyle w:val="ListBullet"/>
        <w:spacing w:after="80"/>
      </w:pPr>
      <w:r>
        <w:t>Completed experiments. Five training policies completed 30 epochs each. The original averaging job produced 18 comparisons; the ±45°/±60° follow-up produced 12 more, using the same 149 identities and splits.</w:t>
      </w:r>
    </w:p>
    <w:p>
      <w:pPr>
        <w:pStyle w:val="ListBullet"/>
        <w:spacing w:after="80"/>
      </w:pPr>
      <w:r>
        <w:t>Averaging runs completed. Jobs 39152253 and 39484294 completed successfully. The follow-up finished on 29 October at 13:53:14 GMT after 30m 12s.</w:t>
      </w:r>
    </w:p>
    <w:p>
      <w:pPr>
        <w:pStyle w:val="ListBullet"/>
        <w:spacing w:after="80"/>
      </w:pPr>
      <w:r>
        <w:t>Best measured top-1. The validation-selected ±45° + mean follow-up reached 85.11% test top-1 and 83.74% macro F1, versus 84.51% and 82.84% for ±30° + mean. The previous baseline scored 82.51% and 80.27%.</w:t>
      </w:r>
    </w:p>
    <w:p>
      <w:pPr>
        <w:pStyle w:val="ListBullet"/>
        <w:spacing w:after="80"/>
      </w:pPr>
      <w:r>
        <w:rPr>
          <w:b/>
        </w:rPr>
        <w:t xml:space="preserve">Fair comparison. </w:t>
      </w:r>
      <w:r>
        <w:t>All test comparisons cover the same 1,498 image/identity pairs. Model/pooling selection used validation results before the test comparison.</w:t>
      </w:r>
    </w:p>
    <w:p>
      <w:pPr>
        <w:pStyle w:val="ListBullet"/>
        <w:spacing w:after="80"/>
      </w:pPr>
      <w:r>
        <w:t>Main finding. ±30° remains highest on single-image validation accuracy; ±30° and ±45° tie on single-image test accuracy. With averaging, ±45° scores highest on test top-1. One fit per policy does not establish repeated-seed reliability.</w:t>
      </w:r>
    </w:p>
    <w:p>
      <w:pPr>
        <w:pStyle w:val="Heading1"/>
        <w:keepNext/>
      </w:pPr>
      <w:r>
        <w:t>1. Headline results on the current test set</w:t>
      </w:r>
    </w:p>
    <w:tbl>
      <w:tblPr>
        <w:tblStyle w:val="LightGrid-Accent1"/>
        <w:tblW w:type="auto" w:w="0"/>
        <w:jc w:val="center"/>
        <w:tblLayout w:type="fixed"/>
        <w:tblLook w:firstColumn="1" w:firstRow="1" w:lastColumn="0" w:lastRow="0" w:noHBand="0" w:noVBand="1" w:val="04A0"/>
      </w:tblPr>
      <w:tblGrid>
        <w:gridCol w:w="2376"/>
        <w:gridCol w:w="1253"/>
        <w:gridCol w:w="1253"/>
        <w:gridCol w:w="1253"/>
        <w:gridCol w:w="1253"/>
        <w:gridCol w:w="1253"/>
      </w:tblGrid>
      <w:tr>
        <w:trPr>
          <w:cantSplit/>
          <w:tblHeader/>
        </w:trPr>
        <w:tc>
          <w:tcPr>
            <w:tcW w:type="dxa" w:w="2376"/>
          </w:tcPr>
          <w:p>
            <w:pPr>
              <w:spacing w:before="40" w:after="40"/>
            </w:pPr>
            <w:r>
              <w:rPr>
                <w:b/>
                <w:sz w:val="18"/>
              </w:rPr>
              <w:t>Configuration</w:t>
            </w:r>
          </w:p>
        </w:tc>
        <w:tc>
          <w:tcPr>
            <w:tcW w:type="dxa" w:w="1253"/>
          </w:tcPr>
          <w:p>
            <w:pPr>
              <w:spacing w:before="40" w:after="40"/>
            </w:pPr>
            <w:r>
              <w:rPr>
                <w:b/>
                <w:sz w:val="18"/>
              </w:rPr>
              <w:t>Test top-1</w:t>
            </w:r>
          </w:p>
        </w:tc>
        <w:tc>
          <w:tcPr>
            <w:tcW w:type="dxa" w:w="1253"/>
          </w:tcPr>
          <w:p>
            <w:pPr>
              <w:spacing w:before="40" w:after="40"/>
            </w:pPr>
            <w:r>
              <w:rPr>
                <w:b/>
                <w:sz w:val="18"/>
              </w:rPr>
              <w:t>Test top-3</w:t>
            </w:r>
          </w:p>
        </w:tc>
        <w:tc>
          <w:tcPr>
            <w:tcW w:type="dxa" w:w="1253"/>
          </w:tcPr>
          <w:p>
            <w:pPr>
              <w:spacing w:before="40" w:after="40"/>
            </w:pPr>
            <w:r>
              <w:rPr>
                <w:b/>
                <w:sz w:val="18"/>
              </w:rPr>
              <w:t>Test top-5</w:t>
            </w:r>
          </w:p>
        </w:tc>
        <w:tc>
          <w:tcPr>
            <w:tcW w:type="dxa" w:w="1253"/>
          </w:tcPr>
          <w:p>
            <w:pPr>
              <w:spacing w:before="40" w:after="40"/>
            </w:pPr>
            <w:r>
              <w:rPr>
                <w:b/>
                <w:sz w:val="18"/>
              </w:rPr>
              <w:t>Macro F1</w:t>
            </w:r>
          </w:p>
        </w:tc>
        <w:tc>
          <w:tcPr>
            <w:tcW w:type="dxa" w:w="1253"/>
          </w:tcPr>
          <w:p>
            <w:pPr>
              <w:spacing w:before="40" w:after="40"/>
            </w:pPr>
            <w:r>
              <w:rPr>
                <w:b/>
                <w:sz w:val="18"/>
              </w:rPr>
              <w:t>Weighted F1</w:t>
            </w:r>
          </w:p>
        </w:tc>
      </w:tr>
      <w:tr>
        <w:trPr>
          <w:cantSplit/>
        </w:trPr>
        <w:tc>
          <w:tcPr>
            <w:tcW w:type="dxa" w:w="2376"/>
          </w:tcPr>
          <w:p>
            <w:pPr>
              <w:spacing w:before="40" w:after="40"/>
            </w:pPr>
            <w:r>
              <w:rPr>
                <w:b w:val="0"/>
                <w:sz w:val="18"/>
              </w:rPr>
              <w:t>Original baseline</w:t>
            </w:r>
          </w:p>
        </w:tc>
        <w:tc>
          <w:tcPr>
            <w:tcW w:type="dxa" w:w="1253"/>
          </w:tcPr>
          <w:p>
            <w:pPr>
              <w:spacing w:before="40" w:after="40"/>
            </w:pPr>
            <w:r>
              <w:rPr>
                <w:b w:val="0"/>
                <w:sz w:val="18"/>
              </w:rPr>
              <w:t>82.51%</w:t>
            </w:r>
          </w:p>
        </w:tc>
        <w:tc>
          <w:tcPr>
            <w:tcW w:type="dxa" w:w="1253"/>
          </w:tcPr>
          <w:p>
            <w:pPr>
              <w:spacing w:before="40" w:after="40"/>
            </w:pPr>
            <w:r>
              <w:rPr>
                <w:b w:val="0"/>
                <w:sz w:val="18"/>
              </w:rPr>
              <w:t>88.65%</w:t>
            </w:r>
          </w:p>
        </w:tc>
        <w:tc>
          <w:tcPr>
            <w:tcW w:type="dxa" w:w="1253"/>
          </w:tcPr>
          <w:p>
            <w:pPr>
              <w:spacing w:before="40" w:after="40"/>
            </w:pPr>
            <w:r>
              <w:rPr>
                <w:b w:val="0"/>
                <w:sz w:val="18"/>
              </w:rPr>
              <w:t>89.85%</w:t>
            </w:r>
          </w:p>
        </w:tc>
        <w:tc>
          <w:tcPr>
            <w:tcW w:type="dxa" w:w="1253"/>
          </w:tcPr>
          <w:p>
            <w:pPr>
              <w:spacing w:before="40" w:after="40"/>
            </w:pPr>
            <w:r>
              <w:rPr>
                <w:b w:val="0"/>
                <w:sz w:val="18"/>
              </w:rPr>
              <w:t>80.27%</w:t>
            </w:r>
          </w:p>
        </w:tc>
        <w:tc>
          <w:tcPr>
            <w:tcW w:type="dxa" w:w="1253"/>
          </w:tcPr>
          <w:p>
            <w:pPr>
              <w:spacing w:before="40" w:after="40"/>
            </w:pPr>
            <w:r>
              <w:rPr>
                <w:b w:val="0"/>
                <w:sz w:val="18"/>
              </w:rPr>
              <w:t>82.39%</w:t>
            </w:r>
          </w:p>
        </w:tc>
      </w:tr>
      <w:tr>
        <w:trPr>
          <w:cantSplit/>
        </w:trPr>
        <w:tc>
          <w:tcPr>
            <w:tcW w:type="dxa" w:w="2376"/>
          </w:tcPr>
          <w:p>
            <w:pPr>
              <w:spacing w:before="40" w:after="40"/>
            </w:pPr>
            <w:r>
              <w:rPr>
                <w:b w:val="0"/>
                <w:sz w:val="18"/>
              </w:rPr>
              <w:t>±30° single</w:t>
            </w:r>
          </w:p>
        </w:tc>
        <w:tc>
          <w:tcPr>
            <w:tcW w:type="dxa" w:w="1253"/>
          </w:tcPr>
          <w:p>
            <w:pPr>
              <w:spacing w:before="40" w:after="40"/>
            </w:pPr>
            <w:r>
              <w:rPr>
                <w:b w:val="0"/>
                <w:sz w:val="18"/>
              </w:rPr>
              <w:t>83.51%</w:t>
            </w:r>
          </w:p>
        </w:tc>
        <w:tc>
          <w:tcPr>
            <w:tcW w:type="dxa" w:w="1253"/>
          </w:tcPr>
          <w:p>
            <w:pPr>
              <w:spacing w:before="40" w:after="40"/>
            </w:pPr>
            <w:r>
              <w:rPr>
                <w:b w:val="0"/>
                <w:sz w:val="18"/>
              </w:rPr>
              <w:t>88.45%</w:t>
            </w:r>
          </w:p>
        </w:tc>
        <w:tc>
          <w:tcPr>
            <w:tcW w:type="dxa" w:w="1253"/>
          </w:tcPr>
          <w:p>
            <w:pPr>
              <w:spacing w:before="40" w:after="40"/>
            </w:pPr>
            <w:r>
              <w:rPr>
                <w:b w:val="0"/>
                <w:sz w:val="18"/>
              </w:rPr>
              <w:t>89.99%</w:t>
            </w:r>
          </w:p>
        </w:tc>
        <w:tc>
          <w:tcPr>
            <w:tcW w:type="dxa" w:w="1253"/>
          </w:tcPr>
          <w:p>
            <w:pPr>
              <w:spacing w:before="40" w:after="40"/>
            </w:pPr>
            <w:r>
              <w:rPr>
                <w:b w:val="0"/>
                <w:sz w:val="18"/>
              </w:rPr>
              <w:t>81.89%</w:t>
            </w:r>
          </w:p>
        </w:tc>
        <w:tc>
          <w:tcPr>
            <w:tcW w:type="dxa" w:w="1253"/>
          </w:tcPr>
          <w:p>
            <w:pPr>
              <w:spacing w:before="40" w:after="40"/>
            </w:pPr>
            <w:r>
              <w:rPr>
                <w:b w:val="0"/>
                <w:sz w:val="18"/>
              </w:rPr>
              <w:t>83.49%</w:t>
            </w:r>
          </w:p>
        </w:tc>
      </w:tr>
      <w:tr>
        <w:trPr>
          <w:cantSplit/>
        </w:trPr>
        <w:tc>
          <w:tcPr>
            <w:tcW w:type="dxa" w:w="2376"/>
          </w:tcPr>
          <w:p>
            <w:pPr>
              <w:spacing w:before="40" w:after="40"/>
            </w:pPr>
            <w:r>
              <w:rPr>
                <w:b w:val="0"/>
                <w:sz w:val="18"/>
              </w:rPr>
              <w:t>±30° mean</w:t>
            </w:r>
          </w:p>
        </w:tc>
        <w:tc>
          <w:tcPr>
            <w:tcW w:type="dxa" w:w="1253"/>
          </w:tcPr>
          <w:p>
            <w:pPr>
              <w:spacing w:before="40" w:after="40"/>
            </w:pPr>
            <w:r>
              <w:rPr>
                <w:b w:val="0"/>
                <w:sz w:val="18"/>
              </w:rPr>
              <w:t>84.51%</w:t>
            </w:r>
          </w:p>
        </w:tc>
        <w:tc>
          <w:tcPr>
            <w:tcW w:type="dxa" w:w="1253"/>
          </w:tcPr>
          <w:p>
            <w:pPr>
              <w:spacing w:before="40" w:after="40"/>
            </w:pPr>
            <w:r>
              <w:rPr>
                <w:b w:val="0"/>
                <w:sz w:val="18"/>
              </w:rPr>
              <w:t>89.65%</w:t>
            </w:r>
          </w:p>
        </w:tc>
        <w:tc>
          <w:tcPr>
            <w:tcW w:type="dxa" w:w="1253"/>
          </w:tcPr>
          <w:p>
            <w:pPr>
              <w:spacing w:before="40" w:after="40"/>
            </w:pPr>
            <w:r>
              <w:rPr>
                <w:b w:val="0"/>
                <w:sz w:val="18"/>
              </w:rPr>
              <w:t>90.72%</w:t>
            </w:r>
          </w:p>
        </w:tc>
        <w:tc>
          <w:tcPr>
            <w:tcW w:type="dxa" w:w="1253"/>
          </w:tcPr>
          <w:p>
            <w:pPr>
              <w:spacing w:before="40" w:after="40"/>
            </w:pPr>
            <w:r>
              <w:rPr>
                <w:b w:val="0"/>
                <w:sz w:val="18"/>
              </w:rPr>
              <w:t>82.84%</w:t>
            </w:r>
          </w:p>
        </w:tc>
        <w:tc>
          <w:tcPr>
            <w:tcW w:type="dxa" w:w="1253"/>
          </w:tcPr>
          <w:p>
            <w:pPr>
              <w:spacing w:before="40" w:after="40"/>
            </w:pPr>
            <w:r>
              <w:rPr>
                <w:b w:val="0"/>
                <w:sz w:val="18"/>
              </w:rPr>
              <w:t>84.44%</w:t>
            </w:r>
          </w:p>
        </w:tc>
      </w:tr>
      <w:tr>
        <w:trPr>
          <w:cantSplit/>
        </w:trPr>
        <w:tc>
          <w:tcPr>
            <w:tcW w:type="dxa" w:w="2376"/>
          </w:tcPr>
          <w:p>
            <w:pPr>
              <w:spacing w:before="40" w:after="40"/>
            </w:pPr>
            <w:r>
              <w:rPr>
                <w:b w:val="0"/>
                <w:sz w:val="18"/>
              </w:rPr>
              <w:t>±45° single</w:t>
            </w:r>
          </w:p>
        </w:tc>
        <w:tc>
          <w:tcPr>
            <w:tcW w:type="dxa" w:w="1253"/>
          </w:tcPr>
          <w:p>
            <w:pPr>
              <w:spacing w:before="40" w:after="40"/>
            </w:pPr>
            <w:r>
              <w:rPr>
                <w:b w:val="0"/>
                <w:sz w:val="18"/>
              </w:rPr>
              <w:t>83.51%</w:t>
            </w:r>
          </w:p>
        </w:tc>
        <w:tc>
          <w:tcPr>
            <w:tcW w:type="dxa" w:w="1253"/>
          </w:tcPr>
          <w:p>
            <w:pPr>
              <w:spacing w:before="40" w:after="40"/>
            </w:pPr>
            <w:r>
              <w:rPr>
                <w:b w:val="0"/>
                <w:sz w:val="18"/>
              </w:rPr>
              <w:t>88.92%</w:t>
            </w:r>
          </w:p>
        </w:tc>
        <w:tc>
          <w:tcPr>
            <w:tcW w:type="dxa" w:w="1253"/>
          </w:tcPr>
          <w:p>
            <w:pPr>
              <w:spacing w:before="40" w:after="40"/>
            </w:pPr>
            <w:r>
              <w:rPr>
                <w:b w:val="0"/>
                <w:sz w:val="18"/>
              </w:rPr>
              <w:t>90.52%</w:t>
            </w:r>
          </w:p>
        </w:tc>
        <w:tc>
          <w:tcPr>
            <w:tcW w:type="dxa" w:w="1253"/>
          </w:tcPr>
          <w:p>
            <w:pPr>
              <w:spacing w:before="40" w:after="40"/>
            </w:pPr>
            <w:r>
              <w:rPr>
                <w:b w:val="0"/>
                <w:sz w:val="18"/>
              </w:rPr>
              <w:t>81.67%</w:t>
            </w:r>
          </w:p>
        </w:tc>
        <w:tc>
          <w:tcPr>
            <w:tcW w:type="dxa" w:w="1253"/>
          </w:tcPr>
          <w:p>
            <w:pPr>
              <w:spacing w:before="40" w:after="40"/>
            </w:pPr>
            <w:r>
              <w:rPr>
                <w:b w:val="0"/>
                <w:sz w:val="18"/>
              </w:rPr>
              <w:t>83.33%</w:t>
            </w:r>
          </w:p>
        </w:tc>
      </w:tr>
      <w:tr>
        <w:trPr>
          <w:cantSplit/>
        </w:trPr>
        <w:tc>
          <w:tcPr>
            <w:tcW w:type="dxa" w:w="2376"/>
          </w:tcPr>
          <w:p>
            <w:pPr>
              <w:spacing w:before="40" w:after="40"/>
            </w:pPr>
            <w:r>
              <w:rPr>
                <w:b w:val="0"/>
                <w:sz w:val="18"/>
              </w:rPr>
              <w:t>±45° mean (selected)</w:t>
            </w:r>
          </w:p>
        </w:tc>
        <w:tc>
          <w:tcPr>
            <w:tcW w:type="dxa" w:w="1253"/>
          </w:tcPr>
          <w:p>
            <w:pPr>
              <w:spacing w:before="40" w:after="40"/>
            </w:pPr>
            <w:r>
              <w:rPr>
                <w:b w:val="0"/>
                <w:sz w:val="18"/>
              </w:rPr>
              <w:t>85.11%</w:t>
            </w:r>
          </w:p>
        </w:tc>
        <w:tc>
          <w:tcPr>
            <w:tcW w:type="dxa" w:w="1253"/>
          </w:tcPr>
          <w:p>
            <w:pPr>
              <w:spacing w:before="40" w:after="40"/>
            </w:pPr>
            <w:r>
              <w:rPr>
                <w:b w:val="0"/>
                <w:sz w:val="18"/>
              </w:rPr>
              <w:t>89.92%</w:t>
            </w:r>
          </w:p>
        </w:tc>
        <w:tc>
          <w:tcPr>
            <w:tcW w:type="dxa" w:w="1253"/>
          </w:tcPr>
          <w:p>
            <w:pPr>
              <w:spacing w:before="40" w:after="40"/>
            </w:pPr>
            <w:r>
              <w:rPr>
                <w:b w:val="0"/>
                <w:sz w:val="18"/>
              </w:rPr>
              <w:t>91.32%</w:t>
            </w:r>
          </w:p>
        </w:tc>
        <w:tc>
          <w:tcPr>
            <w:tcW w:type="dxa" w:w="1253"/>
          </w:tcPr>
          <w:p>
            <w:pPr>
              <w:spacing w:before="40" w:after="40"/>
            </w:pPr>
            <w:r>
              <w:rPr>
                <w:b w:val="0"/>
                <w:sz w:val="18"/>
              </w:rPr>
              <w:t>83.74%</w:t>
            </w:r>
          </w:p>
        </w:tc>
        <w:tc>
          <w:tcPr>
            <w:tcW w:type="dxa" w:w="1253"/>
          </w:tcPr>
          <w:p>
            <w:pPr>
              <w:spacing w:before="40" w:after="40"/>
            </w:pPr>
            <w:r>
              <w:rPr>
                <w:b w:val="0"/>
                <w:sz w:val="18"/>
              </w:rPr>
              <w:t>84.97%</w:t>
            </w:r>
          </w:p>
        </w:tc>
      </w:tr>
    </w:tbl>
    <w:p>
      <w:pPr>
        <w:spacing w:after="0" w:before="0"/>
      </w:pPr>
    </w:p>
    <w:p>
      <w:pPr>
        <w:widowControl/>
        <w:spacing w:after="120"/>
      </w:pPr>
      <w:r>
        <w:t>Original baseline is the previous model (affine ±15° plus RandAugment). ±45° single-image accuracy is 83.51%, a 1.00-point gain over baseline; seven-angle mean adds 1.60 points. The combined gain is 2.60 points: 1,275 instead of 1,236 correct images. Compared with ±30° + mean, the gain is 0.60 points or nine images. Macro F1 increases by 0.90 points over ±30° mean and 3.47 points over baseline.</w:t>
      </w:r>
    </w:p>
    <w:p>
      <w:pPr>
        <w:widowControl/>
        <w:spacing w:after="120"/>
      </w:pPr>
      <w:r>
        <w:t>These are measured results from individual fits. They do not establish repeated-seed reliability or statistical significance. The historical 156-label reports use an earlier label taxonomy; the comparison here uses 149 canonical identities throughout.</w:t>
      </w:r>
    </w:p>
    <w:p>
      <w:pPr>
        <w:pStyle w:val="Heading1"/>
        <w:keepNext/>
        <w:pageBreakBefore/>
      </w:pPr>
      <w:r>
        <w:t>2. What changed from the baseline?</w:t>
      </w:r>
    </w:p>
    <w:p>
      <w:pPr>
        <w:widowControl/>
        <w:spacing w:after="120"/>
      </w:pPr>
      <w:r>
        <w:t>The previous strong profile explicitly used RandomAffine(degrees=15), sampling −15° to +15°. Restricted RandAugment then selected two operations at magnitude 5. In torchvision 0.17.2, a selected Rotate operation adds +5° or −5° and operations can repeat, so the total baseline rotation could exceed ±15°.</w:t>
      </w:r>
    </w:p>
    <w:p>
      <w:pPr>
        <w:widowControl/>
        <w:spacing w:after="120"/>
      </w:pPr>
      <w:r>
        <w:t>The original policies use one affine transformation and omit RandAugment, while also changing other settings. The ±45°/±60° follow-up changes only rotation relative to ±30°: scale, translation, noise, blur, erasing, split, seed and training budget match. Angle labels are training ranges, not fixed inference angles.</w:t>
      </w:r>
    </w:p>
    <w:p>
      <w:pPr>
        <w:pStyle w:val="Heading2"/>
        <w:keepNext/>
      </w:pPr>
      <w:r>
        <w:t>Geometry</w:t>
      </w:r>
    </w:p>
    <w:tbl>
      <w:tblPr>
        <w:tblStyle w:val="LightGrid-Accent1"/>
        <w:tblW w:type="auto" w:w="0"/>
        <w:jc w:val="center"/>
        <w:tblLayout w:type="fixed"/>
        <w:tblLook w:firstColumn="1" w:firstRow="1" w:lastColumn="0" w:lastRow="0" w:noHBand="0" w:noVBand="1" w:val="04A0"/>
      </w:tblPr>
      <w:tblGrid>
        <w:gridCol w:w="1224"/>
        <w:gridCol w:w="3240"/>
        <w:gridCol w:w="1944"/>
        <w:gridCol w:w="2232"/>
      </w:tblGrid>
      <w:tr>
        <w:trPr>
          <w:cantSplit/>
          <w:tblHeader/>
        </w:trPr>
        <w:tc>
          <w:tcPr>
            <w:tcW w:type="dxa" w:w="1224"/>
            <w:vAlign w:val="center"/>
          </w:tcPr>
          <w:p>
            <w:pPr>
              <w:spacing w:before="40" w:after="40"/>
            </w:pPr>
            <w:r>
              <w:rPr>
                <w:b/>
                <w:sz w:val="18"/>
              </w:rPr>
              <w:t>Policy</w:t>
            </w:r>
          </w:p>
        </w:tc>
        <w:tc>
          <w:tcPr>
            <w:tcW w:type="dxa" w:w="3240"/>
            <w:vAlign w:val="center"/>
          </w:tcPr>
          <w:p>
            <w:pPr>
              <w:spacing w:before="40" w:after="40"/>
            </w:pPr>
            <w:r>
              <w:rPr>
                <w:b/>
                <w:sz w:val="18"/>
              </w:rPr>
              <w:t>Affine rotation</w:t>
            </w:r>
          </w:p>
        </w:tc>
        <w:tc>
          <w:tcPr>
            <w:tcW w:type="dxa" w:w="1944"/>
            <w:vAlign w:val="center"/>
          </w:tcPr>
          <w:p>
            <w:pPr>
              <w:spacing w:before="40" w:after="40"/>
            </w:pPr>
            <w:r>
              <w:rPr>
                <w:b/>
                <w:sz w:val="18"/>
              </w:rPr>
              <w:t>Scale</w:t>
            </w:r>
          </w:p>
        </w:tc>
        <w:tc>
          <w:tcPr>
            <w:tcW w:type="dxa" w:w="2232"/>
            <w:vAlign w:val="center"/>
          </w:tcPr>
          <w:p>
            <w:pPr>
              <w:spacing w:before="40" w:after="40"/>
            </w:pPr>
            <w:r>
              <w:rPr>
                <w:b/>
                <w:sz w:val="18"/>
              </w:rPr>
              <w:t>Translation</w:t>
            </w:r>
          </w:p>
        </w:tc>
      </w:tr>
      <w:tr>
        <w:trPr>
          <w:cantSplit/>
        </w:trPr>
        <w:tc>
          <w:tcPr>
            <w:tcW w:type="dxa" w:w="1224"/>
            <w:vAlign w:val="center"/>
          </w:tcPr>
          <w:p>
            <w:pPr>
              <w:spacing w:before="40" w:after="40"/>
            </w:pPr>
            <w:r>
              <w:rPr>
                <w:b w:val="0"/>
                <w:sz w:val="18"/>
              </w:rPr>
              <w:t>Baseline</w:t>
            </w:r>
          </w:p>
        </w:tc>
        <w:tc>
          <w:tcPr>
            <w:tcW w:type="dxa" w:w="3240"/>
            <w:vAlign w:val="center"/>
          </w:tcPr>
          <w:p>
            <w:pPr>
              <w:spacing w:before="40" w:after="40"/>
            </w:pPr>
            <w:r>
              <w:rPr>
                <w:b w:val="0"/>
                <w:sz w:val="18"/>
              </w:rPr>
              <w:t>±15° + possible RA rotation</w:t>
            </w:r>
          </w:p>
        </w:tc>
        <w:tc>
          <w:tcPr>
            <w:tcW w:type="dxa" w:w="1944"/>
            <w:vAlign w:val="center"/>
          </w:tcPr>
          <w:p>
            <w:pPr>
              <w:spacing w:before="40" w:after="40"/>
            </w:pPr>
            <w:r>
              <w:rPr>
                <w:b w:val="0"/>
                <w:sz w:val="18"/>
              </w:rPr>
              <w:t>0.90–1.10</w:t>
            </w:r>
          </w:p>
        </w:tc>
        <w:tc>
          <w:tcPr>
            <w:tcW w:type="dxa" w:w="2232"/>
            <w:vAlign w:val="center"/>
          </w:tcPr>
          <w:p>
            <w:pPr>
              <w:spacing w:before="40" w:after="40"/>
            </w:pPr>
            <w:r>
              <w:rPr>
                <w:b w:val="0"/>
                <w:sz w:val="18"/>
              </w:rPr>
              <w:t>±8%</w:t>
            </w:r>
          </w:p>
        </w:tc>
      </w:tr>
      <w:tr>
        <w:trPr>
          <w:cantSplit/>
        </w:trPr>
        <w:tc>
          <w:tcPr>
            <w:tcW w:type="dxa" w:w="1224"/>
            <w:vAlign w:val="center"/>
          </w:tcPr>
          <w:p>
            <w:pPr>
              <w:spacing w:before="40" w:after="40"/>
            </w:pPr>
            <w:r>
              <w:rPr>
                <w:b w:val="0"/>
                <w:sz w:val="18"/>
              </w:rPr>
              <w:t>±30°</w:t>
            </w:r>
          </w:p>
        </w:tc>
        <w:tc>
          <w:tcPr>
            <w:tcW w:type="dxa" w:w="3240"/>
            <w:vAlign w:val="center"/>
          </w:tcPr>
          <w:p>
            <w:pPr>
              <w:spacing w:before="40" w:after="40"/>
            </w:pPr>
            <w:r>
              <w:rPr>
                <w:b w:val="0"/>
                <w:sz w:val="18"/>
              </w:rPr>
              <w:t>−30° to +30°</w:t>
            </w:r>
          </w:p>
        </w:tc>
        <w:tc>
          <w:tcPr>
            <w:tcW w:type="dxa" w:w="1944"/>
            <w:vAlign w:val="center"/>
          </w:tcPr>
          <w:p>
            <w:pPr>
              <w:spacing w:before="40" w:after="40"/>
            </w:pPr>
            <w:r>
              <w:rPr>
                <w:b w:val="0"/>
                <w:sz w:val="18"/>
              </w:rPr>
              <w:t>0.80–1.25</w:t>
            </w:r>
          </w:p>
        </w:tc>
        <w:tc>
          <w:tcPr>
            <w:tcW w:type="dxa" w:w="2232"/>
            <w:vAlign w:val="center"/>
          </w:tcPr>
          <w:p>
            <w:pPr>
              <w:spacing w:before="40" w:after="40"/>
            </w:pPr>
            <w:r>
              <w:rPr>
                <w:b w:val="0"/>
                <w:sz w:val="18"/>
              </w:rPr>
              <w:t>±10%</w:t>
            </w:r>
          </w:p>
        </w:tc>
      </w:tr>
      <w:tr>
        <w:trPr>
          <w:cantSplit/>
        </w:trPr>
        <w:tc>
          <w:tcPr>
            <w:tcW w:type="dxa" w:w="1224"/>
            <w:vAlign w:val="center"/>
          </w:tcPr>
          <w:p>
            <w:pPr>
              <w:spacing w:before="40" w:after="40"/>
            </w:pPr>
            <w:r>
              <w:rPr>
                <w:b w:val="0"/>
                <w:sz w:val="18"/>
              </w:rPr>
              <w:t>±45°</w:t>
            </w:r>
          </w:p>
        </w:tc>
        <w:tc>
          <w:tcPr>
            <w:tcW w:type="dxa" w:w="3240"/>
            <w:vAlign w:val="center"/>
          </w:tcPr>
          <w:p>
            <w:pPr>
              <w:spacing w:before="40" w:after="40"/>
            </w:pPr>
            <w:r>
              <w:rPr>
                <w:b w:val="0"/>
                <w:sz w:val="18"/>
              </w:rPr>
              <w:t>−45° to +45°</w:t>
            </w:r>
          </w:p>
        </w:tc>
        <w:tc>
          <w:tcPr>
            <w:tcW w:type="dxa" w:w="1944"/>
            <w:vAlign w:val="center"/>
          </w:tcPr>
          <w:p>
            <w:pPr>
              <w:spacing w:before="40" w:after="40"/>
            </w:pPr>
            <w:r>
              <w:rPr>
                <w:b w:val="0"/>
                <w:sz w:val="18"/>
              </w:rPr>
              <w:t>0.80–1.25</w:t>
            </w:r>
          </w:p>
        </w:tc>
        <w:tc>
          <w:tcPr>
            <w:tcW w:type="dxa" w:w="2232"/>
            <w:vAlign w:val="center"/>
          </w:tcPr>
          <w:p>
            <w:pPr>
              <w:spacing w:before="40" w:after="40"/>
            </w:pPr>
            <w:r>
              <w:rPr>
                <w:b w:val="0"/>
                <w:sz w:val="18"/>
              </w:rPr>
              <w:t>±10%</w:t>
            </w:r>
          </w:p>
        </w:tc>
      </w:tr>
      <w:tr>
        <w:trPr>
          <w:cantSplit/>
        </w:trPr>
        <w:tc>
          <w:tcPr>
            <w:tcW w:type="dxa" w:w="1224"/>
            <w:vAlign w:val="center"/>
          </w:tcPr>
          <w:p>
            <w:pPr>
              <w:spacing w:before="40" w:after="40"/>
            </w:pPr>
            <w:r>
              <w:rPr>
                <w:b w:val="0"/>
                <w:sz w:val="18"/>
              </w:rPr>
              <w:t>±60°</w:t>
            </w:r>
          </w:p>
        </w:tc>
        <w:tc>
          <w:tcPr>
            <w:tcW w:type="dxa" w:w="3240"/>
            <w:vAlign w:val="center"/>
          </w:tcPr>
          <w:p>
            <w:pPr>
              <w:spacing w:before="40" w:after="40"/>
            </w:pPr>
            <w:r>
              <w:rPr>
                <w:b w:val="0"/>
                <w:sz w:val="18"/>
              </w:rPr>
              <w:t>−60° to +60°</w:t>
            </w:r>
          </w:p>
        </w:tc>
        <w:tc>
          <w:tcPr>
            <w:tcW w:type="dxa" w:w="1944"/>
            <w:vAlign w:val="center"/>
          </w:tcPr>
          <w:p>
            <w:pPr>
              <w:spacing w:before="40" w:after="40"/>
            </w:pPr>
            <w:r>
              <w:rPr>
                <w:b w:val="0"/>
                <w:sz w:val="18"/>
              </w:rPr>
              <w:t>0.80–1.25</w:t>
            </w:r>
          </w:p>
        </w:tc>
        <w:tc>
          <w:tcPr>
            <w:tcW w:type="dxa" w:w="2232"/>
            <w:vAlign w:val="center"/>
          </w:tcPr>
          <w:p>
            <w:pPr>
              <w:spacing w:before="40" w:after="40"/>
            </w:pPr>
            <w:r>
              <w:rPr>
                <w:b w:val="0"/>
                <w:sz w:val="18"/>
              </w:rPr>
              <w:t>±10%</w:t>
            </w:r>
          </w:p>
        </w:tc>
      </w:tr>
      <w:tr>
        <w:trPr>
          <w:cantSplit/>
        </w:trPr>
        <w:tc>
          <w:tcPr>
            <w:tcW w:type="dxa" w:w="1224"/>
            <w:vAlign w:val="center"/>
          </w:tcPr>
          <w:p>
            <w:pPr>
              <w:spacing w:before="40" w:after="40"/>
            </w:pPr>
            <w:r>
              <w:rPr>
                <w:b w:val="0"/>
                <w:sz w:val="18"/>
              </w:rPr>
              <w:t>±100°</w:t>
            </w:r>
          </w:p>
        </w:tc>
        <w:tc>
          <w:tcPr>
            <w:tcW w:type="dxa" w:w="3240"/>
            <w:vAlign w:val="center"/>
          </w:tcPr>
          <w:p>
            <w:pPr>
              <w:spacing w:before="40" w:after="40"/>
            </w:pPr>
            <w:r>
              <w:rPr>
                <w:b w:val="0"/>
                <w:sz w:val="18"/>
              </w:rPr>
              <w:t>−100° to +100°</w:t>
            </w:r>
          </w:p>
        </w:tc>
        <w:tc>
          <w:tcPr>
            <w:tcW w:type="dxa" w:w="1944"/>
            <w:vAlign w:val="center"/>
          </w:tcPr>
          <w:p>
            <w:pPr>
              <w:spacing w:before="40" w:after="40"/>
            </w:pPr>
            <w:r>
              <w:rPr>
                <w:b w:val="0"/>
                <w:sz w:val="18"/>
              </w:rPr>
              <w:t>0.70–1.35</w:t>
            </w:r>
          </w:p>
        </w:tc>
        <w:tc>
          <w:tcPr>
            <w:tcW w:type="dxa" w:w="2232"/>
            <w:vAlign w:val="center"/>
          </w:tcPr>
          <w:p>
            <w:pPr>
              <w:spacing w:before="40" w:after="40"/>
            </w:pPr>
            <w:r>
              <w:rPr>
                <w:b w:val="0"/>
                <w:sz w:val="18"/>
              </w:rPr>
              <w:t>±12%</w:t>
            </w:r>
          </w:p>
        </w:tc>
      </w:tr>
      <w:tr>
        <w:trPr>
          <w:cantSplit/>
        </w:trPr>
        <w:tc>
          <w:tcPr>
            <w:tcW w:type="dxa" w:w="1224"/>
            <w:vAlign w:val="center"/>
          </w:tcPr>
          <w:p>
            <w:pPr>
              <w:spacing w:before="40" w:after="40"/>
            </w:pPr>
            <w:r>
              <w:rPr>
                <w:b w:val="0"/>
                <w:sz w:val="18"/>
              </w:rPr>
              <w:t>±150°</w:t>
            </w:r>
          </w:p>
        </w:tc>
        <w:tc>
          <w:tcPr>
            <w:tcW w:type="dxa" w:w="3240"/>
            <w:vAlign w:val="center"/>
          </w:tcPr>
          <w:p>
            <w:pPr>
              <w:spacing w:before="40" w:after="40"/>
            </w:pPr>
            <w:r>
              <w:rPr>
                <w:b w:val="0"/>
                <w:sz w:val="18"/>
              </w:rPr>
              <w:t>−150° to +150°</w:t>
            </w:r>
          </w:p>
        </w:tc>
        <w:tc>
          <w:tcPr>
            <w:tcW w:type="dxa" w:w="1944"/>
            <w:vAlign w:val="center"/>
          </w:tcPr>
          <w:p>
            <w:pPr>
              <w:spacing w:before="40" w:after="40"/>
            </w:pPr>
            <w:r>
              <w:rPr>
                <w:b w:val="0"/>
                <w:sz w:val="18"/>
              </w:rPr>
              <w:t>0.60–1.50</w:t>
            </w:r>
          </w:p>
        </w:tc>
        <w:tc>
          <w:tcPr>
            <w:tcW w:type="dxa" w:w="2232"/>
            <w:vAlign w:val="center"/>
          </w:tcPr>
          <w:p>
            <w:pPr>
              <w:spacing w:before="40" w:after="40"/>
            </w:pPr>
            <w:r>
              <w:rPr>
                <w:b w:val="0"/>
                <w:sz w:val="18"/>
              </w:rPr>
              <w:t>±15%</w:t>
            </w:r>
          </w:p>
        </w:tc>
      </w:tr>
    </w:tbl>
    <w:p>
      <w:pPr>
        <w:spacing w:after="0" w:before="0"/>
      </w:pPr>
    </w:p>
    <w:p>
      <w:pPr>
        <w:pStyle w:val="Heading2"/>
        <w:keepNext/>
      </w:pPr>
      <w:r>
        <w:t>Noise, blur and occlusion</w:t>
      </w:r>
    </w:p>
    <w:tbl>
      <w:tblPr>
        <w:tblStyle w:val="LightGrid-Accent1"/>
        <w:tblW w:type="auto" w:w="0"/>
        <w:jc w:val="center"/>
        <w:tblLayout w:type="fixed"/>
        <w:tblLook w:firstColumn="1" w:firstRow="1" w:lastColumn="0" w:lastRow="0" w:noHBand="0" w:noVBand="1" w:val="04A0"/>
      </w:tblPr>
      <w:tblGrid>
        <w:gridCol w:w="1224"/>
        <w:gridCol w:w="2376"/>
        <w:gridCol w:w="2592"/>
        <w:gridCol w:w="2448"/>
      </w:tblGrid>
      <w:tr>
        <w:trPr>
          <w:cantSplit/>
          <w:tblHeader/>
        </w:trPr>
        <w:tc>
          <w:tcPr>
            <w:tcW w:type="dxa" w:w="1224"/>
            <w:vAlign w:val="center"/>
          </w:tcPr>
          <w:p>
            <w:pPr>
              <w:spacing w:before="40" w:after="40"/>
            </w:pPr>
            <w:r>
              <w:rPr>
                <w:b/>
                <w:sz w:val="18"/>
              </w:rPr>
              <w:t>Policy</w:t>
            </w:r>
          </w:p>
        </w:tc>
        <w:tc>
          <w:tcPr>
            <w:tcW w:type="dxa" w:w="2376"/>
            <w:vAlign w:val="center"/>
          </w:tcPr>
          <w:p>
            <w:pPr>
              <w:spacing w:before="40" w:after="40"/>
            </w:pPr>
            <w:r>
              <w:rPr>
                <w:b/>
                <w:sz w:val="18"/>
              </w:rPr>
              <w:t>Noise: σ / probability</w:t>
            </w:r>
          </w:p>
        </w:tc>
        <w:tc>
          <w:tcPr>
            <w:tcW w:type="dxa" w:w="2592"/>
            <w:vAlign w:val="center"/>
          </w:tcPr>
          <w:p>
            <w:pPr>
              <w:spacing w:before="40" w:after="40"/>
            </w:pPr>
            <w:r>
              <w:rPr>
                <w:b/>
                <w:sz w:val="18"/>
              </w:rPr>
              <w:t>Blur: σ / probability</w:t>
            </w:r>
          </w:p>
        </w:tc>
        <w:tc>
          <w:tcPr>
            <w:tcW w:type="dxa" w:w="2448"/>
            <w:vAlign w:val="center"/>
          </w:tcPr>
          <w:p>
            <w:pPr>
              <w:spacing w:before="40" w:after="40"/>
            </w:pPr>
            <w:r>
              <w:rPr>
                <w:b/>
                <w:sz w:val="18"/>
              </w:rPr>
              <w:t>Erasing: probability / area</w:t>
            </w:r>
          </w:p>
        </w:tc>
      </w:tr>
      <w:tr>
        <w:trPr>
          <w:cantSplit/>
        </w:trPr>
        <w:tc>
          <w:tcPr>
            <w:tcW w:type="dxa" w:w="1224"/>
            <w:vAlign w:val="center"/>
          </w:tcPr>
          <w:p>
            <w:pPr>
              <w:spacing w:before="40" w:after="40"/>
            </w:pPr>
            <w:r>
              <w:rPr>
                <w:b w:val="0"/>
                <w:sz w:val="18"/>
              </w:rPr>
              <w:t>Baseline</w:t>
            </w:r>
          </w:p>
        </w:tc>
        <w:tc>
          <w:tcPr>
            <w:tcW w:type="dxa" w:w="2376"/>
            <w:vAlign w:val="center"/>
          </w:tcPr>
          <w:p>
            <w:pPr>
              <w:spacing w:before="40" w:after="40"/>
            </w:pPr>
            <w:r>
              <w:rPr>
                <w:b w:val="0"/>
                <w:sz w:val="18"/>
              </w:rPr>
              <w:t>No explicit Gaussian noise</w:t>
            </w:r>
          </w:p>
        </w:tc>
        <w:tc>
          <w:tcPr>
            <w:tcW w:type="dxa" w:w="2592"/>
            <w:vAlign w:val="center"/>
          </w:tcPr>
          <w:p>
            <w:pPr>
              <w:spacing w:before="40" w:after="40"/>
            </w:pPr>
            <w:r>
              <w:rPr>
                <w:b w:val="0"/>
                <w:sz w:val="18"/>
              </w:rPr>
              <w:t>0.1–2.0 / 35% (5×5)</w:t>
            </w:r>
          </w:p>
        </w:tc>
        <w:tc>
          <w:tcPr>
            <w:tcW w:type="dxa" w:w="2448"/>
            <w:vAlign w:val="center"/>
          </w:tcPr>
          <w:p>
            <w:pPr>
              <w:spacing w:before="40" w:after="40"/>
            </w:pPr>
            <w:r>
              <w:rPr>
                <w:b w:val="0"/>
                <w:sz w:val="18"/>
              </w:rPr>
              <w:t>30% / 2–12%</w:t>
            </w:r>
          </w:p>
        </w:tc>
      </w:tr>
      <w:tr>
        <w:trPr>
          <w:cantSplit/>
        </w:trPr>
        <w:tc>
          <w:tcPr>
            <w:tcW w:type="dxa" w:w="1224"/>
            <w:vAlign w:val="center"/>
          </w:tcPr>
          <w:p>
            <w:pPr>
              <w:spacing w:before="40" w:after="40"/>
            </w:pPr>
            <w:r>
              <w:rPr>
                <w:b w:val="0"/>
                <w:sz w:val="18"/>
              </w:rPr>
              <w:t>±30°</w:t>
            </w:r>
          </w:p>
        </w:tc>
        <w:tc>
          <w:tcPr>
            <w:tcW w:type="dxa" w:w="2376"/>
            <w:vAlign w:val="center"/>
          </w:tcPr>
          <w:p>
            <w:pPr>
              <w:spacing w:before="40" w:after="40"/>
            </w:pPr>
            <w:r>
              <w:rPr>
                <w:b w:val="0"/>
                <w:sz w:val="18"/>
              </w:rPr>
              <w:t>0.03 / 35%</w:t>
            </w:r>
          </w:p>
        </w:tc>
        <w:tc>
          <w:tcPr>
            <w:tcW w:type="dxa" w:w="2592"/>
            <w:vAlign w:val="center"/>
          </w:tcPr>
          <w:p>
            <w:pPr>
              <w:spacing w:before="40" w:after="40"/>
            </w:pPr>
            <w:r>
              <w:rPr>
                <w:b w:val="0"/>
                <w:sz w:val="18"/>
              </w:rPr>
              <w:t>0.2–2.0 / 40% (7×7)</w:t>
            </w:r>
          </w:p>
        </w:tc>
        <w:tc>
          <w:tcPr>
            <w:tcW w:type="dxa" w:w="2448"/>
            <w:vAlign w:val="center"/>
          </w:tcPr>
          <w:p>
            <w:pPr>
              <w:spacing w:before="40" w:after="40"/>
            </w:pPr>
            <w:r>
              <w:rPr>
                <w:b w:val="0"/>
                <w:sz w:val="18"/>
              </w:rPr>
              <w:t>20% / 2–10%</w:t>
            </w:r>
          </w:p>
        </w:tc>
      </w:tr>
      <w:tr>
        <w:trPr>
          <w:cantSplit/>
        </w:trPr>
        <w:tc>
          <w:tcPr>
            <w:tcW w:type="dxa" w:w="1224"/>
            <w:vAlign w:val="center"/>
          </w:tcPr>
          <w:p>
            <w:pPr>
              <w:spacing w:before="40" w:after="40"/>
            </w:pPr>
            <w:r>
              <w:rPr>
                <w:b w:val="0"/>
                <w:sz w:val="18"/>
              </w:rPr>
              <w:t>±45°</w:t>
            </w:r>
          </w:p>
        </w:tc>
        <w:tc>
          <w:tcPr>
            <w:tcW w:type="dxa" w:w="2376"/>
            <w:vAlign w:val="center"/>
          </w:tcPr>
          <w:p>
            <w:pPr>
              <w:spacing w:before="40" w:after="40"/>
            </w:pPr>
            <w:r>
              <w:rPr>
                <w:b w:val="0"/>
                <w:sz w:val="18"/>
              </w:rPr>
              <w:t>0.03 / 35%</w:t>
            </w:r>
          </w:p>
        </w:tc>
        <w:tc>
          <w:tcPr>
            <w:tcW w:type="dxa" w:w="2592"/>
            <w:vAlign w:val="center"/>
          </w:tcPr>
          <w:p>
            <w:pPr>
              <w:spacing w:before="40" w:after="40"/>
            </w:pPr>
            <w:r>
              <w:rPr>
                <w:b w:val="0"/>
                <w:sz w:val="18"/>
              </w:rPr>
              <w:t>0.2–2.0 / 40% (7×7)</w:t>
            </w:r>
          </w:p>
        </w:tc>
        <w:tc>
          <w:tcPr>
            <w:tcW w:type="dxa" w:w="2448"/>
            <w:vAlign w:val="center"/>
          </w:tcPr>
          <w:p>
            <w:pPr>
              <w:spacing w:before="40" w:after="40"/>
            </w:pPr>
            <w:r>
              <w:rPr>
                <w:b w:val="0"/>
                <w:sz w:val="18"/>
              </w:rPr>
              <w:t>20% / 2–10%</w:t>
            </w:r>
          </w:p>
        </w:tc>
      </w:tr>
      <w:tr>
        <w:trPr>
          <w:cantSplit/>
        </w:trPr>
        <w:tc>
          <w:tcPr>
            <w:tcW w:type="dxa" w:w="1224"/>
            <w:vAlign w:val="center"/>
          </w:tcPr>
          <w:p>
            <w:pPr>
              <w:spacing w:before="40" w:after="40"/>
            </w:pPr>
            <w:r>
              <w:rPr>
                <w:b w:val="0"/>
                <w:sz w:val="18"/>
              </w:rPr>
              <w:t>±60°</w:t>
            </w:r>
          </w:p>
        </w:tc>
        <w:tc>
          <w:tcPr>
            <w:tcW w:type="dxa" w:w="2376"/>
            <w:vAlign w:val="center"/>
          </w:tcPr>
          <w:p>
            <w:pPr>
              <w:spacing w:before="40" w:after="40"/>
            </w:pPr>
            <w:r>
              <w:rPr>
                <w:b w:val="0"/>
                <w:sz w:val="18"/>
              </w:rPr>
              <w:t>0.03 / 35%</w:t>
            </w:r>
          </w:p>
        </w:tc>
        <w:tc>
          <w:tcPr>
            <w:tcW w:type="dxa" w:w="2592"/>
            <w:vAlign w:val="center"/>
          </w:tcPr>
          <w:p>
            <w:pPr>
              <w:spacing w:before="40" w:after="40"/>
            </w:pPr>
            <w:r>
              <w:rPr>
                <w:b w:val="0"/>
                <w:sz w:val="18"/>
              </w:rPr>
              <w:t>0.2–2.0 / 40% (7×7)</w:t>
            </w:r>
          </w:p>
        </w:tc>
        <w:tc>
          <w:tcPr>
            <w:tcW w:type="dxa" w:w="2448"/>
            <w:vAlign w:val="center"/>
          </w:tcPr>
          <w:p>
            <w:pPr>
              <w:spacing w:before="40" w:after="40"/>
            </w:pPr>
            <w:r>
              <w:rPr>
                <w:b w:val="0"/>
                <w:sz w:val="18"/>
              </w:rPr>
              <w:t>20% / 2–10%</w:t>
            </w:r>
          </w:p>
        </w:tc>
      </w:tr>
      <w:tr>
        <w:trPr>
          <w:cantSplit/>
        </w:trPr>
        <w:tc>
          <w:tcPr>
            <w:tcW w:type="dxa" w:w="1224"/>
            <w:vAlign w:val="center"/>
          </w:tcPr>
          <w:p>
            <w:pPr>
              <w:spacing w:before="40" w:after="40"/>
            </w:pPr>
            <w:r>
              <w:rPr>
                <w:b w:val="0"/>
                <w:sz w:val="18"/>
              </w:rPr>
              <w:t>±100°</w:t>
            </w:r>
          </w:p>
        </w:tc>
        <w:tc>
          <w:tcPr>
            <w:tcW w:type="dxa" w:w="2376"/>
            <w:vAlign w:val="center"/>
          </w:tcPr>
          <w:p>
            <w:pPr>
              <w:spacing w:before="40" w:after="40"/>
            </w:pPr>
            <w:r>
              <w:rPr>
                <w:b w:val="0"/>
                <w:sz w:val="18"/>
              </w:rPr>
              <w:t>0.05 / 45%</w:t>
            </w:r>
          </w:p>
        </w:tc>
        <w:tc>
          <w:tcPr>
            <w:tcW w:type="dxa" w:w="2592"/>
            <w:vAlign w:val="center"/>
          </w:tcPr>
          <w:p>
            <w:pPr>
              <w:spacing w:before="40" w:after="40"/>
            </w:pPr>
            <w:r>
              <w:rPr>
                <w:b w:val="0"/>
                <w:sz w:val="18"/>
              </w:rPr>
              <w:t>0.2–2.5 / 50% (7×7)</w:t>
            </w:r>
          </w:p>
        </w:tc>
        <w:tc>
          <w:tcPr>
            <w:tcW w:type="dxa" w:w="2448"/>
            <w:vAlign w:val="center"/>
          </w:tcPr>
          <w:p>
            <w:pPr>
              <w:spacing w:before="40" w:after="40"/>
            </w:pPr>
            <w:r>
              <w:rPr>
                <w:b w:val="0"/>
                <w:sz w:val="18"/>
              </w:rPr>
              <w:t>25% / 2–12%</w:t>
            </w:r>
          </w:p>
        </w:tc>
      </w:tr>
      <w:tr>
        <w:trPr>
          <w:cantSplit/>
        </w:trPr>
        <w:tc>
          <w:tcPr>
            <w:tcW w:type="dxa" w:w="1224"/>
            <w:vAlign w:val="center"/>
          </w:tcPr>
          <w:p>
            <w:pPr>
              <w:spacing w:before="40" w:after="40"/>
            </w:pPr>
            <w:r>
              <w:rPr>
                <w:b w:val="0"/>
                <w:sz w:val="18"/>
              </w:rPr>
              <w:t>±150°</w:t>
            </w:r>
          </w:p>
        </w:tc>
        <w:tc>
          <w:tcPr>
            <w:tcW w:type="dxa" w:w="2376"/>
            <w:vAlign w:val="center"/>
          </w:tcPr>
          <w:p>
            <w:pPr>
              <w:spacing w:before="40" w:after="40"/>
            </w:pPr>
            <w:r>
              <w:rPr>
                <w:b w:val="0"/>
                <w:sz w:val="18"/>
              </w:rPr>
              <w:t>0.08 / 50%</w:t>
            </w:r>
          </w:p>
        </w:tc>
        <w:tc>
          <w:tcPr>
            <w:tcW w:type="dxa" w:w="2592"/>
            <w:vAlign w:val="center"/>
          </w:tcPr>
          <w:p>
            <w:pPr>
              <w:spacing w:before="40" w:after="40"/>
            </w:pPr>
            <w:r>
              <w:rPr>
                <w:b w:val="0"/>
                <w:sz w:val="18"/>
              </w:rPr>
              <w:t>0.3–3.0 / 60% (7×7)</w:t>
            </w:r>
          </w:p>
        </w:tc>
        <w:tc>
          <w:tcPr>
            <w:tcW w:type="dxa" w:w="2448"/>
            <w:vAlign w:val="center"/>
          </w:tcPr>
          <w:p>
            <w:pPr>
              <w:spacing w:before="40" w:after="40"/>
            </w:pPr>
            <w:r>
              <w:rPr>
                <w:b w:val="0"/>
                <w:sz w:val="18"/>
              </w:rPr>
              <w:t>30% / 2–15%</w:t>
            </w:r>
          </w:p>
        </w:tc>
      </w:tr>
    </w:tbl>
    <w:p>
      <w:pPr>
        <w:spacing w:after="0" w:before="0"/>
      </w:pPr>
    </w:p>
    <w:p>
      <w:pPr>
        <w:widowControl/>
        <w:spacing w:after="120"/>
      </w:pPr>
      <w:r>
        <w:t>Noise is applied to float images in [0,1] before normalization. The baseline also uses a random resized crop and RandAugment; the new policies resize to 224×224 and use explicit colour jitter. The baseline geometry row describes only its affine step. None of these six policies mirrors images horizontally.</w:t>
      </w:r>
    </w:p>
    <w:p>
      <w:pPr>
        <w:widowControl/>
        <w:spacing w:after="120"/>
      </w:pPr>
      <w:r>
        <w:t>Common training recipe: ImageNet-pretrained ResNet50, 256-dimensional embeddings, ArcFace margin 0.5 and scale 30, cross-entropy, batch size 32, AdamW with LR 3e-4 and weight decay 0.01, cosine schedule, seed 42, GPU/AMP, and 30 epochs without early stopping.</w:t>
      </w:r>
    </w:p>
    <w:p>
      <w:pPr>
        <w:pStyle w:val="Heading2"/>
        <w:keepNext/>
        <w:pageBreakBefore/>
        <w:spacing w:after="120"/>
      </w:pPr>
      <w:r>
        <w:t>Meeting examples: original and augmented training images</w:t>
      </w:r>
    </w:p>
    <w:p>
      <w:pPr>
        <w:spacing w:after="120"/>
      </w:pPr>
      <w:r>
        <w:t>Prepared for the meeting discussion requested by Majid. These are real training-set crops of Abby, Harry and Warty, alongside samples generated using the same augmentation code and saved configurations as the experiments.</w:t>
      </w:r>
    </w:p>
    <w:p>
      <w:pPr>
        <w:keepNext/>
        <w:spacing w:after="120"/>
        <w:jc w:val="center"/>
      </w:pPr>
      <w:r>
        <w:drawing>
          <wp:inline xmlns:a="http://schemas.openxmlformats.org/drawingml/2006/main" xmlns:pic="http://schemas.openxmlformats.org/drawingml/2006/picture">
            <wp:extent cx="5486400" cy="3291840"/>
            <wp:docPr id="9" name="Picture 9" descr="Figure 1. Original crops (left) and actual training-pipeline samples for ±30°, ±45°, ±60°, ±100° and ±150°. Labels show each configured rotation range and the sampled angle."/>
            <wp:cNvGraphicFramePr>
              <a:graphicFrameLocks noChangeAspect="1"/>
            </wp:cNvGraphicFramePr>
            <a:graphic>
              <a:graphicData uri="http://schemas.openxmlformats.org/drawingml/2006/picture">
                <pic:pic>
                  <pic:nvPicPr>
                    <pic:cNvPr id="0" name="original_and_training_augmentations.png"/>
                    <pic:cNvPicPr/>
                  </pic:nvPicPr>
                  <pic:blipFill>
                    <a:blip r:embed="rId33"/>
                    <a:stretch>
                      <a:fillRect/>
                    </a:stretch>
                  </pic:blipFill>
                  <pic:spPr>
                    <a:xfrm>
                      <a:off x="0" y="0"/>
                      <a:ext cx="5486400" cy="3291840"/>
                    </a:xfrm>
                    <a:prstGeom prst="rect"/>
                  </pic:spPr>
                </pic:pic>
              </a:graphicData>
            </a:graphic>
          </wp:inline>
        </w:drawing>
      </w:r>
    </w:p>
    <w:p>
      <w:pPr>
        <w:pStyle w:val="Caption"/>
        <w:spacing w:after="120"/>
      </w:pPr>
      <w:r>
        <w:t>Figure 1. Original crops (left) and actual training-pipeline samples for ±30°, ±45°, ±60°, ±100° and ±150°. Labels show each configured rotation range and the sampled angle.</w:t>
      </w:r>
    </w:p>
    <w:p>
      <w:pPr>
        <w:spacing w:after="120"/>
      </w:pPr>
      <w:r>
        <w:t>Each original crop is resized to 224×224 without augmentation for display. The other columns run the full training pipeline: affine rotation, zoom and translation, colour jitter, and probabilistic blur, noise and erasing. ±30°/±45°/±60° share all other settings; ±100°/±150° also change other augmentation strengths. The same seed is reset for each policy within a row: 42, 43 and 44.</w:t>
      </w:r>
    </w:p>
    <w:p>
      <w:pPr>
        <w:spacing w:after="120"/>
      </w:pPr>
      <w:r>
        <w:t>These are newly generated illustrations, not recovered historical training batches. Normalization is reversed and values clipped to [0,1] for display. Grey borders and erased regions come from the pipeline. No horizontal mirroring is used. Originals are existing detection crops, not full camera photographs.</w:t>
      </w:r>
    </w:p>
    <w:p>
      <w:pPr>
        <w:spacing w:after="120"/>
      </w:pPr>
      <w:hyperlink r:id="rId34">
        <w:r>
          <w:t>Full-size training sheet (PNG)</w:t>
        </w:r>
      </w:hyperlink>
    </w:p>
    <w:p>
      <w:pPr>
        <w:spacing w:after="120"/>
      </w:pPr>
      <w:hyperlink r:id="rId35">
        <w:r>
          <w:t>Training sheet for presenting or printing (PDF)</w:t>
        </w:r>
      </w:hyperlink>
    </w:p>
    <w:p>
      <w:pPr>
        <w:pStyle w:val="Heading2"/>
        <w:keepNext/>
        <w:pageBreakBefore/>
        <w:spacing w:after="120"/>
      </w:pPr>
      <w:r>
        <w:t>Meeting examples: the seven inference views used for averaging</w:t>
      </w:r>
    </w:p>
    <w:p>
      <w:pPr>
        <w:spacing w:after="120"/>
      </w:pPr>
      <w:r>
        <w:t>The same Abby training crop demonstrates the deterministic inference transform. The original is shown as a reference; it is not an eighth view. The seven views include 0° exactly once.</w:t>
      </w:r>
    </w:p>
    <w:p>
      <w:pPr>
        <w:keepNext/>
        <w:spacing w:after="120"/>
        <w:jc w:val="center"/>
      </w:pPr>
      <w:r>
        <w:drawing>
          <wp:inline xmlns:a="http://schemas.openxmlformats.org/drawingml/2006/main" xmlns:pic="http://schemas.openxmlformats.org/drawingml/2006/picture">
            <wp:extent cx="5486400" cy="3291840"/>
            <wp:docPr id="10" name="Picture 10" descr="Figure 2. Reference original and the seven TTA views: −30°, −20°, −10°, 0°, +10°, +20° and +30°."/>
            <wp:cNvGraphicFramePr>
              <a:graphicFrameLocks noChangeAspect="1"/>
            </wp:cNvGraphicFramePr>
            <a:graphic>
              <a:graphicData uri="http://schemas.openxmlformats.org/drawingml/2006/picture">
                <pic:pic>
                  <pic:nvPicPr>
                    <pic:cNvPr id="0" name="seven_angle_inference_views.png"/>
                    <pic:cNvPicPr/>
                  </pic:nvPicPr>
                  <pic:blipFill>
                    <a:blip r:embed="rId36"/>
                    <a:stretch>
                      <a:fillRect/>
                    </a:stretch>
                  </pic:blipFill>
                  <pic:spPr>
                    <a:xfrm>
                      <a:off x="0" y="0"/>
                      <a:ext cx="5486400" cy="3291840"/>
                    </a:xfrm>
                    <a:prstGeom prst="rect"/>
                  </pic:spPr>
                </pic:pic>
              </a:graphicData>
            </a:graphic>
          </wp:inline>
        </w:drawing>
      </w:r>
    </w:p>
    <w:p>
      <w:pPr>
        <w:pStyle w:val="Caption"/>
        <w:spacing w:after="120"/>
      </w:pPr>
      <w:r>
        <w:t>Figure 2. Reference original and the seven TTA views: −30°, −20°, −10°, 0°, +10°, +20° and +30°.</w:t>
      </w:r>
    </w:p>
    <w:p>
      <w:pPr>
        <w:spacing w:after="120"/>
      </w:pPr>
      <w:r>
        <w:t>At inference, the saved model scores each rotated view and averages class probabilities. Pixels and model weights are not averaged. Unlike training augmentation, TTA adds no random colour jitter, noise, blur or erasing. These seven inference angles also apply to the models trained with ±45° and ±60° rotation ranges.</w:t>
      </w:r>
    </w:p>
    <w:p>
      <w:pPr>
        <w:spacing w:after="120"/>
      </w:pPr>
      <w:hyperlink r:id="rId37">
        <w:r>
          <w:t>Full-size inference-view sheet (PNG)</w:t>
        </w:r>
      </w:hyperlink>
    </w:p>
    <w:p>
      <w:pPr>
        <w:spacing w:after="120"/>
      </w:pPr>
      <w:hyperlink r:id="rId38">
        <w:r>
          <w:t>Inference-view sheet for presenting or printing (PDF)</w:t>
        </w:r>
      </w:hyperlink>
    </w:p>
    <w:p>
      <w:pPr>
        <w:spacing w:after="120"/>
      </w:pPr>
      <w:hyperlink r:id="rId39">
        <w:r>
          <w:t>Example sources, hashes, seeds and sampled parameters (JSON)</w:t>
        </w:r>
      </w:hyperlink>
    </w:p>
    <w:p>
      <w:pPr>
        <w:spacing w:after="120"/>
      </w:pPr>
      <w:hyperlink r:id="rId40">
        <w:r>
          <w:t>Reproduction script and individual images</w:t>
        </w:r>
      </w:hyperlink>
    </w:p>
    <w:p>
      <w:r>
        <w:br w:type="page"/>
      </w:r>
    </w:p>
    <w:p>
      <w:pPr>
        <w:pStyle w:val="Heading1"/>
        <w:keepNext/>
      </w:pPr>
      <w:r>
        <w:t>3. Averaging run results — job 39152253</w:t>
      </w:r>
    </w:p>
    <w:p>
      <w:pPr>
        <w:spacing w:after="120"/>
      </w:pPr>
      <w:r>
        <w:t>Completed 28 October 2026 at 00:14:34 · elapsed 17m 55s · exit code 0:0. This job evaluated all three trained models using single-image prediction, seven-angle probability averaging and max pooling: 18 validation/test comparisons.</w:t>
      </w:r>
    </w:p>
    <w:p>
      <w:pPr>
        <w:spacing w:after="120"/>
      </w:pPr>
      <w:r>
        <w:t>The results below compare the same ±30° model checkpoint (training epoch 29). Mean TTA is probability averaging across −30°, −20°, −10°, 0°, +10°, +20° and +30°. In the original suite, the model and averaging method were selected on validation before test scoring.</w:t>
      </w:r>
    </w:p>
    <w:tbl>
      <w:tblPr>
        <w:tblStyle w:val="LightGrid-Accent1"/>
        <w:tblW w:type="auto" w:w="0"/>
        <w:jc w:val="center"/>
        <w:tblLayout w:type="fixed"/>
        <w:tblLook w:firstColumn="1" w:firstRow="1" w:lastColumn="0" w:lastRow="0" w:noHBand="0" w:noVBand="1" w:val="04A0"/>
      </w:tblPr>
      <w:tblGrid>
        <w:gridCol w:w="2160"/>
        <w:gridCol w:w="1296"/>
        <w:gridCol w:w="1296"/>
        <w:gridCol w:w="1296"/>
        <w:gridCol w:w="1296"/>
        <w:gridCol w:w="1296"/>
      </w:tblGrid>
      <w:tr>
        <w:trPr>
          <w:cantSplit/>
          <w:tblHeader/>
        </w:trPr>
        <w:tc>
          <w:tcPr>
            <w:tcW w:type="dxa" w:w="2160"/>
            <w:vAlign w:val="center"/>
          </w:tcPr>
          <w:p>
            <w:pPr>
              <w:spacing w:before="40" w:after="40" w:line="240" w:lineRule="auto"/>
            </w:pPr>
            <w:r>
              <w:rPr>
                <w:b/>
                <w:sz w:val="18"/>
              </w:rPr>
              <w:t>Scoring method</w:t>
            </w:r>
          </w:p>
        </w:tc>
        <w:tc>
          <w:tcPr>
            <w:tcW w:type="dxa" w:w="1296"/>
            <w:vAlign w:val="center"/>
          </w:tcPr>
          <w:p>
            <w:pPr>
              <w:spacing w:before="40" w:after="40" w:line="240" w:lineRule="auto"/>
            </w:pPr>
            <w:r>
              <w:rPr>
                <w:b/>
                <w:sz w:val="18"/>
              </w:rPr>
              <w:t>Validation Top-1</w:t>
            </w:r>
          </w:p>
        </w:tc>
        <w:tc>
          <w:tcPr>
            <w:tcW w:type="dxa" w:w="1296"/>
            <w:vAlign w:val="center"/>
          </w:tcPr>
          <w:p>
            <w:pPr>
              <w:spacing w:before="40" w:after="40" w:line="240" w:lineRule="auto"/>
            </w:pPr>
            <w:r>
              <w:rPr>
                <w:b/>
                <w:sz w:val="18"/>
              </w:rPr>
              <w:t>Test Top-1</w:t>
            </w:r>
          </w:p>
        </w:tc>
        <w:tc>
          <w:tcPr>
            <w:tcW w:type="dxa" w:w="1296"/>
            <w:vAlign w:val="center"/>
          </w:tcPr>
          <w:p>
            <w:pPr>
              <w:spacing w:before="40" w:after="40" w:line="240" w:lineRule="auto"/>
            </w:pPr>
            <w:r>
              <w:rPr>
                <w:b/>
                <w:sz w:val="18"/>
              </w:rPr>
              <w:t>Test Top-3</w:t>
            </w:r>
          </w:p>
        </w:tc>
        <w:tc>
          <w:tcPr>
            <w:tcW w:type="dxa" w:w="1296"/>
            <w:vAlign w:val="center"/>
          </w:tcPr>
          <w:p>
            <w:pPr>
              <w:spacing w:before="40" w:after="40" w:line="240" w:lineRule="auto"/>
            </w:pPr>
            <w:r>
              <w:rPr>
                <w:b/>
                <w:sz w:val="18"/>
              </w:rPr>
              <w:t>Test Top-5</w:t>
            </w:r>
          </w:p>
        </w:tc>
        <w:tc>
          <w:tcPr>
            <w:tcW w:type="dxa" w:w="1296"/>
            <w:vAlign w:val="center"/>
          </w:tcPr>
          <w:p>
            <w:pPr>
              <w:spacing w:before="40" w:after="40" w:line="240" w:lineRule="auto"/>
            </w:pPr>
            <w:r>
              <w:rPr>
                <w:b/>
                <w:sz w:val="18"/>
              </w:rPr>
              <w:t>Test macro-F1</w:t>
            </w:r>
          </w:p>
        </w:tc>
      </w:tr>
      <w:tr>
        <w:trPr>
          <w:cantSplit/>
        </w:trPr>
        <w:tc>
          <w:tcPr>
            <w:tcW w:type="dxa" w:w="2160"/>
            <w:vAlign w:val="center"/>
          </w:tcPr>
          <w:p>
            <w:pPr>
              <w:spacing w:before="40" w:after="40" w:line="240" w:lineRule="auto"/>
            </w:pPr>
            <w:r>
              <w:rPr>
                <w:b w:val="0"/>
                <w:sz w:val="18"/>
              </w:rPr>
              <w:t>Single image</w:t>
            </w:r>
          </w:p>
        </w:tc>
        <w:tc>
          <w:tcPr>
            <w:tcW w:type="dxa" w:w="1296"/>
            <w:vAlign w:val="center"/>
          </w:tcPr>
          <w:p>
            <w:pPr>
              <w:spacing w:before="40" w:after="40" w:line="240" w:lineRule="auto"/>
            </w:pPr>
            <w:r>
              <w:rPr>
                <w:b w:val="0"/>
                <w:sz w:val="18"/>
              </w:rPr>
              <w:t>82.49%</w:t>
            </w:r>
          </w:p>
        </w:tc>
        <w:tc>
          <w:tcPr>
            <w:tcW w:type="dxa" w:w="1296"/>
            <w:vAlign w:val="center"/>
          </w:tcPr>
          <w:p>
            <w:pPr>
              <w:spacing w:before="40" w:after="40" w:line="240" w:lineRule="auto"/>
            </w:pPr>
            <w:r>
              <w:rPr>
                <w:b w:val="0"/>
                <w:sz w:val="18"/>
              </w:rPr>
              <w:t>83.51%</w:t>
            </w:r>
          </w:p>
        </w:tc>
        <w:tc>
          <w:tcPr>
            <w:tcW w:type="dxa" w:w="1296"/>
            <w:vAlign w:val="center"/>
          </w:tcPr>
          <w:p>
            <w:pPr>
              <w:spacing w:before="40" w:after="40" w:line="240" w:lineRule="auto"/>
            </w:pPr>
            <w:r>
              <w:rPr>
                <w:b w:val="0"/>
                <w:sz w:val="18"/>
              </w:rPr>
              <w:t>88.45%</w:t>
            </w:r>
          </w:p>
        </w:tc>
        <w:tc>
          <w:tcPr>
            <w:tcW w:type="dxa" w:w="1296"/>
            <w:vAlign w:val="center"/>
          </w:tcPr>
          <w:p>
            <w:pPr>
              <w:spacing w:before="40" w:after="40" w:line="240" w:lineRule="auto"/>
            </w:pPr>
            <w:r>
              <w:rPr>
                <w:b w:val="0"/>
                <w:sz w:val="18"/>
              </w:rPr>
              <w:t>89.99%</w:t>
            </w:r>
          </w:p>
        </w:tc>
        <w:tc>
          <w:tcPr>
            <w:tcW w:type="dxa" w:w="1296"/>
            <w:vAlign w:val="center"/>
          </w:tcPr>
          <w:p>
            <w:pPr>
              <w:spacing w:before="40" w:after="40" w:line="240" w:lineRule="auto"/>
            </w:pPr>
            <w:r>
              <w:rPr>
                <w:b w:val="0"/>
                <w:sz w:val="18"/>
              </w:rPr>
              <w:t>0.8189</w:t>
            </w:r>
          </w:p>
        </w:tc>
      </w:tr>
      <w:tr>
        <w:trPr>
          <w:cantSplit/>
        </w:trPr>
        <w:tc>
          <w:tcPr>
            <w:tcW w:type="dxa" w:w="2160"/>
            <w:vAlign w:val="center"/>
          </w:tcPr>
          <w:p>
            <w:pPr>
              <w:spacing w:before="40" w:after="40" w:line="240" w:lineRule="auto"/>
            </w:pPr>
            <w:r>
              <w:rPr>
                <w:b/>
                <w:sz w:val="18"/>
              </w:rPr>
              <w:t>Seven-angle mean</w:t>
            </w:r>
          </w:p>
        </w:tc>
        <w:tc>
          <w:tcPr>
            <w:tcW w:type="dxa" w:w="1296"/>
            <w:vAlign w:val="center"/>
          </w:tcPr>
          <w:p>
            <w:pPr>
              <w:spacing w:before="40" w:after="40" w:line="240" w:lineRule="auto"/>
            </w:pPr>
            <w:r>
              <w:rPr>
                <w:b/>
                <w:sz w:val="18"/>
              </w:rPr>
              <w:t>83.56%</w:t>
            </w:r>
          </w:p>
        </w:tc>
        <w:tc>
          <w:tcPr>
            <w:tcW w:type="dxa" w:w="1296"/>
            <w:vAlign w:val="center"/>
          </w:tcPr>
          <w:p>
            <w:pPr>
              <w:spacing w:before="40" w:after="40" w:line="240" w:lineRule="auto"/>
            </w:pPr>
            <w:r>
              <w:rPr>
                <w:b/>
                <w:sz w:val="18"/>
              </w:rPr>
              <w:t>84.51%</w:t>
            </w:r>
          </w:p>
        </w:tc>
        <w:tc>
          <w:tcPr>
            <w:tcW w:type="dxa" w:w="1296"/>
            <w:vAlign w:val="center"/>
          </w:tcPr>
          <w:p>
            <w:pPr>
              <w:spacing w:before="40" w:after="40" w:line="240" w:lineRule="auto"/>
            </w:pPr>
            <w:r>
              <w:rPr>
                <w:b/>
                <w:sz w:val="18"/>
              </w:rPr>
              <w:t>89.65%</w:t>
            </w:r>
          </w:p>
        </w:tc>
        <w:tc>
          <w:tcPr>
            <w:tcW w:type="dxa" w:w="1296"/>
            <w:vAlign w:val="center"/>
          </w:tcPr>
          <w:p>
            <w:pPr>
              <w:spacing w:before="40" w:after="40" w:line="240" w:lineRule="auto"/>
            </w:pPr>
            <w:r>
              <w:rPr>
                <w:b/>
                <w:sz w:val="18"/>
              </w:rPr>
              <w:t>90.72%</w:t>
            </w:r>
          </w:p>
        </w:tc>
        <w:tc>
          <w:tcPr>
            <w:tcW w:type="dxa" w:w="1296"/>
            <w:vAlign w:val="center"/>
          </w:tcPr>
          <w:p>
            <w:pPr>
              <w:spacing w:before="40" w:after="40" w:line="240" w:lineRule="auto"/>
            </w:pPr>
            <w:r>
              <w:rPr>
                <w:b/>
                <w:sz w:val="18"/>
              </w:rPr>
              <w:t>0.8284</w:t>
            </w:r>
          </w:p>
        </w:tc>
      </w:tr>
      <w:tr>
        <w:trPr>
          <w:cantSplit/>
        </w:trPr>
        <w:tc>
          <w:tcPr>
            <w:tcW w:type="dxa" w:w="2160"/>
            <w:vAlign w:val="center"/>
          </w:tcPr>
          <w:p>
            <w:pPr>
              <w:spacing w:before="40" w:after="40" w:line="240" w:lineRule="auto"/>
            </w:pPr>
            <w:r>
              <w:rPr>
                <w:b w:val="0"/>
                <w:sz w:val="18"/>
              </w:rPr>
              <w:t>Seven-angle max</w:t>
            </w:r>
          </w:p>
        </w:tc>
        <w:tc>
          <w:tcPr>
            <w:tcW w:type="dxa" w:w="1296"/>
            <w:vAlign w:val="center"/>
          </w:tcPr>
          <w:p>
            <w:pPr>
              <w:spacing w:before="40" w:after="40" w:line="240" w:lineRule="auto"/>
            </w:pPr>
            <w:r>
              <w:rPr>
                <w:b w:val="0"/>
                <w:sz w:val="18"/>
              </w:rPr>
              <w:t>83.26%</w:t>
            </w:r>
          </w:p>
        </w:tc>
        <w:tc>
          <w:tcPr>
            <w:tcW w:type="dxa" w:w="1296"/>
            <w:vAlign w:val="center"/>
          </w:tcPr>
          <w:p>
            <w:pPr>
              <w:spacing w:before="40" w:after="40" w:line="240" w:lineRule="auto"/>
            </w:pPr>
            <w:r>
              <w:rPr>
                <w:b w:val="0"/>
                <w:sz w:val="18"/>
              </w:rPr>
              <w:t>84.31%</w:t>
            </w:r>
          </w:p>
        </w:tc>
        <w:tc>
          <w:tcPr>
            <w:tcW w:type="dxa" w:w="1296"/>
            <w:vAlign w:val="center"/>
          </w:tcPr>
          <w:p>
            <w:pPr>
              <w:spacing w:before="40" w:after="40" w:line="240" w:lineRule="auto"/>
            </w:pPr>
            <w:r>
              <w:rPr>
                <w:b w:val="0"/>
                <w:sz w:val="18"/>
              </w:rPr>
              <w:t>89.45%</w:t>
            </w:r>
          </w:p>
        </w:tc>
        <w:tc>
          <w:tcPr>
            <w:tcW w:type="dxa" w:w="1296"/>
            <w:vAlign w:val="center"/>
          </w:tcPr>
          <w:p>
            <w:pPr>
              <w:spacing w:before="40" w:after="40" w:line="240" w:lineRule="auto"/>
            </w:pPr>
            <w:r>
              <w:rPr>
                <w:b w:val="0"/>
                <w:sz w:val="18"/>
              </w:rPr>
              <w:t>90.65%</w:t>
            </w:r>
          </w:p>
        </w:tc>
        <w:tc>
          <w:tcPr>
            <w:tcW w:type="dxa" w:w="1296"/>
            <w:vAlign w:val="center"/>
          </w:tcPr>
          <w:p>
            <w:pPr>
              <w:spacing w:before="40" w:after="40" w:line="240" w:lineRule="auto"/>
            </w:pPr>
            <w:r>
              <w:rPr>
                <w:b w:val="0"/>
                <w:sz w:val="18"/>
              </w:rPr>
              <w:t>0.8251</w:t>
            </w:r>
          </w:p>
        </w:tc>
      </w:tr>
    </w:tbl>
    <w:p>
      <w:pPr>
        <w:spacing w:after="120"/>
      </w:pPr>
      <w:r>
        <w:t>Averaging improves this model from 83.51% to 84.51% test accuracy (+1.00 percentage point), or 15 more correct test images: 1,266 instead of 1,251. Macro-F1 improves from 0.8189 to 0.8284. Max pooling scores 84.31%; mean is ahead by three images. Baseline TTA was not tested.</w:t>
      </w:r>
    </w:p>
    <w:p>
      <w:pPr>
        <w:keepNext/>
        <w:spacing w:after="40"/>
        <w:jc w:val="center"/>
      </w:pPr>
      <w:r>
        <w:drawing>
          <wp:inline xmlns:a="http://schemas.openxmlformats.org/drawingml/2006/main" xmlns:pic="http://schemas.openxmlformats.org/drawingml/2006/picture">
            <wp:extent cx="5486400" cy="2423160"/>
            <wp:docPr id="7" name="Picture 7" descr="Averaging job 39152253: baseline and the same ±30° model with single-image, mean and max scoring."/>
            <wp:cNvGraphicFramePr>
              <a:graphicFrameLocks noChangeAspect="1"/>
            </wp:cNvGraphicFramePr>
            <a:graphic>
              <a:graphicData uri="http://schemas.openxmlformats.org/drawingml/2006/picture">
                <pic:pic>
                  <pic:nvPicPr>
                    <pic:cNvPr id="0" name="averaging_run_39152253.png"/>
                    <pic:cNvPicPr/>
                  </pic:nvPicPr>
                  <pic:blipFill>
                    <a:blip r:embed="rId26"/>
                    <a:stretch>
                      <a:fillRect/>
                    </a:stretch>
                  </pic:blipFill>
                  <pic:spPr>
                    <a:xfrm>
                      <a:off x="0" y="0"/>
                      <a:ext cx="5486400" cy="2423160"/>
                    </a:xfrm>
                    <a:prstGeom prst="rect"/>
                  </pic:spPr>
                </pic:pic>
              </a:graphicData>
            </a:graphic>
          </wp:inline>
        </w:drawing>
      </w:r>
    </w:p>
    <w:p>
      <w:pPr>
        <w:pStyle w:val="Caption"/>
        <w:spacing w:after="120"/>
      </w:pPr>
      <w:r>
        <w:t>Figure 3. Completed averaging run: the baseline bar is single-image inference; the remaining bars use the same ±30° trained model.</w:t>
      </w:r>
    </w:p>
    <w:p>
      <w:pPr>
        <w:spacing w:after="120"/>
      </w:pPr>
      <w:r>
        <w:t>Averaging evaluates saved weights; loss curves belong to training. The completed ±45°/±60° follow-up, job 39484294, is documented in the following section. The preceding ±30° results and Figure 3 describe the original suite.</w:t>
      </w:r>
    </w:p>
    <w:p>
      <w:hyperlink r:id="rId27">
        <w:r>
          <w:rPr>
            <w:color w:val="365F91"/>
            <w:u w:val="single"/>
          </w:rPr>
          <w:t>Completed averaging-job log (39152253)</w:t>
        </w:r>
      </w:hyperlink>
    </w:p>
    <w:p>
      <w:r>
        <w:br w:type="page"/>
      </w:r>
    </w:p>
    <w:p>
      <w:pPr>
        <w:pStyle w:val="Heading2"/>
        <w:spacing w:after="120"/>
      </w:pPr>
      <w:r>
        <w:t>Follow-up averaging results — job 39484294</w:t>
      </w:r>
    </w:p>
    <w:p>
      <w:pPr>
        <w:spacing w:after="120"/>
      </w:pPr>
      <w:r>
        <w:t>Revision: 29 October 2026. Completed at 13:53:14 GMT; start 13:23:02; elapsed 30m 12s; exit code 0:0. Two models × three scoring methods × validation/test produced 12 comparisons. The original report date remains 28 October.</w:t>
      </w:r>
    </w:p>
    <w:p>
      <w:pPr>
        <w:spacing w:after="120"/>
      </w:pPr>
      <w:r>
        <w:t>Only the training rotation range changes relative to ±30°. All models use the same seven inference angles: −30°, −20°, −10°, 0°, +10°, +20°, +30°. Other augmentation settings, split, seed and 30-epoch budget match.</w:t>
      </w:r>
    </w:p>
    <w:tbl>
      <w:tblPr>
        <w:tblStyle w:val="LightGrid-Accent1"/>
        <w:tblW w:type="auto" w:w="0"/>
        <w:tblLayout w:type="fixed"/>
        <w:tblLook w:firstColumn="1" w:firstRow="1" w:lastColumn="0" w:lastRow="0" w:noHBand="0" w:noVBand="1" w:val="04A0"/>
      </w:tblPr>
      <w:tblGrid>
        <w:gridCol w:w="864"/>
        <w:gridCol w:w="1728"/>
        <w:gridCol w:w="1512"/>
        <w:gridCol w:w="1512"/>
        <w:gridCol w:w="1512"/>
        <w:gridCol w:w="1512"/>
      </w:tblGrid>
      <w:tr>
        <w:trPr>
          <w:cantSplit/>
          <w:tblHeader/>
        </w:trPr>
        <w:tc>
          <w:tcPr>
            <w:tcW w:type="dxa" w:w="864"/>
          </w:tcPr>
          <w:p>
            <w:pPr>
              <w:spacing w:before="40" w:after="40"/>
            </w:pPr>
            <w:r>
              <w:rPr>
                <w:b/>
                <w:sz w:val="18"/>
              </w:rPr>
              <w:t>Training</w:t>
            </w:r>
          </w:p>
        </w:tc>
        <w:tc>
          <w:tcPr>
            <w:tcW w:type="dxa" w:w="1728"/>
          </w:tcPr>
          <w:p>
            <w:pPr>
              <w:spacing w:before="40" w:after="40"/>
            </w:pPr>
            <w:r>
              <w:rPr>
                <w:b/>
                <w:sz w:val="18"/>
              </w:rPr>
              <w:t>Scoring</w:t>
            </w:r>
          </w:p>
        </w:tc>
        <w:tc>
          <w:tcPr>
            <w:tcW w:type="dxa" w:w="1512"/>
          </w:tcPr>
          <w:p>
            <w:pPr>
              <w:spacing w:before="40" w:after="40"/>
            </w:pPr>
            <w:r>
              <w:rPr>
                <w:b/>
                <w:sz w:val="18"/>
              </w:rPr>
              <w:t>Validation top-1</w:t>
            </w:r>
          </w:p>
        </w:tc>
        <w:tc>
          <w:tcPr>
            <w:tcW w:type="dxa" w:w="1512"/>
          </w:tcPr>
          <w:p>
            <w:pPr>
              <w:spacing w:before="40" w:after="40"/>
            </w:pPr>
            <w:r>
              <w:rPr>
                <w:b/>
                <w:sz w:val="18"/>
              </w:rPr>
              <w:t>Test top-1</w:t>
            </w:r>
          </w:p>
        </w:tc>
        <w:tc>
          <w:tcPr>
            <w:tcW w:type="dxa" w:w="1512"/>
          </w:tcPr>
          <w:p>
            <w:pPr>
              <w:spacing w:before="40" w:after="40"/>
            </w:pPr>
            <w:r>
              <w:rPr>
                <w:b/>
                <w:sz w:val="18"/>
              </w:rPr>
              <w:t>Test macro F1</w:t>
            </w:r>
          </w:p>
        </w:tc>
        <w:tc>
          <w:tcPr>
            <w:tcW w:type="dxa" w:w="1512"/>
          </w:tcPr>
          <w:p>
            <w:pPr>
              <w:spacing w:before="40" w:after="40"/>
            </w:pPr>
            <w:r>
              <w:rPr>
                <w:b/>
                <w:sz w:val="18"/>
              </w:rPr>
              <w:t>Correct / 1,498</w:t>
            </w:r>
          </w:p>
        </w:tc>
      </w:tr>
      <w:tr>
        <w:trPr>
          <w:cantSplit/>
        </w:trPr>
        <w:tc>
          <w:tcPr>
            <w:tcW w:type="dxa" w:w="864"/>
          </w:tcPr>
          <w:p>
            <w:pPr>
              <w:spacing w:before="40" w:after="40"/>
            </w:pPr>
            <w:r>
              <w:rPr>
                <w:b w:val="0"/>
                <w:sz w:val="18"/>
              </w:rPr>
              <w:t>±45°</w:t>
            </w:r>
          </w:p>
        </w:tc>
        <w:tc>
          <w:tcPr>
            <w:tcW w:type="dxa" w:w="1728"/>
          </w:tcPr>
          <w:p>
            <w:pPr>
              <w:spacing w:before="40" w:after="40"/>
            </w:pPr>
            <w:r>
              <w:rPr>
                <w:b w:val="0"/>
                <w:sz w:val="18"/>
              </w:rPr>
              <w:t>Single image</w:t>
            </w:r>
          </w:p>
        </w:tc>
        <w:tc>
          <w:tcPr>
            <w:tcW w:type="dxa" w:w="1512"/>
          </w:tcPr>
          <w:p>
            <w:pPr>
              <w:spacing w:before="40" w:after="40"/>
            </w:pPr>
            <w:r>
              <w:rPr>
                <w:b w:val="0"/>
                <w:sz w:val="18"/>
              </w:rPr>
              <w:t>82.10%</w:t>
            </w:r>
          </w:p>
        </w:tc>
        <w:tc>
          <w:tcPr>
            <w:tcW w:type="dxa" w:w="1512"/>
          </w:tcPr>
          <w:p>
            <w:pPr>
              <w:spacing w:before="40" w:after="40"/>
            </w:pPr>
            <w:r>
              <w:rPr>
                <w:b w:val="0"/>
                <w:sz w:val="18"/>
              </w:rPr>
              <w:t>83.51%</w:t>
            </w:r>
          </w:p>
        </w:tc>
        <w:tc>
          <w:tcPr>
            <w:tcW w:type="dxa" w:w="1512"/>
          </w:tcPr>
          <w:p>
            <w:pPr>
              <w:spacing w:before="40" w:after="40"/>
            </w:pPr>
            <w:r>
              <w:rPr>
                <w:b w:val="0"/>
                <w:sz w:val="18"/>
              </w:rPr>
              <w:t>81.67%</w:t>
            </w:r>
          </w:p>
        </w:tc>
        <w:tc>
          <w:tcPr>
            <w:tcW w:type="dxa" w:w="1512"/>
          </w:tcPr>
          <w:p>
            <w:pPr>
              <w:spacing w:before="40" w:after="40"/>
            </w:pPr>
            <w:r>
              <w:rPr>
                <w:b w:val="0"/>
                <w:sz w:val="18"/>
              </w:rPr>
              <w:t>1,251/1,498</w:t>
            </w:r>
          </w:p>
        </w:tc>
      </w:tr>
      <w:tr>
        <w:trPr>
          <w:cantSplit/>
        </w:trPr>
        <w:tc>
          <w:tcPr>
            <w:tcW w:type="dxa" w:w="864"/>
          </w:tcPr>
          <w:p>
            <w:pPr>
              <w:spacing w:before="40" w:after="40"/>
            </w:pPr>
            <w:r>
              <w:rPr>
                <w:b w:val="0"/>
                <w:sz w:val="18"/>
              </w:rPr>
              <w:t>±45°</w:t>
            </w:r>
          </w:p>
        </w:tc>
        <w:tc>
          <w:tcPr>
            <w:tcW w:type="dxa" w:w="1728"/>
          </w:tcPr>
          <w:p>
            <w:pPr>
              <w:spacing w:before="40" w:after="40"/>
            </w:pPr>
            <w:r>
              <w:rPr>
                <w:b w:val="0"/>
                <w:sz w:val="18"/>
              </w:rPr>
              <w:t>Seven-angle mean</w:t>
            </w:r>
          </w:p>
        </w:tc>
        <w:tc>
          <w:tcPr>
            <w:tcW w:type="dxa" w:w="1512"/>
          </w:tcPr>
          <w:p>
            <w:pPr>
              <w:spacing w:before="40" w:after="40"/>
            </w:pPr>
            <w:r>
              <w:rPr>
                <w:b w:val="0"/>
                <w:sz w:val="18"/>
              </w:rPr>
              <w:t>83.56%</w:t>
            </w:r>
          </w:p>
        </w:tc>
        <w:tc>
          <w:tcPr>
            <w:tcW w:type="dxa" w:w="1512"/>
          </w:tcPr>
          <w:p>
            <w:pPr>
              <w:spacing w:before="40" w:after="40"/>
            </w:pPr>
            <w:r>
              <w:rPr>
                <w:b w:val="0"/>
                <w:sz w:val="18"/>
              </w:rPr>
              <w:t>85.11%</w:t>
            </w:r>
          </w:p>
        </w:tc>
        <w:tc>
          <w:tcPr>
            <w:tcW w:type="dxa" w:w="1512"/>
          </w:tcPr>
          <w:p>
            <w:pPr>
              <w:spacing w:before="40" w:after="40"/>
            </w:pPr>
            <w:r>
              <w:rPr>
                <w:b w:val="0"/>
                <w:sz w:val="18"/>
              </w:rPr>
              <w:t>83.74%</w:t>
            </w:r>
          </w:p>
        </w:tc>
        <w:tc>
          <w:tcPr>
            <w:tcW w:type="dxa" w:w="1512"/>
          </w:tcPr>
          <w:p>
            <w:pPr>
              <w:spacing w:before="40" w:after="40"/>
            </w:pPr>
            <w:r>
              <w:rPr>
                <w:b w:val="0"/>
                <w:sz w:val="18"/>
              </w:rPr>
              <w:t>1,275/1,498</w:t>
            </w:r>
          </w:p>
        </w:tc>
      </w:tr>
      <w:tr>
        <w:trPr>
          <w:cantSplit/>
        </w:trPr>
        <w:tc>
          <w:tcPr>
            <w:tcW w:type="dxa" w:w="864"/>
          </w:tcPr>
          <w:p>
            <w:pPr>
              <w:spacing w:before="40" w:after="40"/>
            </w:pPr>
            <w:r>
              <w:rPr>
                <w:b w:val="0"/>
                <w:sz w:val="18"/>
              </w:rPr>
              <w:t>±45°</w:t>
            </w:r>
          </w:p>
        </w:tc>
        <w:tc>
          <w:tcPr>
            <w:tcW w:type="dxa" w:w="1728"/>
          </w:tcPr>
          <w:p>
            <w:pPr>
              <w:spacing w:before="40" w:after="40"/>
            </w:pPr>
            <w:r>
              <w:rPr>
                <w:b w:val="0"/>
                <w:sz w:val="18"/>
              </w:rPr>
              <w:t>Seven-angle max</w:t>
            </w:r>
          </w:p>
        </w:tc>
        <w:tc>
          <w:tcPr>
            <w:tcW w:type="dxa" w:w="1512"/>
          </w:tcPr>
          <w:p>
            <w:pPr>
              <w:spacing w:before="40" w:after="40"/>
            </w:pPr>
            <w:r>
              <w:rPr>
                <w:b w:val="0"/>
                <w:sz w:val="18"/>
              </w:rPr>
              <w:t>83.49%</w:t>
            </w:r>
          </w:p>
        </w:tc>
        <w:tc>
          <w:tcPr>
            <w:tcW w:type="dxa" w:w="1512"/>
          </w:tcPr>
          <w:p>
            <w:pPr>
              <w:spacing w:before="40" w:after="40"/>
            </w:pPr>
            <w:r>
              <w:rPr>
                <w:b w:val="0"/>
                <w:sz w:val="18"/>
              </w:rPr>
              <w:t>84.78%</w:t>
            </w:r>
          </w:p>
        </w:tc>
        <w:tc>
          <w:tcPr>
            <w:tcW w:type="dxa" w:w="1512"/>
          </w:tcPr>
          <w:p>
            <w:pPr>
              <w:spacing w:before="40" w:after="40"/>
            </w:pPr>
            <w:r>
              <w:rPr>
                <w:b w:val="0"/>
                <w:sz w:val="18"/>
              </w:rPr>
              <w:t>83.49%</w:t>
            </w:r>
          </w:p>
        </w:tc>
        <w:tc>
          <w:tcPr>
            <w:tcW w:type="dxa" w:w="1512"/>
          </w:tcPr>
          <w:p>
            <w:pPr>
              <w:spacing w:before="40" w:after="40"/>
            </w:pPr>
            <w:r>
              <w:rPr>
                <w:b w:val="0"/>
                <w:sz w:val="18"/>
              </w:rPr>
              <w:t>1,270/1,498</w:t>
            </w:r>
          </w:p>
        </w:tc>
      </w:tr>
      <w:tr>
        <w:trPr>
          <w:cantSplit/>
        </w:trPr>
        <w:tc>
          <w:tcPr>
            <w:tcW w:type="dxa" w:w="864"/>
          </w:tcPr>
          <w:p>
            <w:pPr>
              <w:spacing w:before="40" w:after="40"/>
            </w:pPr>
            <w:r>
              <w:rPr>
                <w:b w:val="0"/>
                <w:sz w:val="18"/>
              </w:rPr>
              <w:t>±60°</w:t>
            </w:r>
          </w:p>
        </w:tc>
        <w:tc>
          <w:tcPr>
            <w:tcW w:type="dxa" w:w="1728"/>
          </w:tcPr>
          <w:p>
            <w:pPr>
              <w:spacing w:before="40" w:after="40"/>
            </w:pPr>
            <w:r>
              <w:rPr>
                <w:b w:val="0"/>
                <w:sz w:val="18"/>
              </w:rPr>
              <w:t>Single image</w:t>
            </w:r>
          </w:p>
        </w:tc>
        <w:tc>
          <w:tcPr>
            <w:tcW w:type="dxa" w:w="1512"/>
          </w:tcPr>
          <w:p>
            <w:pPr>
              <w:spacing w:before="40" w:after="40"/>
            </w:pPr>
            <w:r>
              <w:rPr>
                <w:b w:val="0"/>
                <w:sz w:val="18"/>
              </w:rPr>
              <w:t>82.18%</w:t>
            </w:r>
          </w:p>
        </w:tc>
        <w:tc>
          <w:tcPr>
            <w:tcW w:type="dxa" w:w="1512"/>
          </w:tcPr>
          <w:p>
            <w:pPr>
              <w:spacing w:before="40" w:after="40"/>
            </w:pPr>
            <w:r>
              <w:rPr>
                <w:b w:val="0"/>
                <w:sz w:val="18"/>
              </w:rPr>
              <w:t>83.11%</w:t>
            </w:r>
          </w:p>
        </w:tc>
        <w:tc>
          <w:tcPr>
            <w:tcW w:type="dxa" w:w="1512"/>
          </w:tcPr>
          <w:p>
            <w:pPr>
              <w:spacing w:before="40" w:after="40"/>
            </w:pPr>
            <w:r>
              <w:rPr>
                <w:b w:val="0"/>
                <w:sz w:val="18"/>
              </w:rPr>
              <w:t>81.20%</w:t>
            </w:r>
          </w:p>
        </w:tc>
        <w:tc>
          <w:tcPr>
            <w:tcW w:type="dxa" w:w="1512"/>
          </w:tcPr>
          <w:p>
            <w:pPr>
              <w:spacing w:before="40" w:after="40"/>
            </w:pPr>
            <w:r>
              <w:rPr>
                <w:b w:val="0"/>
                <w:sz w:val="18"/>
              </w:rPr>
              <w:t>1,245/1,498</w:t>
            </w:r>
          </w:p>
        </w:tc>
      </w:tr>
      <w:tr>
        <w:trPr>
          <w:cantSplit/>
        </w:trPr>
        <w:tc>
          <w:tcPr>
            <w:tcW w:type="dxa" w:w="864"/>
          </w:tcPr>
          <w:p>
            <w:pPr>
              <w:spacing w:before="40" w:after="40"/>
            </w:pPr>
            <w:r>
              <w:rPr>
                <w:b w:val="0"/>
                <w:sz w:val="18"/>
              </w:rPr>
              <w:t>±60°</w:t>
            </w:r>
          </w:p>
        </w:tc>
        <w:tc>
          <w:tcPr>
            <w:tcW w:type="dxa" w:w="1728"/>
          </w:tcPr>
          <w:p>
            <w:pPr>
              <w:spacing w:before="40" w:after="40"/>
            </w:pPr>
            <w:r>
              <w:rPr>
                <w:b w:val="0"/>
                <w:sz w:val="18"/>
              </w:rPr>
              <w:t>Seven-angle mean</w:t>
            </w:r>
          </w:p>
        </w:tc>
        <w:tc>
          <w:tcPr>
            <w:tcW w:type="dxa" w:w="1512"/>
          </w:tcPr>
          <w:p>
            <w:pPr>
              <w:spacing w:before="40" w:after="40"/>
            </w:pPr>
            <w:r>
              <w:rPr>
                <w:b w:val="0"/>
                <w:sz w:val="18"/>
              </w:rPr>
              <w:t>83.41%</w:t>
            </w:r>
          </w:p>
        </w:tc>
        <w:tc>
          <w:tcPr>
            <w:tcW w:type="dxa" w:w="1512"/>
          </w:tcPr>
          <w:p>
            <w:pPr>
              <w:spacing w:before="40" w:after="40"/>
            </w:pPr>
            <w:r>
              <w:rPr>
                <w:b w:val="0"/>
                <w:sz w:val="18"/>
              </w:rPr>
              <w:t>84.98%</w:t>
            </w:r>
          </w:p>
        </w:tc>
        <w:tc>
          <w:tcPr>
            <w:tcW w:type="dxa" w:w="1512"/>
          </w:tcPr>
          <w:p>
            <w:pPr>
              <w:spacing w:before="40" w:after="40"/>
            </w:pPr>
            <w:r>
              <w:rPr>
                <w:b w:val="0"/>
                <w:sz w:val="18"/>
              </w:rPr>
              <w:t>83.37%</w:t>
            </w:r>
          </w:p>
        </w:tc>
        <w:tc>
          <w:tcPr>
            <w:tcW w:type="dxa" w:w="1512"/>
          </w:tcPr>
          <w:p>
            <w:pPr>
              <w:spacing w:before="40" w:after="40"/>
            </w:pPr>
            <w:r>
              <w:rPr>
                <w:b w:val="0"/>
                <w:sz w:val="18"/>
              </w:rPr>
              <w:t>1,273/1,498</w:t>
            </w:r>
          </w:p>
        </w:tc>
      </w:tr>
      <w:tr>
        <w:trPr>
          <w:cantSplit/>
        </w:trPr>
        <w:tc>
          <w:tcPr>
            <w:tcW w:type="dxa" w:w="864"/>
          </w:tcPr>
          <w:p>
            <w:pPr>
              <w:spacing w:before="40" w:after="40"/>
            </w:pPr>
            <w:r>
              <w:rPr>
                <w:b w:val="0"/>
                <w:sz w:val="18"/>
              </w:rPr>
              <w:t>±60°</w:t>
            </w:r>
          </w:p>
        </w:tc>
        <w:tc>
          <w:tcPr>
            <w:tcW w:type="dxa" w:w="1728"/>
          </w:tcPr>
          <w:p>
            <w:pPr>
              <w:spacing w:before="40" w:after="40"/>
            </w:pPr>
            <w:r>
              <w:rPr>
                <w:b w:val="0"/>
                <w:sz w:val="18"/>
              </w:rPr>
              <w:t>Seven-angle max</w:t>
            </w:r>
          </w:p>
        </w:tc>
        <w:tc>
          <w:tcPr>
            <w:tcW w:type="dxa" w:w="1512"/>
          </w:tcPr>
          <w:p>
            <w:pPr>
              <w:spacing w:before="40" w:after="40"/>
            </w:pPr>
            <w:r>
              <w:rPr>
                <w:b w:val="0"/>
                <w:sz w:val="18"/>
              </w:rPr>
              <w:t>83.03%</w:t>
            </w:r>
          </w:p>
        </w:tc>
        <w:tc>
          <w:tcPr>
            <w:tcW w:type="dxa" w:w="1512"/>
          </w:tcPr>
          <w:p>
            <w:pPr>
              <w:spacing w:before="40" w:after="40"/>
            </w:pPr>
            <w:r>
              <w:rPr>
                <w:b w:val="0"/>
                <w:sz w:val="18"/>
              </w:rPr>
              <w:t>84.98%</w:t>
            </w:r>
          </w:p>
        </w:tc>
        <w:tc>
          <w:tcPr>
            <w:tcW w:type="dxa" w:w="1512"/>
          </w:tcPr>
          <w:p>
            <w:pPr>
              <w:spacing w:before="40" w:after="40"/>
            </w:pPr>
            <w:r>
              <w:rPr>
                <w:b w:val="0"/>
                <w:sz w:val="18"/>
              </w:rPr>
              <w:t>83.78%</w:t>
            </w:r>
          </w:p>
        </w:tc>
        <w:tc>
          <w:tcPr>
            <w:tcW w:type="dxa" w:w="1512"/>
          </w:tcPr>
          <w:p>
            <w:pPr>
              <w:spacing w:before="40" w:after="40"/>
            </w:pPr>
            <w:r>
              <w:rPr>
                <w:b w:val="0"/>
                <w:sz w:val="18"/>
              </w:rPr>
              <w:t>1,273/1,498</w:t>
            </w:r>
          </w:p>
        </w:tc>
      </w:tr>
    </w:tbl>
    <w:p>
      <w:pPr>
        <w:spacing w:after="120"/>
      </w:pPr>
      <w:r>
        <w:t>The follow-up selected ±45° + mean on validation before test scoring. Its 85.11% test top-1 is 24 images above its own single-image score and nine above ±30° mean. ±60° mean and max score 84.98% (1,273 images). ±60° max has slightly higher test macro F1, 83.78%, than ±45° mean (83.74%); this does not change the validation-based selection.</w:t>
      </w:r>
    </w:p>
    <w:p>
      <w:pPr>
        <w:keepNext/>
        <w:spacing w:after="120"/>
        <w:jc w:val="center"/>
      </w:pPr>
      <w:r>
        <w:drawing>
          <wp:inline xmlns:a="http://schemas.openxmlformats.org/drawingml/2006/main" xmlns:pic="http://schemas.openxmlformats.org/drawingml/2006/picture">
            <wp:extent cx="5486400" cy="3383280"/>
            <wp:docPr id="8" name="Picture 8"/>
            <wp:cNvGraphicFramePr>
              <a:graphicFrameLocks noChangeAspect="1"/>
            </wp:cNvGraphicFramePr>
            <a:graphic>
              <a:graphicData uri="http://schemas.openxmlformats.org/drawingml/2006/picture">
                <pic:pic>
                  <pic:nvPicPr>
                    <pic:cNvPr id="0" name="rotation_followup_39484294.png"/>
                    <pic:cNvPicPr/>
                  </pic:nvPicPr>
                  <pic:blipFill>
                    <a:blip r:embed="rId28"/>
                    <a:stretch>
                      <a:fillRect/>
                    </a:stretch>
                  </pic:blipFill>
                  <pic:spPr>
                    <a:xfrm>
                      <a:off x="0" y="0"/>
                      <a:ext cx="5486400" cy="3383280"/>
                    </a:xfrm>
                    <a:prstGeom prst="rect"/>
                  </pic:spPr>
                </pic:pic>
              </a:graphicData>
            </a:graphic>
          </wp:inline>
        </w:drawing>
      </w:r>
    </w:p>
    <w:p>
      <w:pPr>
        <w:pStyle w:val="Caption"/>
        <w:spacing w:after="120"/>
      </w:pPr>
      <w:r>
        <w:t>Figure 4. Test top-1 for ±30°, ±45° and ±60° training, using single-image inference and the same seven-angle mean/max methods.</w:t>
      </w:r>
    </w:p>
    <w:p>
      <w:pPr>
        <w:spacing w:after="120"/>
      </w:pPr>
      <w:r>
        <w:t xml:space="preserve">Follow-up sources: </w:t>
      </w:r>
      <w:hyperlink r:id="rId29">
        <w:r>
          <w:t>comparison CSV</w:t>
        </w:r>
      </w:hyperlink>
      <w:r>
        <w:t xml:space="preserve"> · </w:t>
      </w:r>
      <w:hyperlink r:id="rId30">
        <w:r>
          <w:t>validation selection</w:t>
        </w:r>
      </w:hyperlink>
      <w:r>
        <w:t xml:space="preserve"> · </w:t>
      </w:r>
      <w:hyperlink r:id="rId31">
        <w:r>
          <w:t>job log</w:t>
        </w:r>
      </w:hyperlink>
    </w:p>
    <w:p>
      <w:pPr>
        <w:pStyle w:val="Heading2"/>
        <w:spacing w:after="120"/>
      </w:pPr>
      <w:r>
        <w:t>All policies and pooling methods</w:t>
      </w:r>
    </w:p>
    <w:p>
      <w:pPr>
        <w:widowControl/>
        <w:spacing w:after="120"/>
      </w:pPr>
      <w:r>
        <w:t>Inference uses views at −30°, −20°, −10°, 0°, +10°, +20° and +30° for every model. Each view is scored with margin-free ArcFace logits followed by softmax. Mean averages class probabilities; max takes each class’s maximum view probability and renormalizes. Model weights are not averaged.</w:t>
      </w:r>
    </w:p>
    <w:p>
      <w:pPr>
        <w:pStyle w:val="Heading2"/>
        <w:keepNext/>
      </w:pPr>
      <w:r>
        <w:t>Test results: same 1,498 crops and 149 identities</w:t>
      </w:r>
    </w:p>
    <w:tbl>
      <w:tblPr>
        <w:tblStyle w:val="LightGrid-Accent1"/>
        <w:tblW w:type="auto" w:w="0"/>
        <w:jc w:val="center"/>
        <w:tblLayout w:type="fixed"/>
        <w:tblLook w:firstColumn="1" w:firstRow="1" w:lastColumn="0" w:lastRow="0" w:noHBand="0" w:noVBand="1" w:val="04A0"/>
      </w:tblPr>
      <w:tblGrid>
        <w:gridCol w:w="1872"/>
        <w:gridCol w:w="1692"/>
        <w:gridCol w:w="1692"/>
        <w:gridCol w:w="1692"/>
        <w:gridCol w:w="1692"/>
      </w:tblGrid>
      <w:tr>
        <w:trPr>
          <w:cantSplit/>
          <w:tblHeader/>
        </w:trPr>
        <w:tc>
          <w:tcPr>
            <w:tcW w:type="dxa" w:w="1872"/>
            <w:vAlign w:val="center"/>
          </w:tcPr>
          <w:p>
            <w:pPr>
              <w:spacing w:before="40" w:after="40"/>
            </w:pPr>
            <w:r>
              <w:rPr>
                <w:b/>
                <w:sz w:val="18"/>
              </w:rPr>
              <w:t>Training policy</w:t>
            </w:r>
          </w:p>
        </w:tc>
        <w:tc>
          <w:tcPr>
            <w:tcW w:type="dxa" w:w="1692"/>
            <w:vAlign w:val="center"/>
          </w:tcPr>
          <w:p>
            <w:pPr>
              <w:spacing w:before="40" w:after="40"/>
            </w:pPr>
            <w:r>
              <w:rPr>
                <w:b/>
                <w:sz w:val="18"/>
              </w:rPr>
              <w:t>Single-image Top-1</w:t>
            </w:r>
          </w:p>
        </w:tc>
        <w:tc>
          <w:tcPr>
            <w:tcW w:type="dxa" w:w="1692"/>
            <w:vAlign w:val="center"/>
          </w:tcPr>
          <w:p>
            <w:pPr>
              <w:spacing w:before="40" w:after="40"/>
            </w:pPr>
            <w:r>
              <w:rPr>
                <w:b/>
                <w:sz w:val="18"/>
              </w:rPr>
              <w:t>Mean TTA Top-1</w:t>
            </w:r>
          </w:p>
        </w:tc>
        <w:tc>
          <w:tcPr>
            <w:tcW w:type="dxa" w:w="1692"/>
            <w:vAlign w:val="center"/>
          </w:tcPr>
          <w:p>
            <w:pPr>
              <w:spacing w:before="40" w:after="40"/>
            </w:pPr>
            <w:r>
              <w:rPr>
                <w:b/>
                <w:sz w:val="18"/>
              </w:rPr>
              <w:t>Max TTA Top-1</w:t>
            </w:r>
          </w:p>
        </w:tc>
        <w:tc>
          <w:tcPr>
            <w:tcW w:type="dxa" w:w="1692"/>
            <w:vAlign w:val="center"/>
          </w:tcPr>
          <w:p>
            <w:pPr>
              <w:spacing w:before="40" w:after="40"/>
            </w:pPr>
            <w:r>
              <w:rPr>
                <w:b/>
                <w:sz w:val="18"/>
              </w:rPr>
              <w:t>Mean TTA macro-F1</w:t>
            </w:r>
          </w:p>
        </w:tc>
      </w:tr>
      <w:tr>
        <w:trPr>
          <w:cantSplit/>
        </w:trPr>
        <w:tc>
          <w:tcPr>
            <w:tcW w:type="dxa" w:w="1872"/>
            <w:vAlign w:val="center"/>
          </w:tcPr>
          <w:p>
            <w:pPr>
              <w:spacing w:before="40" w:after="40"/>
            </w:pPr>
            <w:r>
              <w:rPr>
                <w:b w:val="0"/>
                <w:sz w:val="18"/>
              </w:rPr>
              <w:t>Baseline</w:t>
            </w:r>
          </w:p>
        </w:tc>
        <w:tc>
          <w:tcPr>
            <w:tcW w:type="dxa" w:w="1692"/>
            <w:vAlign w:val="center"/>
          </w:tcPr>
          <w:p>
            <w:pPr>
              <w:spacing w:before="40" w:after="40"/>
            </w:pPr>
            <w:r>
              <w:rPr>
                <w:b w:val="0"/>
                <w:sz w:val="18"/>
              </w:rPr>
              <w:t>82.51%</w:t>
            </w:r>
          </w:p>
        </w:tc>
        <w:tc>
          <w:tcPr>
            <w:tcW w:type="dxa" w:w="1692"/>
            <w:vAlign w:val="center"/>
          </w:tcPr>
          <w:p>
            <w:pPr>
              <w:spacing w:before="40" w:after="40"/>
            </w:pPr>
            <w:r>
              <w:rPr>
                <w:b w:val="0"/>
                <w:sz w:val="18"/>
              </w:rPr>
              <w:t>Not tested</w:t>
            </w:r>
          </w:p>
        </w:tc>
        <w:tc>
          <w:tcPr>
            <w:tcW w:type="dxa" w:w="1692"/>
            <w:vAlign w:val="center"/>
          </w:tcPr>
          <w:p>
            <w:pPr>
              <w:spacing w:before="40" w:after="40"/>
            </w:pPr>
            <w:r>
              <w:rPr>
                <w:b w:val="0"/>
                <w:sz w:val="18"/>
              </w:rPr>
              <w:t>Not tested</w:t>
            </w:r>
          </w:p>
        </w:tc>
        <w:tc>
          <w:tcPr>
            <w:tcW w:type="dxa" w:w="1692"/>
            <w:vAlign w:val="center"/>
          </w:tcPr>
          <w:p>
            <w:pPr>
              <w:spacing w:before="40" w:after="40"/>
            </w:pPr>
            <w:r>
              <w:rPr>
                <w:b w:val="0"/>
                <w:sz w:val="18"/>
              </w:rPr>
              <w:t>Not tested</w:t>
            </w:r>
          </w:p>
        </w:tc>
      </w:tr>
      <w:tr>
        <w:trPr>
          <w:cantSplit/>
        </w:trPr>
        <w:tc>
          <w:tcPr>
            <w:tcW w:type="dxa" w:w="1872"/>
            <w:vAlign w:val="center"/>
          </w:tcPr>
          <w:p>
            <w:pPr>
              <w:spacing w:before="40" w:after="40"/>
            </w:pPr>
            <w:r>
              <w:rPr>
                <w:b w:val="0"/>
                <w:sz w:val="18"/>
              </w:rPr>
              <w:t>±30° policy</w:t>
            </w:r>
          </w:p>
        </w:tc>
        <w:tc>
          <w:tcPr>
            <w:tcW w:type="dxa" w:w="1692"/>
            <w:vAlign w:val="center"/>
          </w:tcPr>
          <w:p>
            <w:pPr>
              <w:spacing w:before="40" w:after="40"/>
            </w:pPr>
            <w:r>
              <w:rPr>
                <w:b w:val="0"/>
                <w:sz w:val="18"/>
              </w:rPr>
              <w:t>83.51%</w:t>
            </w:r>
          </w:p>
        </w:tc>
        <w:tc>
          <w:tcPr>
            <w:tcW w:type="dxa" w:w="1692"/>
            <w:vAlign w:val="center"/>
          </w:tcPr>
          <w:p>
            <w:pPr>
              <w:spacing w:before="40" w:after="40"/>
            </w:pPr>
            <w:r>
              <w:rPr>
                <w:b w:val="0"/>
                <w:sz w:val="18"/>
              </w:rPr>
              <w:t>84.51%</w:t>
            </w:r>
          </w:p>
        </w:tc>
        <w:tc>
          <w:tcPr>
            <w:tcW w:type="dxa" w:w="1692"/>
            <w:vAlign w:val="center"/>
          </w:tcPr>
          <w:p>
            <w:pPr>
              <w:spacing w:before="40" w:after="40"/>
            </w:pPr>
            <w:r>
              <w:rPr>
                <w:b w:val="0"/>
                <w:sz w:val="18"/>
              </w:rPr>
              <w:t>84.31%</w:t>
            </w:r>
          </w:p>
        </w:tc>
        <w:tc>
          <w:tcPr>
            <w:tcW w:type="dxa" w:w="1692"/>
            <w:vAlign w:val="center"/>
          </w:tcPr>
          <w:p>
            <w:pPr>
              <w:spacing w:before="40" w:after="40"/>
            </w:pPr>
            <w:r>
              <w:rPr>
                <w:b w:val="0"/>
                <w:sz w:val="18"/>
              </w:rPr>
              <w:t>82.84%</w:t>
            </w:r>
          </w:p>
        </w:tc>
      </w:tr>
      <w:tr>
        <w:trPr>
          <w:cantSplit/>
        </w:trPr>
        <w:tc>
          <w:tcPr>
            <w:tcW w:type="dxa" w:w="1872"/>
            <w:vAlign w:val="center"/>
          </w:tcPr>
          <w:p>
            <w:pPr>
              <w:spacing w:before="40" w:after="40"/>
            </w:pPr>
            <w:r>
              <w:rPr>
                <w:b w:val="0"/>
                <w:sz w:val="18"/>
              </w:rPr>
              <w:t>±45° policy</w:t>
            </w:r>
          </w:p>
        </w:tc>
        <w:tc>
          <w:tcPr>
            <w:tcW w:type="dxa" w:w="1692"/>
            <w:vAlign w:val="center"/>
          </w:tcPr>
          <w:p>
            <w:pPr>
              <w:spacing w:before="40" w:after="40"/>
            </w:pPr>
            <w:r>
              <w:rPr>
                <w:b w:val="0"/>
                <w:sz w:val="18"/>
              </w:rPr>
              <w:t>83.51%</w:t>
            </w:r>
          </w:p>
        </w:tc>
        <w:tc>
          <w:tcPr>
            <w:tcW w:type="dxa" w:w="1692"/>
            <w:vAlign w:val="center"/>
          </w:tcPr>
          <w:p>
            <w:pPr>
              <w:spacing w:before="40" w:after="40"/>
            </w:pPr>
            <w:r>
              <w:rPr>
                <w:b w:val="0"/>
                <w:sz w:val="18"/>
              </w:rPr>
              <w:t>85.11%</w:t>
            </w:r>
          </w:p>
        </w:tc>
        <w:tc>
          <w:tcPr>
            <w:tcW w:type="dxa" w:w="1692"/>
            <w:vAlign w:val="center"/>
          </w:tcPr>
          <w:p>
            <w:pPr>
              <w:spacing w:before="40" w:after="40"/>
            </w:pPr>
            <w:r>
              <w:rPr>
                <w:b w:val="0"/>
                <w:sz w:val="18"/>
              </w:rPr>
              <w:t>84.78%</w:t>
            </w:r>
          </w:p>
        </w:tc>
        <w:tc>
          <w:tcPr>
            <w:tcW w:type="dxa" w:w="1692"/>
            <w:vAlign w:val="center"/>
          </w:tcPr>
          <w:p>
            <w:pPr>
              <w:spacing w:before="40" w:after="40"/>
            </w:pPr>
            <w:r>
              <w:rPr>
                <w:b w:val="0"/>
                <w:sz w:val="18"/>
              </w:rPr>
              <w:t>83.74%</w:t>
            </w:r>
          </w:p>
        </w:tc>
      </w:tr>
      <w:tr>
        <w:trPr>
          <w:cantSplit/>
        </w:trPr>
        <w:tc>
          <w:tcPr>
            <w:tcW w:type="dxa" w:w="1872"/>
            <w:vAlign w:val="center"/>
          </w:tcPr>
          <w:p>
            <w:pPr>
              <w:spacing w:before="40" w:after="40"/>
            </w:pPr>
            <w:r>
              <w:rPr>
                <w:b w:val="0"/>
                <w:sz w:val="18"/>
              </w:rPr>
              <w:t>±60° policy</w:t>
            </w:r>
          </w:p>
        </w:tc>
        <w:tc>
          <w:tcPr>
            <w:tcW w:type="dxa" w:w="1692"/>
            <w:vAlign w:val="center"/>
          </w:tcPr>
          <w:p>
            <w:pPr>
              <w:spacing w:before="40" w:after="40"/>
            </w:pPr>
            <w:r>
              <w:rPr>
                <w:b w:val="0"/>
                <w:sz w:val="18"/>
              </w:rPr>
              <w:t>83.11%</w:t>
            </w:r>
          </w:p>
        </w:tc>
        <w:tc>
          <w:tcPr>
            <w:tcW w:type="dxa" w:w="1692"/>
            <w:vAlign w:val="center"/>
          </w:tcPr>
          <w:p>
            <w:pPr>
              <w:spacing w:before="40" w:after="40"/>
            </w:pPr>
            <w:r>
              <w:rPr>
                <w:b w:val="0"/>
                <w:sz w:val="18"/>
              </w:rPr>
              <w:t>84.98%</w:t>
            </w:r>
          </w:p>
        </w:tc>
        <w:tc>
          <w:tcPr>
            <w:tcW w:type="dxa" w:w="1692"/>
            <w:vAlign w:val="center"/>
          </w:tcPr>
          <w:p>
            <w:pPr>
              <w:spacing w:before="40" w:after="40"/>
            </w:pPr>
            <w:r>
              <w:rPr>
                <w:b w:val="0"/>
                <w:sz w:val="18"/>
              </w:rPr>
              <w:t>84.98%</w:t>
            </w:r>
          </w:p>
        </w:tc>
        <w:tc>
          <w:tcPr>
            <w:tcW w:type="dxa" w:w="1692"/>
            <w:vAlign w:val="center"/>
          </w:tcPr>
          <w:p>
            <w:pPr>
              <w:spacing w:before="40" w:after="40"/>
            </w:pPr>
            <w:r>
              <w:rPr>
                <w:b w:val="0"/>
                <w:sz w:val="18"/>
              </w:rPr>
              <w:t>83.37%</w:t>
            </w:r>
          </w:p>
        </w:tc>
      </w:tr>
      <w:tr>
        <w:trPr>
          <w:cantSplit/>
        </w:trPr>
        <w:tc>
          <w:tcPr>
            <w:tcW w:type="dxa" w:w="1872"/>
            <w:vAlign w:val="center"/>
          </w:tcPr>
          <w:p>
            <w:pPr>
              <w:spacing w:before="40" w:after="40"/>
            </w:pPr>
            <w:r>
              <w:rPr>
                <w:b w:val="0"/>
                <w:sz w:val="18"/>
              </w:rPr>
              <w:t>±100° policy</w:t>
            </w:r>
          </w:p>
        </w:tc>
        <w:tc>
          <w:tcPr>
            <w:tcW w:type="dxa" w:w="1692"/>
            <w:vAlign w:val="center"/>
          </w:tcPr>
          <w:p>
            <w:pPr>
              <w:spacing w:before="40" w:after="40"/>
            </w:pPr>
            <w:r>
              <w:rPr>
                <w:b w:val="0"/>
                <w:sz w:val="18"/>
              </w:rPr>
              <w:t>81.44%</w:t>
            </w:r>
          </w:p>
        </w:tc>
        <w:tc>
          <w:tcPr>
            <w:tcW w:type="dxa" w:w="1692"/>
            <w:vAlign w:val="center"/>
          </w:tcPr>
          <w:p>
            <w:pPr>
              <w:spacing w:before="40" w:after="40"/>
            </w:pPr>
            <w:r>
              <w:rPr>
                <w:b w:val="0"/>
                <w:sz w:val="18"/>
              </w:rPr>
              <w:t>82.44%</w:t>
            </w:r>
          </w:p>
        </w:tc>
        <w:tc>
          <w:tcPr>
            <w:tcW w:type="dxa" w:w="1692"/>
            <w:vAlign w:val="center"/>
          </w:tcPr>
          <w:p>
            <w:pPr>
              <w:spacing w:before="40" w:after="40"/>
            </w:pPr>
            <w:r>
              <w:rPr>
                <w:b w:val="0"/>
                <w:sz w:val="18"/>
              </w:rPr>
              <w:t>81.84%</w:t>
            </w:r>
          </w:p>
        </w:tc>
        <w:tc>
          <w:tcPr>
            <w:tcW w:type="dxa" w:w="1692"/>
            <w:vAlign w:val="center"/>
          </w:tcPr>
          <w:p>
            <w:pPr>
              <w:spacing w:before="40" w:after="40"/>
            </w:pPr>
            <w:r>
              <w:rPr>
                <w:b w:val="0"/>
                <w:sz w:val="18"/>
              </w:rPr>
              <w:t>79.99%</w:t>
            </w:r>
          </w:p>
        </w:tc>
      </w:tr>
      <w:tr>
        <w:trPr>
          <w:cantSplit/>
        </w:trPr>
        <w:tc>
          <w:tcPr>
            <w:tcW w:type="dxa" w:w="1872"/>
            <w:vAlign w:val="center"/>
          </w:tcPr>
          <w:p>
            <w:pPr>
              <w:spacing w:before="40" w:after="40"/>
            </w:pPr>
            <w:r>
              <w:rPr>
                <w:b w:val="0"/>
                <w:sz w:val="18"/>
              </w:rPr>
              <w:t>±150° policy</w:t>
            </w:r>
          </w:p>
        </w:tc>
        <w:tc>
          <w:tcPr>
            <w:tcW w:type="dxa" w:w="1692"/>
            <w:vAlign w:val="center"/>
          </w:tcPr>
          <w:p>
            <w:pPr>
              <w:spacing w:before="40" w:after="40"/>
            </w:pPr>
            <w:r>
              <w:rPr>
                <w:b w:val="0"/>
                <w:sz w:val="18"/>
              </w:rPr>
              <w:t>56.94%</w:t>
            </w:r>
          </w:p>
        </w:tc>
        <w:tc>
          <w:tcPr>
            <w:tcW w:type="dxa" w:w="1692"/>
            <w:vAlign w:val="center"/>
          </w:tcPr>
          <w:p>
            <w:pPr>
              <w:spacing w:before="40" w:after="40"/>
            </w:pPr>
            <w:r>
              <w:rPr>
                <w:b w:val="0"/>
                <w:sz w:val="18"/>
              </w:rPr>
              <w:t>58.41%</w:t>
            </w:r>
          </w:p>
        </w:tc>
        <w:tc>
          <w:tcPr>
            <w:tcW w:type="dxa" w:w="1692"/>
            <w:vAlign w:val="center"/>
          </w:tcPr>
          <w:p>
            <w:pPr>
              <w:spacing w:before="40" w:after="40"/>
            </w:pPr>
            <w:r>
              <w:rPr>
                <w:b w:val="0"/>
                <w:sz w:val="18"/>
              </w:rPr>
              <w:t>57.48%</w:t>
            </w:r>
          </w:p>
        </w:tc>
        <w:tc>
          <w:tcPr>
            <w:tcW w:type="dxa" w:w="1692"/>
            <w:vAlign w:val="center"/>
          </w:tcPr>
          <w:p>
            <w:pPr>
              <w:spacing w:before="40" w:after="40"/>
            </w:pPr>
            <w:r>
              <w:rPr>
                <w:b w:val="0"/>
                <w:sz w:val="18"/>
              </w:rPr>
              <w:t>46.36%</w:t>
            </w:r>
          </w:p>
        </w:tc>
      </w:tr>
    </w:tbl>
    <w:p>
      <w:pPr>
        <w:spacing w:after="0" w:before="0"/>
      </w:pPr>
    </w:p>
    <w:p>
      <w:pPr>
        <w:widowControl/>
        <w:spacing w:after="120"/>
      </w:pPr>
      <w:r>
        <w:t>Baseline TTA was not evaluated. The combined 2.60-point improvement includes a training-policy change and an inference change. The ±45° mean result is nine test images ahead of ±30° mean; these small differences require repeated-seed confirmation.</w:t>
      </w:r>
    </w:p>
    <w:p>
      <w:pPr>
        <w:pStyle w:val="Heading2"/>
        <w:keepNext/>
      </w:pPr>
      <w:r>
        <w:t>Validation results used for selection</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2160"/>
            <w:vAlign w:val="center"/>
          </w:tcPr>
          <w:p>
            <w:pPr>
              <w:spacing w:before="40" w:after="40"/>
            </w:pPr>
            <w:r>
              <w:rPr>
                <w:b/>
                <w:sz w:val="18"/>
              </w:rPr>
              <w:t>Training policy</w:t>
            </w:r>
          </w:p>
        </w:tc>
        <w:tc>
          <w:tcPr>
            <w:tcW w:type="dxa" w:w="2160"/>
            <w:vAlign w:val="center"/>
          </w:tcPr>
          <w:p>
            <w:pPr>
              <w:spacing w:before="40" w:after="40"/>
            </w:pPr>
            <w:r>
              <w:rPr>
                <w:b/>
                <w:sz w:val="18"/>
              </w:rPr>
              <w:t>Single-image Top-1</w:t>
            </w:r>
          </w:p>
        </w:tc>
        <w:tc>
          <w:tcPr>
            <w:tcW w:type="dxa" w:w="2160"/>
            <w:vAlign w:val="center"/>
          </w:tcPr>
          <w:p>
            <w:pPr>
              <w:spacing w:before="40" w:after="40"/>
            </w:pPr>
            <w:r>
              <w:rPr>
                <w:b/>
                <w:sz w:val="18"/>
              </w:rPr>
              <w:t>Mean TTA Top-1</w:t>
            </w:r>
          </w:p>
        </w:tc>
        <w:tc>
          <w:tcPr>
            <w:tcW w:type="dxa" w:w="2160"/>
            <w:vAlign w:val="center"/>
          </w:tcPr>
          <w:p>
            <w:pPr>
              <w:spacing w:before="40" w:after="40"/>
            </w:pPr>
            <w:r>
              <w:rPr>
                <w:b/>
                <w:sz w:val="18"/>
              </w:rPr>
              <w:t>Max TTA Top-1</w:t>
            </w:r>
          </w:p>
        </w:tc>
      </w:tr>
      <w:tr>
        <w:trPr>
          <w:cantSplit/>
        </w:trPr>
        <w:tc>
          <w:tcPr>
            <w:tcW w:type="dxa" w:w="2160"/>
            <w:vAlign w:val="center"/>
          </w:tcPr>
          <w:p>
            <w:pPr>
              <w:spacing w:before="40" w:after="40"/>
            </w:pPr>
            <w:r>
              <w:rPr>
                <w:b w:val="0"/>
                <w:sz w:val="18"/>
              </w:rPr>
              <w:t>Baseline</w:t>
            </w:r>
          </w:p>
        </w:tc>
        <w:tc>
          <w:tcPr>
            <w:tcW w:type="dxa" w:w="2160"/>
            <w:vAlign w:val="center"/>
          </w:tcPr>
          <w:p>
            <w:pPr>
              <w:spacing w:before="40" w:after="40"/>
            </w:pPr>
            <w:r>
              <w:rPr>
                <w:b w:val="0"/>
                <w:sz w:val="18"/>
              </w:rPr>
              <w:t>80.49%</w:t>
            </w:r>
          </w:p>
        </w:tc>
        <w:tc>
          <w:tcPr>
            <w:tcW w:type="dxa" w:w="2160"/>
            <w:vAlign w:val="center"/>
          </w:tcPr>
          <w:p>
            <w:pPr>
              <w:spacing w:before="40" w:after="40"/>
            </w:pPr>
            <w:r>
              <w:rPr>
                <w:b w:val="0"/>
                <w:sz w:val="18"/>
              </w:rPr>
              <w:t>Not tested</w:t>
            </w:r>
          </w:p>
        </w:tc>
        <w:tc>
          <w:tcPr>
            <w:tcW w:type="dxa" w:w="2160"/>
            <w:vAlign w:val="center"/>
          </w:tcPr>
          <w:p>
            <w:pPr>
              <w:spacing w:before="40" w:after="40"/>
            </w:pPr>
            <w:r>
              <w:rPr>
                <w:b w:val="0"/>
                <w:sz w:val="18"/>
              </w:rPr>
              <w:t>Not tested</w:t>
            </w:r>
          </w:p>
        </w:tc>
      </w:tr>
      <w:tr>
        <w:trPr>
          <w:cantSplit/>
        </w:trPr>
        <w:tc>
          <w:tcPr>
            <w:tcW w:type="dxa" w:w="2160"/>
            <w:vAlign w:val="center"/>
          </w:tcPr>
          <w:p>
            <w:pPr>
              <w:spacing w:before="40" w:after="40"/>
            </w:pPr>
            <w:r>
              <w:rPr>
                <w:b w:val="0"/>
                <w:sz w:val="18"/>
              </w:rPr>
              <w:t>±30° policy</w:t>
            </w:r>
          </w:p>
        </w:tc>
        <w:tc>
          <w:tcPr>
            <w:tcW w:type="dxa" w:w="2160"/>
            <w:vAlign w:val="center"/>
          </w:tcPr>
          <w:p>
            <w:pPr>
              <w:spacing w:before="40" w:after="40"/>
            </w:pPr>
            <w:r>
              <w:rPr>
                <w:b w:val="0"/>
                <w:sz w:val="18"/>
              </w:rPr>
              <w:t>82.49%</w:t>
            </w:r>
          </w:p>
        </w:tc>
        <w:tc>
          <w:tcPr>
            <w:tcW w:type="dxa" w:w="2160"/>
            <w:vAlign w:val="center"/>
          </w:tcPr>
          <w:p>
            <w:pPr>
              <w:spacing w:before="40" w:after="40"/>
            </w:pPr>
            <w:r>
              <w:rPr>
                <w:b w:val="0"/>
                <w:sz w:val="18"/>
              </w:rPr>
              <w:t>83.56%</w:t>
            </w:r>
          </w:p>
        </w:tc>
        <w:tc>
          <w:tcPr>
            <w:tcW w:type="dxa" w:w="2160"/>
            <w:vAlign w:val="center"/>
          </w:tcPr>
          <w:p>
            <w:pPr>
              <w:spacing w:before="40" w:after="40"/>
            </w:pPr>
            <w:r>
              <w:rPr>
                <w:b w:val="0"/>
                <w:sz w:val="18"/>
              </w:rPr>
              <w:t>83.26%</w:t>
            </w:r>
          </w:p>
        </w:tc>
      </w:tr>
      <w:tr>
        <w:trPr>
          <w:cantSplit/>
        </w:trPr>
        <w:tc>
          <w:tcPr>
            <w:tcW w:type="dxa" w:w="2160"/>
            <w:vAlign w:val="center"/>
          </w:tcPr>
          <w:p>
            <w:pPr>
              <w:spacing w:before="40" w:after="40"/>
            </w:pPr>
            <w:r>
              <w:rPr>
                <w:b w:val="0"/>
                <w:sz w:val="18"/>
              </w:rPr>
              <w:t>±45° policy</w:t>
            </w:r>
          </w:p>
        </w:tc>
        <w:tc>
          <w:tcPr>
            <w:tcW w:type="dxa" w:w="2160"/>
            <w:vAlign w:val="center"/>
          </w:tcPr>
          <w:p>
            <w:pPr>
              <w:spacing w:before="40" w:after="40"/>
            </w:pPr>
            <w:r>
              <w:rPr>
                <w:b w:val="0"/>
                <w:sz w:val="18"/>
              </w:rPr>
              <w:t>82.10%</w:t>
            </w:r>
          </w:p>
        </w:tc>
        <w:tc>
          <w:tcPr>
            <w:tcW w:type="dxa" w:w="2160"/>
            <w:vAlign w:val="center"/>
          </w:tcPr>
          <w:p>
            <w:pPr>
              <w:spacing w:before="40" w:after="40"/>
            </w:pPr>
            <w:r>
              <w:rPr>
                <w:b w:val="0"/>
                <w:sz w:val="18"/>
              </w:rPr>
              <w:t>83.56%</w:t>
            </w:r>
          </w:p>
        </w:tc>
        <w:tc>
          <w:tcPr>
            <w:tcW w:type="dxa" w:w="2160"/>
            <w:vAlign w:val="center"/>
          </w:tcPr>
          <w:p>
            <w:pPr>
              <w:spacing w:before="40" w:after="40"/>
            </w:pPr>
            <w:r>
              <w:rPr>
                <w:b w:val="0"/>
                <w:sz w:val="18"/>
              </w:rPr>
              <w:t>83.49%</w:t>
            </w:r>
          </w:p>
        </w:tc>
      </w:tr>
      <w:tr>
        <w:trPr>
          <w:cantSplit/>
        </w:trPr>
        <w:tc>
          <w:tcPr>
            <w:tcW w:type="dxa" w:w="2160"/>
            <w:vAlign w:val="center"/>
          </w:tcPr>
          <w:p>
            <w:pPr>
              <w:spacing w:before="40" w:after="40"/>
            </w:pPr>
            <w:r>
              <w:rPr>
                <w:b w:val="0"/>
                <w:sz w:val="18"/>
              </w:rPr>
              <w:t>±60° policy</w:t>
            </w:r>
          </w:p>
        </w:tc>
        <w:tc>
          <w:tcPr>
            <w:tcW w:type="dxa" w:w="2160"/>
            <w:vAlign w:val="center"/>
          </w:tcPr>
          <w:p>
            <w:pPr>
              <w:spacing w:before="40" w:after="40"/>
            </w:pPr>
            <w:r>
              <w:rPr>
                <w:b w:val="0"/>
                <w:sz w:val="18"/>
              </w:rPr>
              <w:t>82.18%</w:t>
            </w:r>
          </w:p>
        </w:tc>
        <w:tc>
          <w:tcPr>
            <w:tcW w:type="dxa" w:w="2160"/>
            <w:vAlign w:val="center"/>
          </w:tcPr>
          <w:p>
            <w:pPr>
              <w:spacing w:before="40" w:after="40"/>
            </w:pPr>
            <w:r>
              <w:rPr>
                <w:b w:val="0"/>
                <w:sz w:val="18"/>
              </w:rPr>
              <w:t>83.41%</w:t>
            </w:r>
          </w:p>
        </w:tc>
        <w:tc>
          <w:tcPr>
            <w:tcW w:type="dxa" w:w="2160"/>
            <w:vAlign w:val="center"/>
          </w:tcPr>
          <w:p>
            <w:pPr>
              <w:spacing w:before="40" w:after="40"/>
            </w:pPr>
            <w:r>
              <w:rPr>
                <w:b w:val="0"/>
                <w:sz w:val="18"/>
              </w:rPr>
              <w:t>83.03%</w:t>
            </w:r>
          </w:p>
        </w:tc>
      </w:tr>
      <w:tr>
        <w:trPr>
          <w:cantSplit/>
        </w:trPr>
        <w:tc>
          <w:tcPr>
            <w:tcW w:type="dxa" w:w="2160"/>
            <w:vAlign w:val="center"/>
          </w:tcPr>
          <w:p>
            <w:pPr>
              <w:spacing w:before="40" w:after="40"/>
            </w:pPr>
            <w:r>
              <w:rPr>
                <w:b w:val="0"/>
                <w:sz w:val="18"/>
              </w:rPr>
              <w:t>±100° policy</w:t>
            </w:r>
          </w:p>
        </w:tc>
        <w:tc>
          <w:tcPr>
            <w:tcW w:type="dxa" w:w="2160"/>
            <w:vAlign w:val="center"/>
          </w:tcPr>
          <w:p>
            <w:pPr>
              <w:spacing w:before="40" w:after="40"/>
            </w:pPr>
            <w:r>
              <w:rPr>
                <w:b w:val="0"/>
                <w:sz w:val="18"/>
              </w:rPr>
              <w:t>79.49%</w:t>
            </w:r>
          </w:p>
        </w:tc>
        <w:tc>
          <w:tcPr>
            <w:tcW w:type="dxa" w:w="2160"/>
            <w:vAlign w:val="center"/>
          </w:tcPr>
          <w:p>
            <w:pPr>
              <w:spacing w:before="40" w:after="40"/>
            </w:pPr>
            <w:r>
              <w:rPr>
                <w:b w:val="0"/>
                <w:sz w:val="18"/>
              </w:rPr>
              <w:t>81.26%</w:t>
            </w:r>
          </w:p>
        </w:tc>
        <w:tc>
          <w:tcPr>
            <w:tcW w:type="dxa" w:w="2160"/>
            <w:vAlign w:val="center"/>
          </w:tcPr>
          <w:p>
            <w:pPr>
              <w:spacing w:before="40" w:after="40"/>
            </w:pPr>
            <w:r>
              <w:rPr>
                <w:b w:val="0"/>
                <w:sz w:val="18"/>
              </w:rPr>
              <w:t>80.72%</w:t>
            </w:r>
          </w:p>
        </w:tc>
      </w:tr>
      <w:tr>
        <w:trPr>
          <w:cantSplit/>
        </w:trPr>
        <w:tc>
          <w:tcPr>
            <w:tcW w:type="dxa" w:w="2160"/>
            <w:vAlign w:val="center"/>
          </w:tcPr>
          <w:p>
            <w:pPr>
              <w:spacing w:before="40" w:after="40"/>
            </w:pPr>
            <w:r>
              <w:rPr>
                <w:b w:val="0"/>
                <w:sz w:val="18"/>
              </w:rPr>
              <w:t>±150° policy</w:t>
            </w:r>
          </w:p>
        </w:tc>
        <w:tc>
          <w:tcPr>
            <w:tcW w:type="dxa" w:w="2160"/>
            <w:vAlign w:val="center"/>
          </w:tcPr>
          <w:p>
            <w:pPr>
              <w:spacing w:before="40" w:after="40"/>
            </w:pPr>
            <w:r>
              <w:rPr>
                <w:b w:val="0"/>
                <w:sz w:val="18"/>
              </w:rPr>
              <w:t>56.30%</w:t>
            </w:r>
          </w:p>
        </w:tc>
        <w:tc>
          <w:tcPr>
            <w:tcW w:type="dxa" w:w="2160"/>
            <w:vAlign w:val="center"/>
          </w:tcPr>
          <w:p>
            <w:pPr>
              <w:spacing w:before="40" w:after="40"/>
            </w:pPr>
            <w:r>
              <w:rPr>
                <w:b w:val="0"/>
                <w:sz w:val="18"/>
              </w:rPr>
              <w:t>58.06%</w:t>
            </w:r>
          </w:p>
        </w:tc>
        <w:tc>
          <w:tcPr>
            <w:tcW w:type="dxa" w:w="2160"/>
            <w:vAlign w:val="center"/>
          </w:tcPr>
          <w:p>
            <w:pPr>
              <w:spacing w:before="40" w:after="40"/>
            </w:pPr>
            <w:r>
              <w:rPr>
                <w:b w:val="0"/>
                <w:sz w:val="18"/>
              </w:rPr>
              <w:t>55.99%</w:t>
            </w:r>
          </w:p>
        </w:tc>
      </w:tr>
    </w:tbl>
    <w:p>
      <w:pPr>
        <w:spacing w:after="0" w:before="0"/>
      </w:pPr>
    </w:p>
    <w:p>
      <w:pPr>
        <w:widowControl/>
        <w:spacing w:after="120"/>
      </w:pPr>
      <w:r>
        <w:t>Each checkpoint was chosen by ordinary validation top-1 during training. Job 39152253 compared nine model/pooling combinations and selected ±30° mean; job 39484294 compared six and selected ±45° mean, before test scoring. Across suites, the mean methods tie at 1,088/1,302 validation images (83.56%). ±45° has higher validation macro F1 (80.11% versus 79.82%), consistent with the recorded tie-break rule. Logit adjustment was disabled (tau=0).</w:t>
      </w:r>
    </w:p>
    <w:p>
      <w:r>
        <w:br w:type="page"/>
      </w:r>
    </w:p>
    <w:p>
      <w:pPr>
        <w:pStyle w:val="Heading1"/>
        <w:keepNext/>
      </w:pPr>
      <w:r>
        <w:t>4. Loss curves: baseline and the original three policies</w:t>
      </w:r>
    </w:p>
    <w:p>
      <w:pPr>
        <w:widowControl/>
        <w:spacing w:after="120"/>
      </w:pPr>
      <w:r>
        <w:t>These are the actual logged losses, without smoothing. Both training and validation loss use cross-entropy on ArcFace logits with the training margin. Accuracy and final evaluation use margin-free logits. Loss magnitudes are therefore not the cross-entropy of the final reported probabilities. Checkpoints were chosen by validation accuracy, not minimum loss. The overview figures cover the baseline and the original ±30°/±100°/±150° runs; the per-policy section now also includes all 30 epochs for ±45° and ±60° on the same loss scale.</w:t>
      </w:r>
    </w:p>
    <w:p>
      <w:pPr>
        <w:keepNext/>
        <w:spacing w:after="40"/>
        <w:jc w:val="center"/>
      </w:pPr>
      <w:r>
        <w:drawing>
          <wp:inline xmlns:a="http://schemas.openxmlformats.org/drawingml/2006/main" xmlns:pic="http://schemas.openxmlformats.org/drawingml/2006/picture">
            <wp:extent cx="5486400" cy="2468880"/>
            <wp:docPr id="1" name="Picture 1" descr="Figure 1. Training loss under the same 30-epoch budget; inputs differ by policy."/>
            <wp:cNvGraphicFramePr>
              <a:graphicFrameLocks noChangeAspect="1"/>
            </wp:cNvGraphicFramePr>
            <a:graphic>
              <a:graphicData uri="http://schemas.openxmlformats.org/drawingml/2006/picture">
                <pic:pic>
                  <pic:nvPicPr>
                    <pic:cNvPr id="0" name="training_loss.png"/>
                    <pic:cNvPicPr/>
                  </pic:nvPicPr>
                  <pic:blipFill>
                    <a:blip r:embed="rId10"/>
                    <a:stretch>
                      <a:fillRect/>
                    </a:stretch>
                  </pic:blipFill>
                  <pic:spPr>
                    <a:xfrm>
                      <a:off x="0" y="0"/>
                      <a:ext cx="5486400" cy="2468880"/>
                    </a:xfrm>
                    <a:prstGeom prst="rect"/>
                  </pic:spPr>
                </pic:pic>
              </a:graphicData>
            </a:graphic>
          </wp:inline>
        </w:drawing>
      </w:r>
    </w:p>
    <w:p>
      <w:pPr>
        <w:pStyle w:val="Caption"/>
        <w:keepNext w:val="0"/>
        <w:spacing w:after="160"/>
      </w:pPr>
      <w:r>
        <w:t>Figure 5. Training loss under the same 30-epoch budget; inputs differ by policy.</w:t>
      </w:r>
    </w:p>
    <w:p>
      <w:pPr>
        <w:keepNext/>
        <w:spacing w:after="40"/>
        <w:jc w:val="center"/>
      </w:pPr>
      <w:r>
        <w:drawing>
          <wp:inline xmlns:a="http://schemas.openxmlformats.org/drawingml/2006/main" xmlns:pic="http://schemas.openxmlformats.org/drawingml/2006/picture">
            <wp:extent cx="5486400" cy="2468880"/>
            <wp:docPr id="2" name="Picture 2" descr="Figure 2. Validation loss on the common unaugmented validation split."/>
            <wp:cNvGraphicFramePr>
              <a:graphicFrameLocks noChangeAspect="1"/>
            </wp:cNvGraphicFramePr>
            <a:graphic>
              <a:graphicData uri="http://schemas.openxmlformats.org/drawingml/2006/picture">
                <pic:pic>
                  <pic:nvPicPr>
                    <pic:cNvPr id="0" name="validation_loss.png"/>
                    <pic:cNvPicPr/>
                  </pic:nvPicPr>
                  <pic:blipFill>
                    <a:blip r:embed="rId11"/>
                    <a:stretch>
                      <a:fillRect/>
                    </a:stretch>
                  </pic:blipFill>
                  <pic:spPr>
                    <a:xfrm>
                      <a:off x="0" y="0"/>
                      <a:ext cx="5486400" cy="2468880"/>
                    </a:xfrm>
                    <a:prstGeom prst="rect"/>
                  </pic:spPr>
                </pic:pic>
              </a:graphicData>
            </a:graphic>
          </wp:inline>
        </w:drawing>
      </w:r>
    </w:p>
    <w:p>
      <w:pPr>
        <w:pStyle w:val="Caption"/>
        <w:keepNext w:val="0"/>
        <w:spacing w:after="160"/>
      </w:pPr>
      <w:r>
        <w:t>Figure 6. Validation loss on the common unaugmented validation split.</w:t>
      </w:r>
    </w:p>
    <w:p>
      <w:r>
        <w:br w:type="page"/>
      </w:r>
    </w:p>
    <w:p>
      <w:pPr>
        <w:pStyle w:val="Heading1"/>
        <w:keepNext/>
      </w:pPr>
      <w:r>
        <w:t>5. Loss curves for each policy</w:t>
      </w:r>
    </w:p>
    <w:p>
      <w:pPr>
        <w:widowControl/>
        <w:spacing w:after="120"/>
      </w:pPr>
      <w:r>
        <w:t>Dotted grey is baseline validation loss. Vertical dashed lines mark the checkpoint chosen by validation top-1. All five per-policy panels use the same 0–20 loss range; the ±45°/±60° follow-up appears on the next page.</w:t>
      </w:r>
    </w:p>
    <w:p>
      <w:pPr>
        <w:keepNext/>
        <w:spacing w:after="40"/>
        <w:jc w:val="center"/>
      </w:pPr>
      <w:r>
        <w:drawing>
          <wp:inline xmlns:a="http://schemas.openxmlformats.org/drawingml/2006/main" xmlns:pic="http://schemas.openxmlformats.org/drawingml/2006/picture">
            <wp:extent cx="5486400" cy="1965960"/>
            <wp:docPr id="3" name="Picture 3" descr="Figure 3. ±30° policy: training and validation loss; best epoch 29."/>
            <wp:cNvGraphicFramePr>
              <a:graphicFrameLocks noChangeAspect="1"/>
            </wp:cNvGraphicFramePr>
            <a:graphic>
              <a:graphicData uri="http://schemas.openxmlformats.org/drawingml/2006/picture">
                <pic:pic>
                  <pic:nvPicPr>
                    <pic:cNvPr id="0" name="rot30_loss.png"/>
                    <pic:cNvPicPr/>
                  </pic:nvPicPr>
                  <pic:blipFill>
                    <a:blip r:embed="rId12"/>
                    <a:stretch>
                      <a:fillRect/>
                    </a:stretch>
                  </pic:blipFill>
                  <pic:spPr>
                    <a:xfrm>
                      <a:off x="0" y="0"/>
                      <a:ext cx="5486400" cy="1965960"/>
                    </a:xfrm>
                    <a:prstGeom prst="rect"/>
                  </pic:spPr>
                </pic:pic>
              </a:graphicData>
            </a:graphic>
          </wp:inline>
        </w:drawing>
      </w:r>
    </w:p>
    <w:p>
      <w:pPr>
        <w:pStyle w:val="Caption"/>
        <w:keepNext w:val="0"/>
        <w:spacing w:after="160"/>
      </w:pPr>
      <w:r>
        <w:t>Figure 7. ±30° policy: training and validation loss; best epoch 29.</w:t>
      </w:r>
    </w:p>
    <w:p>
      <w:pPr>
        <w:keepNext/>
        <w:spacing w:after="40"/>
        <w:jc w:val="center"/>
      </w:pPr>
      <w:r>
        <w:drawing>
          <wp:inline xmlns:a="http://schemas.openxmlformats.org/drawingml/2006/main" xmlns:pic="http://schemas.openxmlformats.org/drawingml/2006/picture">
            <wp:extent cx="5486400" cy="1965960"/>
            <wp:docPr id="4" name="Picture 4" descr="Figure 4. ±100° policy: training and validation loss; best epoch 30."/>
            <wp:cNvGraphicFramePr>
              <a:graphicFrameLocks noChangeAspect="1"/>
            </wp:cNvGraphicFramePr>
            <a:graphic>
              <a:graphicData uri="http://schemas.openxmlformats.org/drawingml/2006/picture">
                <pic:pic>
                  <pic:nvPicPr>
                    <pic:cNvPr id="0" name="rot100_loss.png"/>
                    <pic:cNvPicPr/>
                  </pic:nvPicPr>
                  <pic:blipFill>
                    <a:blip r:embed="rId13"/>
                    <a:stretch>
                      <a:fillRect/>
                    </a:stretch>
                  </pic:blipFill>
                  <pic:spPr>
                    <a:xfrm>
                      <a:off x="0" y="0"/>
                      <a:ext cx="5486400" cy="1965960"/>
                    </a:xfrm>
                    <a:prstGeom prst="rect"/>
                  </pic:spPr>
                </pic:pic>
              </a:graphicData>
            </a:graphic>
          </wp:inline>
        </w:drawing>
      </w:r>
    </w:p>
    <w:p>
      <w:pPr>
        <w:pStyle w:val="Caption"/>
        <w:keepNext w:val="0"/>
        <w:spacing w:after="160"/>
      </w:pPr>
      <w:r>
        <w:t>Figure 8. ±100° policy: training and validation loss; best epoch 30.</w:t>
      </w:r>
    </w:p>
    <w:p>
      <w:pPr>
        <w:keepNext/>
        <w:spacing w:after="40"/>
        <w:jc w:val="center"/>
      </w:pPr>
      <w:r>
        <w:drawing>
          <wp:inline xmlns:a="http://schemas.openxmlformats.org/drawingml/2006/main" xmlns:pic="http://schemas.openxmlformats.org/drawingml/2006/picture">
            <wp:extent cx="5486400" cy="1965960"/>
            <wp:docPr id="5" name="Picture 5" descr="Figure 5. ±150° policy: training and validation loss; best epoch 30."/>
            <wp:cNvGraphicFramePr>
              <a:graphicFrameLocks noChangeAspect="1"/>
            </wp:cNvGraphicFramePr>
            <a:graphic>
              <a:graphicData uri="http://schemas.openxmlformats.org/drawingml/2006/picture">
                <pic:pic>
                  <pic:nvPicPr>
                    <pic:cNvPr id="0" name="rot150_loss.png"/>
                    <pic:cNvPicPr/>
                  </pic:nvPicPr>
                  <pic:blipFill>
                    <a:blip r:embed="rId14"/>
                    <a:stretch>
                      <a:fillRect/>
                    </a:stretch>
                  </pic:blipFill>
                  <pic:spPr>
                    <a:xfrm>
                      <a:off x="0" y="0"/>
                      <a:ext cx="5486400" cy="1965960"/>
                    </a:xfrm>
                    <a:prstGeom prst="rect"/>
                  </pic:spPr>
                </pic:pic>
              </a:graphicData>
            </a:graphic>
          </wp:inline>
        </w:drawing>
      </w:r>
    </w:p>
    <w:p>
      <w:pPr>
        <w:pStyle w:val="Caption"/>
        <w:keepNext w:val="0"/>
        <w:spacing w:after="160"/>
      </w:pPr>
      <w:r>
        <w:t>Figure 9. ±150° policy: training and validation loss; best epoch 30.</w:t>
      </w:r>
    </w:p>
    <w:p>
      <w:pPr>
        <w:pStyle w:val="Heading2"/>
        <w:keepNext/>
        <w:pageBreakBefore/>
        <w:spacing w:after="120"/>
      </w:pPr>
      <w:r>
        <w:t>Loss curves for the ±45° and ±60° follow-up</w:t>
      </w:r>
    </w:p>
    <w:p>
      <w:pPr>
        <w:spacing w:after="120"/>
      </w:pPr>
      <w:r>
        <w:t>Added 30 October 2026. All 30 full-precision epoch records from each training CSV were checked against stdout. Blue: training; orange: validation; dotted grey: original baseline validation. Both panels retain the common 0–20 loss scale.</w:t>
      </w:r>
    </w:p>
    <w:p>
      <w:pPr>
        <w:keepNext/>
        <w:spacing w:after="40"/>
        <w:jc w:val="center"/>
      </w:pPr>
      <w:r>
        <w:drawing>
          <wp:inline xmlns:a="http://schemas.openxmlformats.org/drawingml/2006/main" xmlns:pic="http://schemas.openxmlformats.org/drawingml/2006/picture">
            <wp:extent cx="5486400" cy="2194560"/>
            <wp:docPr id="11" name="Picture 11" descr="±45° training and validation ArcFace loss over all 30 epochs, with baseline validation and selected-epoch marker."/>
            <wp:cNvGraphicFramePr>
              <a:graphicFrameLocks noChangeAspect="1"/>
            </wp:cNvGraphicFramePr>
            <a:graphic>
              <a:graphicData uri="http://schemas.openxmlformats.org/drawingml/2006/picture">
                <pic:pic>
                  <pic:nvPicPr>
                    <pic:cNvPr id="0" name="rot45_loss.png"/>
                    <pic:cNvPicPr/>
                  </pic:nvPicPr>
                  <pic:blipFill>
                    <a:blip r:embed="rId41"/>
                    <a:stretch>
                      <a:fillRect/>
                    </a:stretch>
                  </pic:blipFill>
                  <pic:spPr>
                    <a:xfrm>
                      <a:off x="0" y="0"/>
                      <a:ext cx="5486400" cy="2194560"/>
                    </a:xfrm>
                    <a:prstGeom prst="rect"/>
                  </pic:spPr>
                </pic:pic>
              </a:graphicData>
            </a:graphic>
          </wp:inline>
        </w:drawing>
      </w:r>
    </w:p>
    <w:p>
      <w:pPr>
        <w:pStyle w:val="Caption"/>
        <w:spacing w:after="120"/>
      </w:pPr>
      <w:r>
        <w:t>Figure 10. ±45° policy: training and validation loss; selected epoch 27.</w:t>
      </w:r>
    </w:p>
    <w:p>
      <w:pPr>
        <w:keepNext/>
        <w:spacing w:after="40"/>
        <w:jc w:val="center"/>
      </w:pPr>
      <w:r>
        <w:drawing>
          <wp:inline xmlns:a="http://schemas.openxmlformats.org/drawingml/2006/main" xmlns:pic="http://schemas.openxmlformats.org/drawingml/2006/picture">
            <wp:extent cx="5486400" cy="2194560"/>
            <wp:docPr id="12" name="Picture 12" descr="±60° training and validation ArcFace loss over all 30 epochs, with baseline validation and selected-epoch marker."/>
            <wp:cNvGraphicFramePr>
              <a:graphicFrameLocks noChangeAspect="1"/>
            </wp:cNvGraphicFramePr>
            <a:graphic>
              <a:graphicData uri="http://schemas.openxmlformats.org/drawingml/2006/picture">
                <pic:pic>
                  <pic:nvPicPr>
                    <pic:cNvPr id="0" name="rot60_loss.png"/>
                    <pic:cNvPicPr/>
                  </pic:nvPicPr>
                  <pic:blipFill>
                    <a:blip r:embed="rId42"/>
                    <a:stretch>
                      <a:fillRect/>
                    </a:stretch>
                  </pic:blipFill>
                  <pic:spPr>
                    <a:xfrm>
                      <a:off x="0" y="0"/>
                      <a:ext cx="5486400" cy="2194560"/>
                    </a:xfrm>
                    <a:prstGeom prst="rect"/>
                  </pic:spPr>
                </pic:pic>
              </a:graphicData>
            </a:graphic>
          </wp:inline>
        </w:drawing>
      </w:r>
    </w:p>
    <w:p>
      <w:pPr>
        <w:pStyle w:val="Caption"/>
        <w:spacing w:after="120"/>
      </w:pPr>
      <w:r>
        <w:t>Figure 11. ±60° policy: training and validation loss; selected epoch 30.</w:t>
      </w:r>
    </w:p>
    <w:p>
      <w:pPr>
        <w:spacing w:after="120"/>
      </w:pPr>
      <w:r>
        <w:t>Dashed markers use the best ordinary validation top-1, not minimum loss: epoch 27 for ±45° and 30 for ±60°. Final train/validation loss is 0.2350 / 5.3246 and 0.2986 / 5.4917, respectively. Loss uses margin-adjusted logits; averaging does not produce a separate training curve.</w:t>
      </w:r>
    </w:p>
    <w:p>
      <w:pPr>
        <w:spacing w:after="120"/>
      </w:pPr>
      <w:r>
        <w:t xml:space="preserve">Sources: </w:t>
      </w:r>
      <w:hyperlink r:id="rId43">
        <w:r>
          <w:t>±45° epoch CSV</w:t>
        </w:r>
      </w:hyperlink>
      <w:r>
        <w:t xml:space="preserve"> · </w:t>
      </w:r>
      <w:hyperlink r:id="rId44">
        <w:r>
          <w:t>±60° epoch CSV</w:t>
        </w:r>
      </w:hyperlink>
      <w:r>
        <w:t xml:space="preserve"> · </w:t>
      </w:r>
      <w:hyperlink r:id="rId45">
        <w:r>
          <w:t>curve data and hashes</w:t>
        </w:r>
      </w:hyperlink>
    </w:p>
    <w:p>
      <w:pPr>
        <w:spacing w:after="120"/>
      </w:pPr>
      <w:r>
        <w:t xml:space="preserve">Full-size exports: </w:t>
      </w:r>
      <w:hyperlink r:id="rId46">
        <w:r>
          <w:t>±45° PDF</w:t>
        </w:r>
      </w:hyperlink>
      <w:r>
        <w:t xml:space="preserve"> · </w:t>
      </w:r>
      <w:hyperlink r:id="rId47">
        <w:r>
          <w:t>±60° PDF</w:t>
        </w:r>
      </w:hyperlink>
      <w:r>
        <w:t xml:space="preserve"> · </w:t>
      </w:r>
      <w:hyperlink r:id="rId48">
        <w:r>
          <w:t>both panels PDF</w:t>
        </w:r>
      </w:hyperlink>
    </w:p>
    <w:p>
      <w:r>
        <w:br w:type="page"/>
      </w:r>
    </w:p>
    <w:p>
      <w:pPr>
        <w:pStyle w:val="Heading1"/>
        <w:keepNext/>
      </w:pPr>
      <w:r>
        <w:t>6. Learning behaviour and interpretation</w:t>
      </w:r>
    </w:p>
    <w:tbl>
      <w:tblPr>
        <w:tblStyle w:val="LightGrid-Accent1"/>
        <w:tblW w:type="auto" w:w="0"/>
        <w:jc w:val="center"/>
        <w:tblLayout w:type="fixed"/>
        <w:tblLook w:firstColumn="1" w:firstRow="1" w:lastColumn="0" w:lastRow="0" w:noHBand="0" w:noVBand="1" w:val="04A0"/>
      </w:tblPr>
      <w:tblGrid>
        <w:gridCol w:w="2016"/>
        <w:gridCol w:w="1152"/>
        <w:gridCol w:w="1944"/>
        <w:gridCol w:w="1944"/>
        <w:gridCol w:w="1584"/>
      </w:tblGrid>
      <w:tr>
        <w:trPr>
          <w:cantSplit/>
          <w:tblHeader/>
        </w:trPr>
        <w:tc>
          <w:tcPr>
            <w:tcW w:type="dxa" w:w="2016"/>
            <w:vAlign w:val="center"/>
          </w:tcPr>
          <w:p>
            <w:pPr>
              <w:spacing w:before="40" w:after="40"/>
            </w:pPr>
            <w:r>
              <w:rPr>
                <w:b/>
                <w:sz w:val="18"/>
              </w:rPr>
              <w:t>Policy</w:t>
            </w:r>
          </w:p>
        </w:tc>
        <w:tc>
          <w:tcPr>
            <w:tcW w:type="dxa" w:w="1152"/>
            <w:vAlign w:val="center"/>
          </w:tcPr>
          <w:p>
            <w:pPr>
              <w:spacing w:before="40" w:after="40"/>
            </w:pPr>
            <w:r>
              <w:rPr>
                <w:b/>
                <w:sz w:val="18"/>
              </w:rPr>
              <w:t>Best epoch</w:t>
            </w:r>
          </w:p>
        </w:tc>
        <w:tc>
          <w:tcPr>
            <w:tcW w:type="dxa" w:w="1944"/>
            <w:vAlign w:val="center"/>
          </w:tcPr>
          <w:p>
            <w:pPr>
              <w:spacing w:before="40" w:after="40"/>
            </w:pPr>
            <w:r>
              <w:rPr>
                <w:b/>
                <w:sz w:val="18"/>
              </w:rPr>
              <w:t>Best validation Top-1</w:t>
            </w:r>
          </w:p>
        </w:tc>
        <w:tc>
          <w:tcPr>
            <w:tcW w:type="dxa" w:w="1944"/>
            <w:vAlign w:val="center"/>
          </w:tcPr>
          <w:p>
            <w:pPr>
              <w:spacing w:before="40" w:after="40"/>
            </w:pPr>
            <w:r>
              <w:rPr>
                <w:b/>
                <w:sz w:val="18"/>
              </w:rPr>
              <w:t>Final training Top-1</w:t>
            </w:r>
          </w:p>
        </w:tc>
        <w:tc>
          <w:tcPr>
            <w:tcW w:type="dxa" w:w="1584"/>
            <w:vAlign w:val="center"/>
          </w:tcPr>
          <w:p>
            <w:pPr>
              <w:spacing w:before="40" w:after="40"/>
            </w:pPr>
            <w:r>
              <w:rPr>
                <w:b/>
                <w:sz w:val="18"/>
              </w:rPr>
              <w:t>Final training loss</w:t>
            </w:r>
          </w:p>
        </w:tc>
      </w:tr>
      <w:tr>
        <w:trPr>
          <w:cantSplit/>
        </w:trPr>
        <w:tc>
          <w:tcPr>
            <w:tcW w:type="dxa" w:w="2016"/>
            <w:vAlign w:val="center"/>
          </w:tcPr>
          <w:p>
            <w:pPr>
              <w:spacing w:before="40" w:after="40"/>
            </w:pPr>
            <w:r>
              <w:rPr>
                <w:b w:val="0"/>
                <w:sz w:val="18"/>
              </w:rPr>
              <w:t>Baseline</w:t>
            </w:r>
          </w:p>
        </w:tc>
        <w:tc>
          <w:tcPr>
            <w:tcW w:type="dxa" w:w="1152"/>
            <w:vAlign w:val="center"/>
          </w:tcPr>
          <w:p>
            <w:pPr>
              <w:spacing w:before="40" w:after="40"/>
            </w:pPr>
            <w:r>
              <w:rPr>
                <w:b w:val="0"/>
                <w:sz w:val="18"/>
              </w:rPr>
              <w:t>28</w:t>
            </w:r>
          </w:p>
        </w:tc>
        <w:tc>
          <w:tcPr>
            <w:tcW w:type="dxa" w:w="1944"/>
            <w:vAlign w:val="center"/>
          </w:tcPr>
          <w:p>
            <w:pPr>
              <w:spacing w:before="40" w:after="40"/>
            </w:pPr>
            <w:r>
              <w:rPr>
                <w:b w:val="0"/>
                <w:sz w:val="18"/>
              </w:rPr>
              <w:t>80.49%</w:t>
            </w:r>
          </w:p>
        </w:tc>
        <w:tc>
          <w:tcPr>
            <w:tcW w:type="dxa" w:w="1944"/>
            <w:vAlign w:val="center"/>
          </w:tcPr>
          <w:p>
            <w:pPr>
              <w:spacing w:before="40" w:after="40"/>
            </w:pPr>
            <w:r>
              <w:rPr>
                <w:b w:val="0"/>
                <w:sz w:val="18"/>
              </w:rPr>
              <w:t>99.79%</w:t>
            </w:r>
          </w:p>
        </w:tc>
        <w:tc>
          <w:tcPr>
            <w:tcW w:type="dxa" w:w="1584"/>
            <w:vAlign w:val="center"/>
          </w:tcPr>
          <w:p>
            <w:pPr>
              <w:spacing w:before="40" w:after="40"/>
            </w:pPr>
            <w:r>
              <w:rPr>
                <w:b w:val="0"/>
                <w:sz w:val="18"/>
              </w:rPr>
              <w:t>0.096</w:t>
            </w:r>
          </w:p>
        </w:tc>
      </w:tr>
      <w:tr>
        <w:trPr>
          <w:cantSplit/>
        </w:trPr>
        <w:tc>
          <w:tcPr>
            <w:tcW w:type="dxa" w:w="2016"/>
            <w:vAlign w:val="center"/>
          </w:tcPr>
          <w:p>
            <w:pPr>
              <w:spacing w:before="40" w:after="40"/>
            </w:pPr>
            <w:r>
              <w:rPr>
                <w:b w:val="0"/>
                <w:sz w:val="18"/>
              </w:rPr>
              <w:t>±30° policy</w:t>
            </w:r>
          </w:p>
        </w:tc>
        <w:tc>
          <w:tcPr>
            <w:tcW w:type="dxa" w:w="1152"/>
            <w:vAlign w:val="center"/>
          </w:tcPr>
          <w:p>
            <w:pPr>
              <w:spacing w:before="40" w:after="40"/>
            </w:pPr>
            <w:r>
              <w:rPr>
                <w:b w:val="0"/>
                <w:sz w:val="18"/>
              </w:rPr>
              <w:t>29</w:t>
            </w:r>
          </w:p>
        </w:tc>
        <w:tc>
          <w:tcPr>
            <w:tcW w:type="dxa" w:w="1944"/>
            <w:vAlign w:val="center"/>
          </w:tcPr>
          <w:p>
            <w:pPr>
              <w:spacing w:before="40" w:after="40"/>
            </w:pPr>
            <w:r>
              <w:rPr>
                <w:b w:val="0"/>
                <w:sz w:val="18"/>
              </w:rPr>
              <w:t>82.49%</w:t>
            </w:r>
          </w:p>
        </w:tc>
        <w:tc>
          <w:tcPr>
            <w:tcW w:type="dxa" w:w="1944"/>
            <w:vAlign w:val="center"/>
          </w:tcPr>
          <w:p>
            <w:pPr>
              <w:spacing w:before="40" w:after="40"/>
            </w:pPr>
            <w:r>
              <w:rPr>
                <w:b w:val="0"/>
                <w:sz w:val="18"/>
              </w:rPr>
              <w:t>99.82%</w:t>
            </w:r>
          </w:p>
        </w:tc>
        <w:tc>
          <w:tcPr>
            <w:tcW w:type="dxa" w:w="1584"/>
            <w:vAlign w:val="center"/>
          </w:tcPr>
          <w:p>
            <w:pPr>
              <w:spacing w:before="40" w:after="40"/>
            </w:pPr>
            <w:r>
              <w:rPr>
                <w:b w:val="0"/>
                <w:sz w:val="18"/>
              </w:rPr>
              <w:t>0.153</w:t>
            </w:r>
          </w:p>
        </w:tc>
      </w:tr>
      <w:tr>
        <w:trPr>
          <w:cantSplit/>
        </w:trPr>
        <w:tc>
          <w:tcPr>
            <w:tcW w:type="dxa" w:w="2016"/>
            <w:vAlign w:val="center"/>
          </w:tcPr>
          <w:p>
            <w:pPr>
              <w:spacing w:before="40" w:after="40"/>
            </w:pPr>
            <w:r>
              <w:rPr>
                <w:b w:val="0"/>
                <w:sz w:val="18"/>
              </w:rPr>
              <w:t>±45° policy</w:t>
            </w:r>
          </w:p>
        </w:tc>
        <w:tc>
          <w:tcPr>
            <w:tcW w:type="dxa" w:w="1152"/>
            <w:vAlign w:val="center"/>
          </w:tcPr>
          <w:p>
            <w:pPr>
              <w:spacing w:before="40" w:after="40"/>
            </w:pPr>
            <w:r>
              <w:rPr>
                <w:b w:val="0"/>
                <w:sz w:val="18"/>
              </w:rPr>
              <w:t>27</w:t>
            </w:r>
          </w:p>
        </w:tc>
        <w:tc>
          <w:tcPr>
            <w:tcW w:type="dxa" w:w="1944"/>
            <w:vAlign w:val="center"/>
          </w:tcPr>
          <w:p>
            <w:pPr>
              <w:spacing w:before="40" w:after="40"/>
            </w:pPr>
            <w:r>
              <w:rPr>
                <w:b w:val="0"/>
                <w:sz w:val="18"/>
              </w:rPr>
              <w:t>82.10%</w:t>
            </w:r>
          </w:p>
        </w:tc>
        <w:tc>
          <w:tcPr>
            <w:tcW w:type="dxa" w:w="1944"/>
            <w:vAlign w:val="center"/>
          </w:tcPr>
          <w:p>
            <w:pPr>
              <w:spacing w:before="40" w:after="40"/>
            </w:pPr>
            <w:r>
              <w:rPr>
                <w:b w:val="0"/>
                <w:sz w:val="18"/>
              </w:rPr>
              <w:t>99.61%</w:t>
            </w:r>
          </w:p>
        </w:tc>
        <w:tc>
          <w:tcPr>
            <w:tcW w:type="dxa" w:w="1584"/>
            <w:vAlign w:val="center"/>
          </w:tcPr>
          <w:p>
            <w:pPr>
              <w:spacing w:before="40" w:after="40"/>
            </w:pPr>
            <w:r>
              <w:rPr>
                <w:b w:val="0"/>
                <w:sz w:val="18"/>
              </w:rPr>
              <w:t>0.235</w:t>
            </w:r>
          </w:p>
        </w:tc>
      </w:tr>
      <w:tr>
        <w:trPr>
          <w:cantSplit/>
        </w:trPr>
        <w:tc>
          <w:tcPr>
            <w:tcW w:type="dxa" w:w="2016"/>
            <w:vAlign w:val="center"/>
          </w:tcPr>
          <w:p>
            <w:pPr>
              <w:spacing w:before="40" w:after="40"/>
            </w:pPr>
            <w:r>
              <w:rPr>
                <w:b w:val="0"/>
                <w:sz w:val="18"/>
              </w:rPr>
              <w:t>±60° policy</w:t>
            </w:r>
          </w:p>
        </w:tc>
        <w:tc>
          <w:tcPr>
            <w:tcW w:type="dxa" w:w="1152"/>
            <w:vAlign w:val="center"/>
          </w:tcPr>
          <w:p>
            <w:pPr>
              <w:spacing w:before="40" w:after="40"/>
            </w:pPr>
            <w:r>
              <w:rPr>
                <w:b w:val="0"/>
                <w:sz w:val="18"/>
              </w:rPr>
              <w:t>30</w:t>
            </w:r>
          </w:p>
        </w:tc>
        <w:tc>
          <w:tcPr>
            <w:tcW w:type="dxa" w:w="1944"/>
            <w:vAlign w:val="center"/>
          </w:tcPr>
          <w:p>
            <w:pPr>
              <w:spacing w:before="40" w:after="40"/>
            </w:pPr>
            <w:r>
              <w:rPr>
                <w:b w:val="0"/>
                <w:sz w:val="18"/>
              </w:rPr>
              <w:t>82.18%</w:t>
            </w:r>
          </w:p>
        </w:tc>
        <w:tc>
          <w:tcPr>
            <w:tcW w:type="dxa" w:w="1944"/>
            <w:vAlign w:val="center"/>
          </w:tcPr>
          <w:p>
            <w:pPr>
              <w:spacing w:before="40" w:after="40"/>
            </w:pPr>
            <w:r>
              <w:rPr>
                <w:b w:val="0"/>
                <w:sz w:val="18"/>
              </w:rPr>
              <w:t>99.70%</w:t>
            </w:r>
          </w:p>
        </w:tc>
        <w:tc>
          <w:tcPr>
            <w:tcW w:type="dxa" w:w="1584"/>
            <w:vAlign w:val="center"/>
          </w:tcPr>
          <w:p>
            <w:pPr>
              <w:spacing w:before="40" w:after="40"/>
            </w:pPr>
            <w:r>
              <w:rPr>
                <w:b w:val="0"/>
                <w:sz w:val="18"/>
              </w:rPr>
              <w:t>0.299</w:t>
            </w:r>
          </w:p>
        </w:tc>
      </w:tr>
      <w:tr>
        <w:trPr>
          <w:cantSplit/>
        </w:trPr>
        <w:tc>
          <w:tcPr>
            <w:tcW w:type="dxa" w:w="2016"/>
            <w:vAlign w:val="center"/>
          </w:tcPr>
          <w:p>
            <w:pPr>
              <w:spacing w:before="40" w:after="40"/>
            </w:pPr>
            <w:r>
              <w:rPr>
                <w:b w:val="0"/>
                <w:sz w:val="18"/>
              </w:rPr>
              <w:t>±100° policy</w:t>
            </w:r>
          </w:p>
        </w:tc>
        <w:tc>
          <w:tcPr>
            <w:tcW w:type="dxa" w:w="1152"/>
            <w:vAlign w:val="center"/>
          </w:tcPr>
          <w:p>
            <w:pPr>
              <w:spacing w:before="40" w:after="40"/>
            </w:pPr>
            <w:r>
              <w:rPr>
                <w:b w:val="0"/>
                <w:sz w:val="18"/>
              </w:rPr>
              <w:t>30</w:t>
            </w:r>
          </w:p>
        </w:tc>
        <w:tc>
          <w:tcPr>
            <w:tcW w:type="dxa" w:w="1944"/>
            <w:vAlign w:val="center"/>
          </w:tcPr>
          <w:p>
            <w:pPr>
              <w:spacing w:before="40" w:after="40"/>
            </w:pPr>
            <w:r>
              <w:rPr>
                <w:b w:val="0"/>
                <w:sz w:val="18"/>
              </w:rPr>
              <w:t>79.49%</w:t>
            </w:r>
          </w:p>
        </w:tc>
        <w:tc>
          <w:tcPr>
            <w:tcW w:type="dxa" w:w="1944"/>
            <w:vAlign w:val="center"/>
          </w:tcPr>
          <w:p>
            <w:pPr>
              <w:spacing w:before="40" w:after="40"/>
            </w:pPr>
            <w:r>
              <w:rPr>
                <w:b w:val="0"/>
                <w:sz w:val="18"/>
              </w:rPr>
              <w:t>96.83%</w:t>
            </w:r>
          </w:p>
        </w:tc>
        <w:tc>
          <w:tcPr>
            <w:tcW w:type="dxa" w:w="1584"/>
            <w:vAlign w:val="center"/>
          </w:tcPr>
          <w:p>
            <w:pPr>
              <w:spacing w:before="40" w:after="40"/>
            </w:pPr>
            <w:r>
              <w:rPr>
                <w:b w:val="0"/>
                <w:sz w:val="18"/>
              </w:rPr>
              <w:t>2.191</w:t>
            </w:r>
          </w:p>
        </w:tc>
      </w:tr>
      <w:tr>
        <w:trPr>
          <w:cantSplit/>
        </w:trPr>
        <w:tc>
          <w:tcPr>
            <w:tcW w:type="dxa" w:w="2016"/>
            <w:vAlign w:val="center"/>
          </w:tcPr>
          <w:p>
            <w:pPr>
              <w:spacing w:before="40" w:after="40"/>
            </w:pPr>
            <w:r>
              <w:rPr>
                <w:b w:val="0"/>
                <w:sz w:val="18"/>
              </w:rPr>
              <w:t>±150° policy</w:t>
            </w:r>
          </w:p>
        </w:tc>
        <w:tc>
          <w:tcPr>
            <w:tcW w:type="dxa" w:w="1152"/>
            <w:vAlign w:val="center"/>
          </w:tcPr>
          <w:p>
            <w:pPr>
              <w:spacing w:before="40" w:after="40"/>
            </w:pPr>
            <w:r>
              <w:rPr>
                <w:b w:val="0"/>
                <w:sz w:val="18"/>
              </w:rPr>
              <w:t>30</w:t>
            </w:r>
          </w:p>
        </w:tc>
        <w:tc>
          <w:tcPr>
            <w:tcW w:type="dxa" w:w="1944"/>
            <w:vAlign w:val="center"/>
          </w:tcPr>
          <w:p>
            <w:pPr>
              <w:spacing w:before="40" w:after="40"/>
            </w:pPr>
            <w:r>
              <w:rPr>
                <w:b w:val="0"/>
                <w:sz w:val="18"/>
              </w:rPr>
              <w:t>56.30%</w:t>
            </w:r>
          </w:p>
        </w:tc>
        <w:tc>
          <w:tcPr>
            <w:tcW w:type="dxa" w:w="1944"/>
            <w:vAlign w:val="center"/>
          </w:tcPr>
          <w:p>
            <w:pPr>
              <w:spacing w:before="40" w:after="40"/>
            </w:pPr>
            <w:r>
              <w:rPr>
                <w:b w:val="0"/>
                <w:sz w:val="18"/>
              </w:rPr>
              <w:t>59.29%</w:t>
            </w:r>
          </w:p>
        </w:tc>
        <w:tc>
          <w:tcPr>
            <w:tcW w:type="dxa" w:w="1584"/>
            <w:vAlign w:val="center"/>
          </w:tcPr>
          <w:p>
            <w:pPr>
              <w:spacing w:before="40" w:after="40"/>
            </w:pPr>
            <w:r>
              <w:rPr>
                <w:b w:val="0"/>
                <w:sz w:val="18"/>
              </w:rPr>
              <w:t>9.456</w:t>
            </w:r>
          </w:p>
        </w:tc>
      </w:tr>
    </w:tbl>
    <w:p>
      <w:pPr>
        <w:spacing w:after="0" w:before="0"/>
      </w:pPr>
    </w:p>
    <w:p>
      <w:pPr>
        <w:keepNext/>
        <w:spacing w:after="40"/>
        <w:jc w:val="center"/>
      </w:pPr>
      <w:r>
        <w:drawing>
          <wp:inline xmlns:a="http://schemas.openxmlformats.org/drawingml/2006/main" xmlns:pic="http://schemas.openxmlformats.org/drawingml/2006/picture">
            <wp:extent cx="5486400" cy="2468880"/>
            <wp:docPr id="6" name="Picture 6" descr="Figure 6. Margin-free single-image validation accuracy; TTA is scored after training."/>
            <wp:cNvGraphicFramePr>
              <a:graphicFrameLocks noChangeAspect="1"/>
            </wp:cNvGraphicFramePr>
            <a:graphic>
              <a:graphicData uri="http://schemas.openxmlformats.org/drawingml/2006/picture">
                <pic:pic>
                  <pic:nvPicPr>
                    <pic:cNvPr id="0" name="validation_accuracy.png"/>
                    <pic:cNvPicPr/>
                  </pic:nvPicPr>
                  <pic:blipFill>
                    <a:blip r:embed="rId15"/>
                    <a:stretch>
                      <a:fillRect/>
                    </a:stretch>
                  </pic:blipFill>
                  <pic:spPr>
                    <a:xfrm>
                      <a:off x="0" y="0"/>
                      <a:ext cx="5486400" cy="2468880"/>
                    </a:xfrm>
                    <a:prstGeom prst="rect"/>
                  </pic:spPr>
                </pic:pic>
              </a:graphicData>
            </a:graphic>
          </wp:inline>
        </w:drawing>
      </w:r>
    </w:p>
    <w:p>
      <w:pPr>
        <w:pStyle w:val="Caption"/>
        <w:keepNext w:val="0"/>
        <w:spacing w:after="160"/>
      </w:pPr>
      <w:r>
        <w:t>Figure 12. Margin-free single-image validation accuracy; TTA is scored after training.</w:t>
      </w:r>
    </w:p>
    <w:p>
      <w:pPr>
        <w:pStyle w:val="ListBullet"/>
        <w:spacing w:after="80"/>
      </w:pPr>
      <w:r>
        <w:t>Moderate augmentation and averaging helped. ±30° has the highest single-image validation score (82.49%); ±30° and ±45° tie at 83.51% on the test set. Averaging gives ±45° the highest measured test top-1, 85.11%, versus 84.51% for ±30° mean.</w:t>
      </w:r>
    </w:p>
    <w:p>
      <w:pPr>
        <w:pStyle w:val="ListBullet"/>
        <w:spacing w:after="80"/>
      </w:pPr>
      <w:r>
        <w:rPr>
          <w:b/>
        </w:rPr>
        <w:t xml:space="preserve">The strongest policy struggled. </w:t>
      </w:r>
      <w:r>
        <w:t>The ±150° model finished at 59.29% accuracy on its augmented training batches and 56.30% validation accuracy. It was struggling with that training task at the chosen budget, rather than simply fitting it perfectly and failing to generalize.</w:t>
      </w:r>
    </w:p>
    <w:p>
      <w:pPr>
        <w:pStyle w:val="ListBullet"/>
        <w:spacing w:after="80"/>
      </w:pPr>
      <w:r>
        <w:t>Mechanism remains an interpretation. The original policies vary several augmentation settings. The ±30°/±45°/±60° follow-up holds those settings fixed apart from rotation, but one fit per angle cannot establish a robust optimal range. Large transformations may remove identity cues; that mechanism was not separately measured.</w:t>
      </w:r>
    </w:p>
    <w:p>
      <w:r>
        <w:br w:type="page"/>
      </w:r>
    </w:p>
    <w:p>
      <w:pPr>
        <w:pStyle w:val="Heading1"/>
        <w:keepNext/>
      </w:pPr>
      <w:r>
        <w:t>7. Per-class results and reproducibility</w:t>
      </w:r>
    </w:p>
    <w:p>
      <w:pPr>
        <w:widowControl/>
        <w:spacing w:after="120"/>
      </w:pPr>
      <w:r>
        <w:t>For the selected ±45° + mean follow-up, test macro precision is 85.15% and macro recall is 84.09%. Overall improvement does not imply that every individual improved. The five lowest-recall identities are shown below.</w:t>
      </w:r>
    </w:p>
    <w:tbl>
      <w:tblPr>
        <w:tblStyle w:val="LightGrid-Accent1"/>
        <w:tblW w:type="auto" w:w="0"/>
        <w:jc w:val="center"/>
        <w:tblLayout w:type="fixed"/>
        <w:tblLook w:firstColumn="1" w:firstRow="1" w:lastColumn="0" w:lastRow="0" w:noHBand="0" w:noVBand="1" w:val="04A0"/>
      </w:tblPr>
      <w:tblGrid>
        <w:gridCol w:w="2592"/>
        <w:gridCol w:w="1440"/>
        <w:gridCol w:w="2592"/>
        <w:gridCol w:w="2016"/>
      </w:tblGrid>
      <w:tr>
        <w:trPr>
          <w:cantSplit/>
          <w:tblHeader/>
        </w:trPr>
        <w:tc>
          <w:tcPr>
            <w:tcW w:type="dxa" w:w="2592"/>
            <w:vAlign w:val="center"/>
          </w:tcPr>
          <w:p>
            <w:pPr>
              <w:spacing w:before="40" w:after="40"/>
            </w:pPr>
            <w:r>
              <w:rPr>
                <w:b/>
                <w:sz w:val="18"/>
              </w:rPr>
              <w:t>Identity</w:t>
            </w:r>
          </w:p>
        </w:tc>
        <w:tc>
          <w:tcPr>
            <w:tcW w:type="dxa" w:w="1440"/>
            <w:vAlign w:val="center"/>
          </w:tcPr>
          <w:p>
            <w:pPr>
              <w:spacing w:before="40" w:after="40"/>
            </w:pPr>
            <w:r>
              <w:rPr>
                <w:b/>
                <w:sz w:val="18"/>
              </w:rPr>
              <w:t>Test images</w:t>
            </w:r>
          </w:p>
        </w:tc>
        <w:tc>
          <w:tcPr>
            <w:tcW w:type="dxa" w:w="2592"/>
            <w:vAlign w:val="center"/>
          </w:tcPr>
          <w:p>
            <w:pPr>
              <w:spacing w:before="40" w:after="40"/>
            </w:pPr>
            <w:r>
              <w:rPr>
                <w:b/>
                <w:sz w:val="18"/>
              </w:rPr>
              <w:t>Recall / accuracy</w:t>
            </w:r>
          </w:p>
        </w:tc>
        <w:tc>
          <w:tcPr>
            <w:tcW w:type="dxa" w:w="2016"/>
            <w:vAlign w:val="center"/>
          </w:tcPr>
          <w:p>
            <w:pPr>
              <w:spacing w:before="40" w:after="40"/>
            </w:pPr>
            <w:r>
              <w:rPr>
                <w:b/>
                <w:sz w:val="18"/>
              </w:rPr>
              <w:t>F1</w:t>
            </w:r>
          </w:p>
        </w:tc>
      </w:tr>
      <w:tr>
        <w:trPr>
          <w:cantSplit/>
        </w:trPr>
        <w:tc>
          <w:tcPr>
            <w:tcW w:type="dxa" w:w="2592"/>
            <w:vAlign w:val="center"/>
          </w:tcPr>
          <w:p>
            <w:pPr>
              <w:spacing w:before="40" w:after="40"/>
            </w:pPr>
            <w:r>
              <w:rPr>
                <w:b w:val="0"/>
                <w:sz w:val="18"/>
              </w:rPr>
              <w:t>Caro</w:t>
            </w:r>
          </w:p>
        </w:tc>
        <w:tc>
          <w:tcPr>
            <w:tcW w:type="dxa" w:w="1440"/>
            <w:vAlign w:val="center"/>
          </w:tcPr>
          <w:p>
            <w:pPr>
              <w:spacing w:before="40" w:after="40"/>
            </w:pPr>
            <w:r>
              <w:rPr>
                <w:b w:val="0"/>
                <w:sz w:val="18"/>
              </w:rPr>
              <w:t>3</w:t>
            </w:r>
          </w:p>
        </w:tc>
        <w:tc>
          <w:tcPr>
            <w:tcW w:type="dxa" w:w="2592"/>
            <w:vAlign w:val="center"/>
          </w:tcPr>
          <w:p>
            <w:pPr>
              <w:spacing w:before="40" w:after="40"/>
            </w:pPr>
            <w:r>
              <w:rPr>
                <w:b w:val="0"/>
                <w:sz w:val="18"/>
              </w:rPr>
              <w:t>0.00%</w:t>
            </w:r>
          </w:p>
        </w:tc>
        <w:tc>
          <w:tcPr>
            <w:tcW w:type="dxa" w:w="2016"/>
            <w:vAlign w:val="center"/>
          </w:tcPr>
          <w:p>
            <w:pPr>
              <w:spacing w:before="40" w:after="40"/>
            </w:pPr>
            <w:r>
              <w:rPr>
                <w:b w:val="0"/>
                <w:sz w:val="18"/>
              </w:rPr>
              <w:t>0.00%</w:t>
            </w:r>
          </w:p>
        </w:tc>
      </w:tr>
      <w:tr>
        <w:trPr>
          <w:cantSplit/>
        </w:trPr>
        <w:tc>
          <w:tcPr>
            <w:tcW w:type="dxa" w:w="2592"/>
            <w:vAlign w:val="center"/>
          </w:tcPr>
          <w:p>
            <w:pPr>
              <w:spacing w:before="40" w:after="40"/>
            </w:pPr>
            <w:r>
              <w:rPr>
                <w:b w:val="0"/>
                <w:sz w:val="18"/>
              </w:rPr>
              <w:t>Thief</w:t>
            </w:r>
          </w:p>
        </w:tc>
        <w:tc>
          <w:tcPr>
            <w:tcW w:type="dxa" w:w="1440"/>
            <w:vAlign w:val="center"/>
          </w:tcPr>
          <w:p>
            <w:pPr>
              <w:spacing w:before="40" w:after="40"/>
            </w:pPr>
            <w:r>
              <w:rPr>
                <w:b w:val="0"/>
                <w:sz w:val="18"/>
              </w:rPr>
              <w:t>3</w:t>
            </w:r>
          </w:p>
        </w:tc>
        <w:tc>
          <w:tcPr>
            <w:tcW w:type="dxa" w:w="2592"/>
            <w:vAlign w:val="center"/>
          </w:tcPr>
          <w:p>
            <w:pPr>
              <w:spacing w:before="40" w:after="40"/>
            </w:pPr>
            <w:r>
              <w:rPr>
                <w:b w:val="0"/>
                <w:sz w:val="18"/>
              </w:rPr>
              <w:t>33.33%</w:t>
            </w:r>
          </w:p>
        </w:tc>
        <w:tc>
          <w:tcPr>
            <w:tcW w:type="dxa" w:w="2016"/>
            <w:vAlign w:val="center"/>
          </w:tcPr>
          <w:p>
            <w:pPr>
              <w:spacing w:before="40" w:after="40"/>
            </w:pPr>
            <w:r>
              <w:rPr>
                <w:b w:val="0"/>
                <w:sz w:val="18"/>
              </w:rPr>
              <w:t>50.00%</w:t>
            </w:r>
          </w:p>
        </w:tc>
      </w:tr>
      <w:tr>
        <w:trPr>
          <w:cantSplit/>
        </w:trPr>
        <w:tc>
          <w:tcPr>
            <w:tcW w:type="dxa" w:w="2592"/>
            <w:vAlign w:val="center"/>
          </w:tcPr>
          <w:p>
            <w:pPr>
              <w:spacing w:before="40" w:after="40"/>
            </w:pPr>
            <w:r>
              <w:rPr>
                <w:b w:val="0"/>
                <w:sz w:val="18"/>
              </w:rPr>
              <w:t>Harry</w:t>
            </w:r>
          </w:p>
        </w:tc>
        <w:tc>
          <w:tcPr>
            <w:tcW w:type="dxa" w:w="1440"/>
            <w:vAlign w:val="center"/>
          </w:tcPr>
          <w:p>
            <w:pPr>
              <w:spacing w:before="40" w:after="40"/>
            </w:pPr>
            <w:r>
              <w:rPr>
                <w:b w:val="0"/>
                <w:sz w:val="18"/>
              </w:rPr>
              <w:t>7</w:t>
            </w:r>
          </w:p>
        </w:tc>
        <w:tc>
          <w:tcPr>
            <w:tcW w:type="dxa" w:w="2592"/>
            <w:vAlign w:val="center"/>
          </w:tcPr>
          <w:p>
            <w:pPr>
              <w:spacing w:before="40" w:after="40"/>
            </w:pPr>
            <w:r>
              <w:rPr>
                <w:b w:val="0"/>
                <w:sz w:val="18"/>
              </w:rPr>
              <w:t>42.86%</w:t>
            </w:r>
          </w:p>
        </w:tc>
        <w:tc>
          <w:tcPr>
            <w:tcW w:type="dxa" w:w="2016"/>
            <w:vAlign w:val="center"/>
          </w:tcPr>
          <w:p>
            <w:pPr>
              <w:spacing w:before="40" w:after="40"/>
            </w:pPr>
            <w:r>
              <w:rPr>
                <w:b w:val="0"/>
                <w:sz w:val="18"/>
              </w:rPr>
              <w:t>54.55%</w:t>
            </w:r>
          </w:p>
        </w:tc>
      </w:tr>
      <w:tr>
        <w:trPr>
          <w:cantSplit/>
        </w:trPr>
        <w:tc>
          <w:tcPr>
            <w:tcW w:type="dxa" w:w="2592"/>
            <w:vAlign w:val="center"/>
          </w:tcPr>
          <w:p>
            <w:pPr>
              <w:spacing w:before="40" w:after="40"/>
            </w:pPr>
            <w:r>
              <w:rPr>
                <w:b w:val="0"/>
                <w:sz w:val="18"/>
              </w:rPr>
              <w:t>Racoon</w:t>
            </w:r>
          </w:p>
        </w:tc>
        <w:tc>
          <w:tcPr>
            <w:tcW w:type="dxa" w:w="1440"/>
            <w:vAlign w:val="center"/>
          </w:tcPr>
          <w:p>
            <w:pPr>
              <w:spacing w:before="40" w:after="40"/>
            </w:pPr>
            <w:r>
              <w:rPr>
                <w:b w:val="0"/>
                <w:sz w:val="18"/>
              </w:rPr>
              <w:t>4</w:t>
            </w:r>
          </w:p>
        </w:tc>
        <w:tc>
          <w:tcPr>
            <w:tcW w:type="dxa" w:w="2592"/>
            <w:vAlign w:val="center"/>
          </w:tcPr>
          <w:p>
            <w:pPr>
              <w:spacing w:before="40" w:after="40"/>
            </w:pPr>
            <w:r>
              <w:rPr>
                <w:b w:val="0"/>
                <w:sz w:val="18"/>
              </w:rPr>
              <w:t>50.00%</w:t>
            </w:r>
          </w:p>
        </w:tc>
        <w:tc>
          <w:tcPr>
            <w:tcW w:type="dxa" w:w="2016"/>
            <w:vAlign w:val="center"/>
          </w:tcPr>
          <w:p>
            <w:pPr>
              <w:spacing w:before="40" w:after="40"/>
            </w:pPr>
            <w:r>
              <w:rPr>
                <w:b w:val="0"/>
                <w:sz w:val="18"/>
              </w:rPr>
              <w:t>66.67%</w:t>
            </w:r>
          </w:p>
        </w:tc>
      </w:tr>
      <w:tr>
        <w:trPr>
          <w:cantSplit/>
        </w:trPr>
        <w:tc>
          <w:tcPr>
            <w:tcW w:type="dxa" w:w="2592"/>
            <w:vAlign w:val="center"/>
          </w:tcPr>
          <w:p>
            <w:pPr>
              <w:spacing w:before="40" w:after="40"/>
            </w:pPr>
            <w:r>
              <w:rPr>
                <w:b w:val="0"/>
                <w:sz w:val="18"/>
              </w:rPr>
              <w:t>Nathalie</w:t>
            </w:r>
          </w:p>
        </w:tc>
        <w:tc>
          <w:tcPr>
            <w:tcW w:type="dxa" w:w="1440"/>
            <w:vAlign w:val="center"/>
          </w:tcPr>
          <w:p>
            <w:pPr>
              <w:spacing w:before="40" w:after="40"/>
            </w:pPr>
            <w:r>
              <w:rPr>
                <w:b w:val="0"/>
                <w:sz w:val="18"/>
              </w:rPr>
              <w:t>9</w:t>
            </w:r>
          </w:p>
        </w:tc>
        <w:tc>
          <w:tcPr>
            <w:tcW w:type="dxa" w:w="2592"/>
            <w:vAlign w:val="center"/>
          </w:tcPr>
          <w:p>
            <w:pPr>
              <w:spacing w:before="40" w:after="40"/>
            </w:pPr>
            <w:r>
              <w:rPr>
                <w:b w:val="0"/>
                <w:sz w:val="18"/>
              </w:rPr>
              <w:t>55.56%</w:t>
            </w:r>
          </w:p>
        </w:tc>
        <w:tc>
          <w:tcPr>
            <w:tcW w:type="dxa" w:w="2016"/>
            <w:vAlign w:val="center"/>
          </w:tcPr>
          <w:p>
            <w:pPr>
              <w:spacing w:before="40" w:after="40"/>
            </w:pPr>
            <w:r>
              <w:rPr>
                <w:b w:val="0"/>
                <w:sz w:val="18"/>
              </w:rPr>
              <w:t>62.50%</w:t>
            </w:r>
          </w:p>
        </w:tc>
      </w:tr>
    </w:tbl>
    <w:p>
      <w:pPr>
        <w:spacing w:after="0" w:before="0"/>
      </w:pPr>
    </w:p>
    <w:p>
      <w:pPr>
        <w:widowControl/>
        <w:spacing w:after="120"/>
      </w:pPr>
      <w:r>
        <w:t>The selected follow-up fixes 72 baseline errors and introduces 33 errors where the baseline was correct: a net gain of 39 images. It correctly identifies 1,275/1,498 test images. Caro remains at zero recall. Low-support class scores are coarse: one image changes recall by 25 points for a class with four images.</w:t>
      </w:r>
    </w:p>
    <w:tbl>
      <w:tblPr>
        <w:tblStyle w:val="LightGrid-Accent1"/>
        <w:tblW w:type="auto" w:w="0"/>
        <w:jc w:val="center"/>
        <w:tblLayout w:type="fixed"/>
        <w:tblLook w:firstColumn="1" w:firstRow="1" w:lastColumn="0" w:lastRow="0" w:noHBand="0" w:noVBand="1" w:val="04A0"/>
      </w:tblPr>
      <w:tblGrid>
        <w:gridCol w:w="1728"/>
        <w:gridCol w:w="2592"/>
        <w:gridCol w:w="2160"/>
        <w:gridCol w:w="2160"/>
      </w:tblGrid>
      <w:tr>
        <w:trPr>
          <w:cantSplit/>
          <w:tblHeader/>
        </w:trPr>
        <w:tc>
          <w:tcPr>
            <w:tcW w:type="dxa" w:w="1728"/>
            <w:vAlign w:val="center"/>
          </w:tcPr>
          <w:p>
            <w:pPr>
              <w:spacing w:before="40" w:after="40"/>
            </w:pPr>
            <w:r>
              <w:rPr>
                <w:b/>
                <w:sz w:val="18"/>
              </w:rPr>
              <w:t>Job</w:t>
            </w:r>
          </w:p>
        </w:tc>
        <w:tc>
          <w:tcPr>
            <w:tcW w:type="dxa" w:w="2592"/>
            <w:vAlign w:val="center"/>
          </w:tcPr>
          <w:p>
            <w:pPr>
              <w:spacing w:before="40" w:after="40"/>
            </w:pPr>
            <w:r>
              <w:rPr>
                <w:b/>
                <w:sz w:val="18"/>
              </w:rPr>
              <w:t>Task</w:t>
            </w:r>
          </w:p>
        </w:tc>
        <w:tc>
          <w:tcPr>
            <w:tcW w:type="dxa" w:w="2160"/>
            <w:vAlign w:val="center"/>
          </w:tcPr>
          <w:p>
            <w:pPr>
              <w:spacing w:before="40" w:after="40"/>
            </w:pPr>
            <w:r>
              <w:rPr>
                <w:b/>
                <w:sz w:val="18"/>
              </w:rPr>
              <w:t>Date completed</w:t>
            </w:r>
          </w:p>
        </w:tc>
        <w:tc>
          <w:tcPr>
            <w:tcW w:type="dxa" w:w="2160"/>
            <w:vAlign w:val="center"/>
          </w:tcPr>
          <w:p>
            <w:pPr>
              <w:spacing w:before="40" w:after="40"/>
            </w:pPr>
            <w:r>
              <w:rPr>
                <w:b/>
                <w:sz w:val="18"/>
              </w:rPr>
              <w:t>Wall time</w:t>
            </w:r>
          </w:p>
        </w:tc>
      </w:tr>
      <w:tr>
        <w:trPr>
          <w:cantSplit/>
        </w:trPr>
        <w:tc>
          <w:tcPr>
            <w:tcW w:type="dxa" w:w="1728"/>
            <w:vAlign w:val="center"/>
          </w:tcPr>
          <w:p>
            <w:pPr>
              <w:spacing w:before="40" w:after="40"/>
            </w:pPr>
            <w:r>
              <w:rPr>
                <w:b w:val="0"/>
                <w:sz w:val="18"/>
              </w:rPr>
              <w:t>38494871</w:t>
            </w:r>
          </w:p>
        </w:tc>
        <w:tc>
          <w:tcPr>
            <w:tcW w:type="dxa" w:w="2592"/>
            <w:vAlign w:val="center"/>
          </w:tcPr>
          <w:p>
            <w:pPr>
              <w:spacing w:before="40" w:after="40"/>
            </w:pPr>
            <w:r>
              <w:rPr>
                <w:b w:val="0"/>
                <w:sz w:val="18"/>
              </w:rPr>
              <w:t>Baseline</w:t>
            </w:r>
          </w:p>
        </w:tc>
        <w:tc>
          <w:tcPr>
            <w:tcW w:type="dxa" w:w="2160"/>
            <w:vAlign w:val="center"/>
          </w:tcPr>
          <w:p>
            <w:pPr>
              <w:spacing w:before="40" w:after="40"/>
            </w:pPr>
            <w:r>
              <w:rPr>
                <w:b w:val="0"/>
                <w:sz w:val="18"/>
              </w:rPr>
              <w:t>23 Oct 2026</w:t>
            </w:r>
          </w:p>
        </w:tc>
        <w:tc>
          <w:tcPr>
            <w:tcW w:type="dxa" w:w="2160"/>
            <w:vAlign w:val="center"/>
          </w:tcPr>
          <w:p>
            <w:pPr>
              <w:spacing w:before="40" w:after="40"/>
            </w:pPr>
            <w:r>
              <w:rPr>
                <w:b w:val="0"/>
                <w:sz w:val="18"/>
              </w:rPr>
              <w:t>24m 36s</w:t>
            </w:r>
          </w:p>
        </w:tc>
      </w:tr>
      <w:tr>
        <w:trPr>
          <w:cantSplit/>
        </w:trPr>
        <w:tc>
          <w:tcPr>
            <w:tcW w:type="dxa" w:w="1728"/>
            <w:vAlign w:val="center"/>
          </w:tcPr>
          <w:p>
            <w:pPr>
              <w:spacing w:before="40" w:after="40"/>
            </w:pPr>
            <w:r>
              <w:rPr>
                <w:b w:val="0"/>
                <w:sz w:val="18"/>
              </w:rPr>
              <w:t>39152252_0</w:t>
            </w:r>
          </w:p>
        </w:tc>
        <w:tc>
          <w:tcPr>
            <w:tcW w:type="dxa" w:w="2592"/>
            <w:vAlign w:val="center"/>
          </w:tcPr>
          <w:p>
            <w:pPr>
              <w:spacing w:before="40" w:after="40"/>
            </w:pPr>
            <w:r>
              <w:rPr>
                <w:b w:val="0"/>
                <w:sz w:val="18"/>
              </w:rPr>
              <w:t>±30° training</w:t>
            </w:r>
          </w:p>
        </w:tc>
        <w:tc>
          <w:tcPr>
            <w:tcW w:type="dxa" w:w="2160"/>
            <w:vAlign w:val="center"/>
          </w:tcPr>
          <w:p>
            <w:pPr>
              <w:spacing w:before="40" w:after="40"/>
            </w:pPr>
            <w:r>
              <w:rPr>
                <w:b w:val="0"/>
                <w:sz w:val="18"/>
              </w:rPr>
              <w:t>26 Oct 2026</w:t>
            </w:r>
          </w:p>
        </w:tc>
        <w:tc>
          <w:tcPr>
            <w:tcW w:type="dxa" w:w="2160"/>
            <w:vAlign w:val="center"/>
          </w:tcPr>
          <w:p>
            <w:pPr>
              <w:spacing w:before="40" w:after="40"/>
            </w:pPr>
            <w:r>
              <w:rPr>
                <w:b w:val="0"/>
                <w:sz w:val="18"/>
              </w:rPr>
              <w:t>26m 12s</w:t>
            </w:r>
          </w:p>
        </w:tc>
      </w:tr>
      <w:tr>
        <w:trPr>
          <w:cantSplit/>
        </w:trPr>
        <w:tc>
          <w:tcPr>
            <w:tcW w:type="dxa" w:w="1728"/>
            <w:vAlign w:val="center"/>
          </w:tcPr>
          <w:p>
            <w:pPr>
              <w:spacing w:before="40" w:after="40"/>
            </w:pPr>
            <w:r>
              <w:rPr>
                <w:b w:val="0"/>
                <w:sz w:val="18"/>
              </w:rPr>
              <w:t>39152252_1</w:t>
            </w:r>
          </w:p>
        </w:tc>
        <w:tc>
          <w:tcPr>
            <w:tcW w:type="dxa" w:w="2592"/>
            <w:vAlign w:val="center"/>
          </w:tcPr>
          <w:p>
            <w:pPr>
              <w:spacing w:before="40" w:after="40"/>
            </w:pPr>
            <w:r>
              <w:rPr>
                <w:b w:val="0"/>
                <w:sz w:val="18"/>
              </w:rPr>
              <w:t>±100° training</w:t>
            </w:r>
          </w:p>
        </w:tc>
        <w:tc>
          <w:tcPr>
            <w:tcW w:type="dxa" w:w="2160"/>
            <w:vAlign w:val="center"/>
          </w:tcPr>
          <w:p>
            <w:pPr>
              <w:spacing w:before="40" w:after="40"/>
            </w:pPr>
            <w:r>
              <w:rPr>
                <w:b w:val="0"/>
                <w:sz w:val="18"/>
              </w:rPr>
              <w:t>26 Oct 2026</w:t>
            </w:r>
          </w:p>
        </w:tc>
        <w:tc>
          <w:tcPr>
            <w:tcW w:type="dxa" w:w="2160"/>
            <w:vAlign w:val="center"/>
          </w:tcPr>
          <w:p>
            <w:pPr>
              <w:spacing w:before="40" w:after="40"/>
            </w:pPr>
            <w:r>
              <w:rPr>
                <w:b w:val="0"/>
                <w:sz w:val="18"/>
              </w:rPr>
              <w:t>12m 15s</w:t>
            </w:r>
          </w:p>
        </w:tc>
      </w:tr>
      <w:tr>
        <w:trPr>
          <w:cantSplit/>
        </w:trPr>
        <w:tc>
          <w:tcPr>
            <w:tcW w:type="dxa" w:w="1728"/>
            <w:vAlign w:val="center"/>
          </w:tcPr>
          <w:p>
            <w:pPr>
              <w:spacing w:before="40" w:after="40"/>
            </w:pPr>
            <w:r>
              <w:rPr>
                <w:b w:val="0"/>
                <w:sz w:val="18"/>
              </w:rPr>
              <w:t>39152252_2</w:t>
            </w:r>
          </w:p>
        </w:tc>
        <w:tc>
          <w:tcPr>
            <w:tcW w:type="dxa" w:w="2592"/>
            <w:vAlign w:val="center"/>
          </w:tcPr>
          <w:p>
            <w:pPr>
              <w:spacing w:before="40" w:after="40"/>
            </w:pPr>
            <w:r>
              <w:rPr>
                <w:b w:val="0"/>
                <w:sz w:val="18"/>
              </w:rPr>
              <w:t>±150° training</w:t>
            </w:r>
          </w:p>
        </w:tc>
        <w:tc>
          <w:tcPr>
            <w:tcW w:type="dxa" w:w="2160"/>
            <w:vAlign w:val="center"/>
          </w:tcPr>
          <w:p>
            <w:pPr>
              <w:spacing w:before="40" w:after="40"/>
            </w:pPr>
            <w:r>
              <w:rPr>
                <w:b w:val="0"/>
                <w:sz w:val="18"/>
              </w:rPr>
              <w:t>26 Oct 2026</w:t>
            </w:r>
          </w:p>
        </w:tc>
        <w:tc>
          <w:tcPr>
            <w:tcW w:type="dxa" w:w="2160"/>
            <w:vAlign w:val="center"/>
          </w:tcPr>
          <w:p>
            <w:pPr>
              <w:spacing w:before="40" w:after="40"/>
            </w:pPr>
            <w:r>
              <w:rPr>
                <w:b w:val="0"/>
                <w:sz w:val="18"/>
              </w:rPr>
              <w:t>27m 54s</w:t>
            </w:r>
          </w:p>
        </w:tc>
      </w:tr>
      <w:tr>
        <w:trPr>
          <w:cantSplit/>
        </w:trPr>
        <w:tc>
          <w:tcPr>
            <w:tcW w:type="dxa" w:w="1728"/>
            <w:vAlign w:val="center"/>
          </w:tcPr>
          <w:p>
            <w:pPr>
              <w:spacing w:before="40" w:after="40"/>
            </w:pPr>
            <w:r>
              <w:rPr>
                <w:b w:val="0"/>
                <w:sz w:val="18"/>
              </w:rPr>
              <w:t>39152253</w:t>
            </w:r>
          </w:p>
        </w:tc>
        <w:tc>
          <w:tcPr>
            <w:tcW w:type="dxa" w:w="2592"/>
            <w:vAlign w:val="center"/>
          </w:tcPr>
          <w:p>
            <w:pPr>
              <w:spacing w:before="40" w:after="40"/>
            </w:pPr>
            <w:r>
              <w:rPr>
                <w:b w:val="0"/>
                <w:sz w:val="18"/>
              </w:rPr>
              <w:t>TTA comparison</w:t>
            </w:r>
          </w:p>
        </w:tc>
        <w:tc>
          <w:tcPr>
            <w:tcW w:type="dxa" w:w="2160"/>
            <w:vAlign w:val="center"/>
          </w:tcPr>
          <w:p>
            <w:pPr>
              <w:spacing w:before="40" w:after="40"/>
            </w:pPr>
            <w:r>
              <w:rPr>
                <w:b w:val="0"/>
                <w:sz w:val="18"/>
              </w:rPr>
              <w:t>28 Oct 2026</w:t>
            </w:r>
          </w:p>
        </w:tc>
        <w:tc>
          <w:tcPr>
            <w:tcW w:type="dxa" w:w="2160"/>
            <w:vAlign w:val="center"/>
          </w:tcPr>
          <w:p>
            <w:pPr>
              <w:spacing w:before="40" w:after="40"/>
            </w:pPr>
            <w:r>
              <w:rPr>
                <w:b w:val="0"/>
                <w:sz w:val="18"/>
              </w:rPr>
              <w:t>17m 55s</w:t>
            </w:r>
          </w:p>
        </w:tc>
      </w:tr>
      <w:tr>
        <w:trPr>
          <w:cantSplit/>
        </w:trPr>
        <w:tc>
          <w:tcPr>
            <w:tcW w:type="dxa" w:w="1728"/>
            <w:vAlign w:val="center"/>
          </w:tcPr>
          <w:p>
            <w:pPr>
              <w:spacing w:before="40" w:after="40"/>
            </w:pPr>
            <w:r>
              <w:rPr>
                <w:b w:val="0"/>
                <w:sz w:val="18"/>
              </w:rPr>
              <w:t>39484293_0</w:t>
            </w:r>
          </w:p>
        </w:tc>
        <w:tc>
          <w:tcPr>
            <w:tcW w:type="dxa" w:w="2592"/>
            <w:vAlign w:val="center"/>
          </w:tcPr>
          <w:p>
            <w:pPr>
              <w:spacing w:before="40" w:after="40"/>
            </w:pPr>
            <w:r>
              <w:rPr>
                <w:b w:val="0"/>
                <w:sz w:val="18"/>
              </w:rPr>
              <w:t>±45° training</w:t>
            </w:r>
          </w:p>
        </w:tc>
        <w:tc>
          <w:tcPr>
            <w:tcW w:type="dxa" w:w="2160"/>
            <w:vAlign w:val="center"/>
          </w:tcPr>
          <w:p>
            <w:pPr>
              <w:spacing w:before="40" w:after="40"/>
            </w:pPr>
            <w:r>
              <w:rPr>
                <w:b w:val="0"/>
                <w:sz w:val="18"/>
              </w:rPr>
              <w:t>28 Oct 2026</w:t>
            </w:r>
          </w:p>
        </w:tc>
        <w:tc>
          <w:tcPr>
            <w:tcW w:type="dxa" w:w="2160"/>
            <w:vAlign w:val="center"/>
          </w:tcPr>
          <w:p>
            <w:pPr>
              <w:spacing w:before="40" w:after="40"/>
            </w:pPr>
            <w:r>
              <w:rPr>
                <w:b w:val="0"/>
                <w:sz w:val="18"/>
              </w:rPr>
              <w:t>26m 24s</w:t>
            </w:r>
          </w:p>
        </w:tc>
      </w:tr>
      <w:tr>
        <w:trPr>
          <w:cantSplit/>
        </w:trPr>
        <w:tc>
          <w:tcPr>
            <w:tcW w:type="dxa" w:w="1728"/>
            <w:vAlign w:val="center"/>
          </w:tcPr>
          <w:p>
            <w:pPr>
              <w:spacing w:before="40" w:after="40"/>
            </w:pPr>
            <w:r>
              <w:rPr>
                <w:b w:val="0"/>
                <w:sz w:val="18"/>
              </w:rPr>
              <w:t>39484293_1</w:t>
            </w:r>
          </w:p>
        </w:tc>
        <w:tc>
          <w:tcPr>
            <w:tcW w:type="dxa" w:w="2592"/>
            <w:vAlign w:val="center"/>
          </w:tcPr>
          <w:p>
            <w:pPr>
              <w:spacing w:before="40" w:after="40"/>
            </w:pPr>
            <w:r>
              <w:rPr>
                <w:b w:val="0"/>
                <w:sz w:val="18"/>
              </w:rPr>
              <w:t>±60° training</w:t>
            </w:r>
          </w:p>
        </w:tc>
        <w:tc>
          <w:tcPr>
            <w:tcW w:type="dxa" w:w="2160"/>
            <w:vAlign w:val="center"/>
          </w:tcPr>
          <w:p>
            <w:pPr>
              <w:spacing w:before="40" w:after="40"/>
            </w:pPr>
            <w:r>
              <w:rPr>
                <w:b w:val="0"/>
                <w:sz w:val="18"/>
              </w:rPr>
              <w:t>28 Oct 2026</w:t>
            </w:r>
          </w:p>
        </w:tc>
        <w:tc>
          <w:tcPr>
            <w:tcW w:type="dxa" w:w="2160"/>
            <w:vAlign w:val="center"/>
          </w:tcPr>
          <w:p>
            <w:pPr>
              <w:spacing w:before="40" w:after="40"/>
            </w:pPr>
            <w:r>
              <w:rPr>
                <w:b w:val="0"/>
                <w:sz w:val="18"/>
              </w:rPr>
              <w:t>26m 24s</w:t>
            </w:r>
          </w:p>
        </w:tc>
      </w:tr>
      <w:tr>
        <w:trPr>
          <w:cantSplit/>
        </w:trPr>
        <w:tc>
          <w:tcPr>
            <w:tcW w:type="dxa" w:w="1728"/>
            <w:vAlign w:val="center"/>
          </w:tcPr>
          <w:p>
            <w:pPr>
              <w:spacing w:before="40" w:after="40"/>
            </w:pPr>
            <w:r>
              <w:rPr>
                <w:b w:val="0"/>
                <w:sz w:val="18"/>
              </w:rPr>
              <w:t>39484294</w:t>
            </w:r>
          </w:p>
        </w:tc>
        <w:tc>
          <w:tcPr>
            <w:tcW w:type="dxa" w:w="2592"/>
            <w:vAlign w:val="center"/>
          </w:tcPr>
          <w:p>
            <w:pPr>
              <w:spacing w:before="40" w:after="40"/>
            </w:pPr>
            <w:r>
              <w:rPr>
                <w:b w:val="0"/>
                <w:sz w:val="18"/>
              </w:rPr>
              <w:t>±45°/±60° TTA</w:t>
            </w:r>
          </w:p>
        </w:tc>
        <w:tc>
          <w:tcPr>
            <w:tcW w:type="dxa" w:w="2160"/>
            <w:vAlign w:val="center"/>
          </w:tcPr>
          <w:p>
            <w:pPr>
              <w:spacing w:before="40" w:after="40"/>
            </w:pPr>
            <w:r>
              <w:rPr>
                <w:b w:val="0"/>
                <w:sz w:val="18"/>
              </w:rPr>
              <w:t>29 Oct 2026</w:t>
            </w:r>
          </w:p>
        </w:tc>
        <w:tc>
          <w:tcPr>
            <w:tcW w:type="dxa" w:w="2160"/>
            <w:vAlign w:val="center"/>
          </w:tcPr>
          <w:p>
            <w:pPr>
              <w:spacing w:before="40" w:after="40"/>
            </w:pPr>
            <w:r>
              <w:rPr>
                <w:b w:val="0"/>
                <w:sz w:val="18"/>
              </w:rPr>
              <w:t>30m 12s</w:t>
            </w:r>
          </w:p>
        </w:tc>
      </w:tr>
    </w:tbl>
    <w:p>
      <w:pPr>
        <w:spacing w:after="0" w:before="0"/>
      </w:pPr>
    </w:p>
    <w:p>
      <w:pPr>
        <w:widowControl/>
        <w:spacing w:after="120"/>
      </w:pPr>
      <w:r>
        <w:t>All jobs completed with exit code 0:0. Wall times include startup and I/O and are not a controlled compute-speed comparison. The 6,665 / 1,302 / 1,498 train/validation/test crops use the current 149-identity registry dated 14 October. Image-path and true-label pairs match across all test comparisons. Both saved split/registry SHA-256 pairs match. There are 30 validation/test comparisons across the two suites, and all 15 non-baseline test prediction files were checked against the baseline image/identity pairs.</w:t>
      </w:r>
    </w:p>
    <w:p>
      <w:pPr>
        <w:spacing w:after="60"/>
      </w:pPr>
      <w:hyperlink r:id="rId16">
        <w:r>
          <w:rPr>
            <w:color w:val="365F91"/>
            <w:u w:val="single"/>
            <w:sz w:val="19"/>
          </w:rPr>
          <w:t>Full Markdown report, figures, interpretation and source links</w:t>
        </w:r>
      </w:hyperlink>
    </w:p>
    <w:p>
      <w:pPr>
        <w:spacing w:after="60"/>
      </w:pPr>
      <w:hyperlink r:id="rId17">
        <w:r>
          <w:rPr>
            <w:rStyle w:val="Hyperlink"/>
          </w:rPr>
          <w:t>Original suite: 18 validation/test comparisons (CSV)</w:t>
        </w:r>
      </w:hyperlink>
    </w:p>
    <w:p>
      <w:pPr>
        <w:spacing w:after="60"/>
      </w:pPr>
      <w:hyperlink r:id="rId18">
        <w:r>
          <w:rPr>
            <w:rStyle w:val="Hyperlink"/>
          </w:rPr>
          <w:t>Original suite: validation-only selection record (JSON)</w:t>
        </w:r>
      </w:hyperlink>
    </w:p>
    <w:p>
      <w:pPr>
        <w:spacing w:after="60"/>
      </w:pPr>
      <w:hyperlink r:id="rId32">
        <w:r>
          <w:rPr>
            <w:rStyle w:val="Hyperlink"/>
          </w:rPr>
          <w:t>Selected ±45° + mean per-class metrics (CSV)</w:t>
        </w:r>
      </w:hyperlink>
    </w:p>
    <w:p>
      <w:pPr>
        <w:spacing w:after="60"/>
      </w:pPr>
      <w:hyperlink r:id="rId20">
        <w:r>
          <w:rPr>
            <w:color w:val="365F91"/>
            <w:u w:val="single"/>
            <w:sz w:val="19"/>
          </w:rPr>
          <w:t>Source curve data, hashes and job metadata (JSON)</w:t>
        </w:r>
      </w:hyperlink>
    </w:p>
    <w:p>
      <w:r>
        <w:br w:type="page"/>
      </w:r>
    </w:p>
    <w:p>
      <w:pPr>
        <w:pStyle w:val="Heading1"/>
        <w:keepNext/>
      </w:pPr>
      <w:r>
        <w:t>8. Caveats and advice on further experiments</w:t>
      </w:r>
    </w:p>
    <w:p>
      <w:pPr>
        <w:pStyle w:val="ListBullet"/>
        <w:spacing w:after="80"/>
      </w:pPr>
      <w:r>
        <w:rPr>
          <w:b/>
        </w:rPr>
        <w:t xml:space="preserve">One fit per policy. </w:t>
      </w:r>
      <w:r>
        <w:t>Measured gains are not confidence intervals or proof of repeated-run reliability. Repeat the most promising candidates across seeds before interpreting small differences as robust.</w:t>
      </w:r>
    </w:p>
    <w:p>
      <w:pPr>
        <w:pStyle w:val="ListBullet"/>
        <w:spacing w:after="80"/>
      </w:pPr>
      <w:r>
        <w:t>Rotation follow-up controlled. The original policies bundle several changes, while ±45°/±60° vary rotation only relative to ±30°. The remaining settings, split, seed and 30-epoch budget match. Single fits and small differences do not locate a robust optimal angle.</w:t>
      </w:r>
    </w:p>
    <w:p>
      <w:pPr>
        <w:pStyle w:val="ListBullet"/>
        <w:spacing w:after="80"/>
      </w:pPr>
      <w:r>
        <w:rPr>
          <w:b/>
        </w:rPr>
        <w:t xml:space="preserve">Baseline TTA is missing. </w:t>
      </w:r>
      <w:r>
        <w:t>The effect of applying the same seven-angle inference to the previous baseline is unknown. It would be a useful checkpoint-only comparison before committing to a large new training search.</w:t>
      </w:r>
    </w:p>
    <w:p>
      <w:pPr>
        <w:pStyle w:val="ListBullet"/>
        <w:spacing w:after="80"/>
      </w:pPr>
      <w:r>
        <w:rPr>
          <w:b/>
        </w:rPr>
        <w:t xml:space="preserve">Fixed training budget. </w:t>
      </w:r>
      <w:r>
        <w:t>The experiment compares 30-epoch runs. Longer training could change a curve, but these data do not justify automatically increasing to 150 epochs.</w:t>
      </w:r>
    </w:p>
    <w:p>
      <w:pPr>
        <w:pStyle w:val="ListBullet"/>
        <w:spacing w:after="80"/>
      </w:pPr>
      <w:r>
        <w:rPr>
          <w:b/>
        </w:rPr>
        <w:t xml:space="preserve">Historical reports differ. </w:t>
      </w:r>
      <w:r>
        <w:t>The earlier progress document includes 156-label and pre-cleanup results. Do not compare those raw rows directly with this 149-label evaluation without matching the image cohort and taxonomy.</w:t>
      </w:r>
    </w:p>
    <w:p>
      <w:pPr>
        <w:pStyle w:val="Heading2"/>
        <w:keepNext/>
      </w:pPr>
      <w:r>
        <w:t>Completed rotation-only follow-up: ±45° and ±60°</w:t>
      </w:r>
    </w:p>
    <w:p>
      <w:pPr>
        <w:widowControl/>
        <w:spacing w:after="120"/>
      </w:pPr>
      <w:r>
        <w:t>The proposed follow-up is complete. Both models trained on 28 October; their averaging evaluation finished on 29 October. ±45° + mean ties ±30° + mean on validation top-1 and has higher validation macro F1. Its measured test gain is 0.60 points (nine images). ±60° mean and max both score 84.98% test top-1.</w:t>
      </w:r>
    </w:p>
    <w:p>
      <w:pPr>
        <w:widowControl/>
        <w:spacing w:after="120"/>
      </w:pPr>
      <w:r>
        <w:t>Repeat the strongest candidates across seeds before treating this ranking as robust. Baseline TTA remains unevaluated. The selected follow-up checkpoint is artifacts/augmentation_sweeps/20261028T164412Z_JmVXbV/checkpoints/macaque-resnet50-arcface_aggressive_rot45_canonical_20261014_best.pt. This documentation revision launches no additional training or evaluation jobs.</w:t>
      </w:r>
    </w:p>
    <w:p>
      <w:pPr>
        <w:pStyle w:val="Heading2"/>
        <w:keepNext/>
      </w:pPr>
      <w:r>
        <w:t>Reference and related reports</w:t>
      </w:r>
    </w:p>
    <w:p>
      <w:pPr>
        <w:spacing w:after="60"/>
      </w:pPr>
      <w:hyperlink r:id="rId21">
        <w:r>
          <w:rPr>
            <w:color w:val="365F91"/>
            <w:u w:val="single"/>
            <w:sz w:val="19"/>
          </w:rPr>
          <w:t>Previous progress report (formatting reference; historical results)</w:t>
        </w:r>
      </w:hyperlink>
    </w:p>
    <w:p>
      <w:pPr>
        <w:spacing w:after="60"/>
      </w:pPr>
      <w:hyperlink r:id="rId22">
        <w:r>
          <w:rPr>
            <w:color w:val="365F91"/>
            <w:u w:val="single"/>
            <w:sz w:val="19"/>
          </w:rPr>
          <w:t>Current baseline report: 23 October 2026</w:t>
        </w:r>
      </w:hyperlink>
    </w:p>
    <w:p>
      <w:pPr>
        <w:spacing w:after="60"/>
      </w:pPr>
      <w:hyperlink r:id="rId23">
        <w:r>
          <w:rPr>
            <w:color w:val="365F91"/>
            <w:u w:val="single"/>
            <w:sz w:val="19"/>
          </w:rPr>
          <w:t>Report index and folder layout</w:t>
        </w:r>
      </w:hyperlink>
    </w:p>
    <w:p>
      <w:pPr>
        <w:spacing w:after="60"/>
      </w:pPr>
      <w:hyperlink r:id="rId24">
        <w:r>
          <w:rPr>
            <w:color w:val="365F91"/>
            <w:u w:val="single"/>
            <w:sz w:val="19"/>
          </w:rPr>
          <w:t>Torchvision 0.17 RandomAffine documentation</w:t>
        </w:r>
      </w:hyperlink>
    </w:p>
    <w:p>
      <w:pPr>
        <w:spacing w:after="60"/>
      </w:pPr>
      <w:hyperlink r:id="rId25">
        <w:r>
          <w:rPr>
            <w:color w:val="365F91"/>
            <w:u w:val="single"/>
            <w:sz w:val="19"/>
          </w:rPr>
          <w:t>Torchvision 0.17.2 RandAugment implementation</w:t>
        </w:r>
      </w:hyperlink>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Macaque ReID · </w:t>
    </w:r>
    <w:r>
      <w:rPr>
        <w:color w:val="6666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hyperlink" Target="../markdown/FINAL_EVAL_REPORT_2026-10-28_augmentation_comparison.md" TargetMode="External"/><Relationship Id="rId17" Type="http://schemas.openxmlformats.org/officeDocument/2006/relationships/hyperlink" Target="../../artifacts/augmentation_sweeps/20261025T023752Z_jyY1BT/eval/comparison.csv" TargetMode="External"/><Relationship Id="rId18" Type="http://schemas.openxmlformats.org/officeDocument/2006/relationships/hyperlink" Target="../../artifacts/augmentation_sweeps/20261025T023752Z_jyY1BT/eval/selection.json" TargetMode="External"/><Relationship Id="rId19" Type="http://schemas.openxmlformats.org/officeDocument/2006/relationships/hyperlink" Target="../../artifacts/augmentation_sweeps/20261025T023752Z_jyY1BT/eval/train_macaque_arcface_aggressive_rot30_macaque-resnet50-arcface_aggressive_rot30_canonical_20261014_best_macaque-resnet50-arcface_aggressive_rot30_canonical_20261014_mean_test_tta_mean_per_class_metrics.csv" TargetMode="External"/><Relationship Id="rId20" Type="http://schemas.openxmlformats.org/officeDocument/2006/relationships/hyperlink" Target="../figures/augmentation_comparison_2026-10-28/plot_data.json" TargetMode="External"/><Relationship Id="rId21" Type="http://schemas.openxmlformats.org/officeDocument/2006/relationships/hyperlink" Target="Macaque_ReID_Report.docx" TargetMode="External"/><Relationship Id="rId22" Type="http://schemas.openxmlformats.org/officeDocument/2006/relationships/hyperlink" Target="Macaque_ReID_Report_2026-10-23_Baseline.docx" TargetMode="External"/><Relationship Id="rId23" Type="http://schemas.openxmlformats.org/officeDocument/2006/relationships/hyperlink" Target="../README.md" TargetMode="External"/><Relationship Id="rId24" Type="http://schemas.openxmlformats.org/officeDocument/2006/relationships/hyperlink" Target="https://docs.pytorch.org/vision/0.17/generated/torchvision.transforms.RandomAffine.html" TargetMode="External"/><Relationship Id="rId25" Type="http://schemas.openxmlformats.org/officeDocument/2006/relationships/hyperlink" Target="https://github.com/pytorch/vision/blob/v0.17.2/torchvision/transforms/autoaugment.py" TargetMode="External"/><Relationship Id="rId26" Type="http://schemas.openxmlformats.org/officeDocument/2006/relationships/image" Target="media/image1.png"/><Relationship Id="rId27" Type="http://schemas.openxmlformats.org/officeDocument/2006/relationships/hyperlink" Target="../../artifacts/augmentation_sweeps/20261025T023752Z_jyY1BT/logs/39152253_tta.out" TargetMode="External"/><Relationship Id="rId28" Type="http://schemas.openxmlformats.org/officeDocument/2006/relationships/image" Target="media/image2.png"/><Relationship Id="rId29" Type="http://schemas.openxmlformats.org/officeDocument/2006/relationships/hyperlink" Target="../../artifacts/augmentation_sweeps/20261028T164412Z_JmVXbV/eval/comparison.csv" TargetMode="External"/><Relationship Id="rId30" Type="http://schemas.openxmlformats.org/officeDocument/2006/relationships/hyperlink" Target="../../artifacts/augmentation_sweeps/20261028T164412Z_JmVXbV/eval/selection.json" TargetMode="External"/><Relationship Id="rId31" Type="http://schemas.openxmlformats.org/officeDocument/2006/relationships/hyperlink" Target="../../artifacts/augmentation_sweeps/20261028T164412Z_JmVXbV/logs/39484294_tta.out" TargetMode="External"/><Relationship Id="rId32" Type="http://schemas.openxmlformats.org/officeDocument/2006/relationships/hyperlink" Target="../../artifacts/augmentation_sweeps/20261028T164412Z_JmVXbV/eval/train_macaque_arcface_aggressive_rot45_macaque-resnet50-arcface_aggressive_rot45_canonical_20261014_best_macaque-resnet50-arcface_aggressive_rot45_canonical_20261014_mean_test_tta_mean_per_class_metrics.csv" TargetMode="External"/><Relationship Id="rId33" Type="http://schemas.openxmlformats.org/officeDocument/2006/relationships/image" Target="media/image3.png"/><Relationship Id="rId34" Type="http://schemas.openxmlformats.org/officeDocument/2006/relationships/hyperlink" Target="../figures/augmentation_comparison_2026-10-28/meeting_examples/original_and_training_augmentations.png" TargetMode="External"/><Relationship Id="rId35" Type="http://schemas.openxmlformats.org/officeDocument/2006/relationships/hyperlink" Target="../figures/augmentation_comparison_2026-10-28/meeting_examples/original_and_training_augmentations.pdf" TargetMode="External"/><Relationship Id="rId36" Type="http://schemas.openxmlformats.org/officeDocument/2006/relationships/image" Target="media/image4.png"/><Relationship Id="rId37" Type="http://schemas.openxmlformats.org/officeDocument/2006/relationships/hyperlink" Target="../figures/augmentation_comparison_2026-10-28/meeting_examples/seven_angle_inference_views.png" TargetMode="External"/><Relationship Id="rId38" Type="http://schemas.openxmlformats.org/officeDocument/2006/relationships/hyperlink" Target="../figures/augmentation_comparison_2026-10-28/meeting_examples/seven_angle_inference_views.pdf" TargetMode="External"/><Relationship Id="rId39" Type="http://schemas.openxmlformats.org/officeDocument/2006/relationships/hyperlink" Target="../figures/augmentation_comparison_2026-10-28/meeting_examples/examples_manifest.json" TargetMode="External"/><Relationship Id="rId40" Type="http://schemas.openxmlformats.org/officeDocument/2006/relationships/hyperlink" Target="../figures/augmentation_comparison_2026-10-28/meeting_examples/generate_examples.py" TargetMode="External"/><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hyperlink" Target="../../artifacts/augmentation_sweeps/20261028T164412Z_JmVXbV/checkpoints/macaque-resnet50-arcface_aggressive_rot45_canonical_20261014_metrics.csv" TargetMode="External"/><Relationship Id="rId44" Type="http://schemas.openxmlformats.org/officeDocument/2006/relationships/hyperlink" Target="../../artifacts/augmentation_sweeps/20261028T164412Z_JmVXbV/checkpoints/macaque-resnet50-arcface_aggressive_rot60_canonical_20261014_metrics.csv" TargetMode="External"/><Relationship Id="rId45" Type="http://schemas.openxmlformats.org/officeDocument/2006/relationships/hyperlink" Target="../figures/augmentation_comparison_2026-10-28/followup_loss_data.json" TargetMode="External"/><Relationship Id="rId46" Type="http://schemas.openxmlformats.org/officeDocument/2006/relationships/hyperlink" Target="../figures/augmentation_comparison_2026-10-28/rot45_loss.pdf" TargetMode="External"/><Relationship Id="rId47" Type="http://schemas.openxmlformats.org/officeDocument/2006/relationships/hyperlink" Target="../figures/augmentation_comparison_2026-10-28/rot60_loss.pdf" TargetMode="External"/><Relationship Id="rId48" Type="http://schemas.openxmlformats.org/officeDocument/2006/relationships/hyperlink" Target="../figures/augmentation_comparison_2026-10-28/followup_loss_by_poli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Macaque Face Re-Identification — Augmentation and Averaging</dc:title>
  <dc:subject>Macaque face identification: current 149-identity evaluation</dc:subject>
  <dc:creator>Macaque ReID project</dc:creator>
  <cp:keywords/>
  <dc:description>generated by python-docx</dc:description>
  <cp:lastModifiedBy>Macaque ReID project</cp:lastModifiedBy>
  <cp:revision>1</cp:revision>
  <dcterms:created xsi:type="dcterms:W3CDTF">2026-10-28T16:02:13Z</dcterms:created>
  <dcterms:modified xsi:type="dcterms:W3CDTF">2026-10-30T01:55:32Z</dcterms:modified>
  <cp:category/>
</cp:coreProperties>
</file>