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FC9B7" w14:textId="77777777" w:rsidR="00D82DA3" w:rsidRPr="0096541C" w:rsidRDefault="00D82DA3" w:rsidP="00D82DA3">
      <w:pPr>
        <w:spacing w:after="120"/>
        <w:jc w:val="center"/>
        <w:rPr>
          <w:b/>
          <w:u w:val="single"/>
        </w:rPr>
      </w:pPr>
      <w:r w:rsidRPr="0096541C">
        <w:rPr>
          <w:b/>
          <w:u w:val="single"/>
        </w:rPr>
        <w:t xml:space="preserve">UCL HISTORY DEPARTMENT </w:t>
      </w:r>
      <w:r>
        <w:rPr>
          <w:b/>
          <w:u w:val="single"/>
        </w:rPr>
        <w:t>UNDER</w:t>
      </w:r>
      <w:r w:rsidRPr="0096541C">
        <w:rPr>
          <w:b/>
          <w:u w:val="single"/>
        </w:rPr>
        <w:t>GRADUATE COURSEWORK SUBMISSION TEMPLATE</w:t>
      </w:r>
    </w:p>
    <w:p w14:paraId="445A2FBF" w14:textId="77777777" w:rsidR="00D82DA3" w:rsidRPr="00DC5607" w:rsidRDefault="00D82DA3" w:rsidP="00D82DA3">
      <w:pPr>
        <w:spacing w:after="120"/>
        <w:rPr>
          <w:i/>
        </w:rPr>
      </w:pPr>
      <w:r w:rsidRPr="00DC5607">
        <w:rPr>
          <w:i/>
        </w:rPr>
        <w:t xml:space="preserve">You must use this template as the first page of your </w:t>
      </w:r>
      <w:r>
        <w:rPr>
          <w:i/>
        </w:rPr>
        <w:t>electronic submission.</w:t>
      </w:r>
    </w:p>
    <w:tbl>
      <w:tblPr>
        <w:tblStyle w:val="TableGrid"/>
        <w:tblW w:w="9139" w:type="dxa"/>
        <w:tblBorders>
          <w:insideH w:val="none" w:sz="0" w:space="0" w:color="auto"/>
          <w:insideV w:val="none" w:sz="0" w:space="0" w:color="auto"/>
        </w:tblBorders>
        <w:tblLook w:val="04A0" w:firstRow="1" w:lastRow="0" w:firstColumn="1" w:lastColumn="0" w:noHBand="0" w:noVBand="1"/>
      </w:tblPr>
      <w:tblGrid>
        <w:gridCol w:w="1703"/>
        <w:gridCol w:w="1341"/>
        <w:gridCol w:w="2350"/>
        <w:gridCol w:w="1030"/>
        <w:gridCol w:w="1369"/>
        <w:gridCol w:w="1346"/>
      </w:tblGrid>
      <w:tr w:rsidR="00C57C3D" w:rsidRPr="00DC5607" w14:paraId="3A3E5143" w14:textId="77777777" w:rsidTr="0080798B">
        <w:trPr>
          <w:trHeight w:hRule="exact" w:val="549"/>
        </w:trPr>
        <w:tc>
          <w:tcPr>
            <w:tcW w:w="1774" w:type="dxa"/>
            <w:tcMar>
              <w:top w:w="57" w:type="dxa"/>
              <w:left w:w="57" w:type="dxa"/>
              <w:bottom w:w="57" w:type="dxa"/>
              <w:right w:w="57" w:type="dxa"/>
            </w:tcMar>
          </w:tcPr>
          <w:p w14:paraId="52E68A0E" w14:textId="77777777" w:rsidR="00D82DA3" w:rsidRPr="00DC5607" w:rsidRDefault="00D82DA3" w:rsidP="0080798B">
            <w:pPr>
              <w:rPr>
                <w:b/>
                <w:sz w:val="24"/>
                <w:szCs w:val="24"/>
              </w:rPr>
            </w:pPr>
            <w:r w:rsidRPr="00DC5607">
              <w:rPr>
                <w:b/>
                <w:sz w:val="24"/>
                <w:szCs w:val="24"/>
              </w:rPr>
              <w:t>Module code:</w:t>
            </w:r>
          </w:p>
        </w:tc>
        <w:tc>
          <w:tcPr>
            <w:tcW w:w="1365" w:type="dxa"/>
            <w:tcMar>
              <w:top w:w="57" w:type="dxa"/>
              <w:left w:w="57" w:type="dxa"/>
              <w:bottom w:w="57" w:type="dxa"/>
              <w:right w:w="57" w:type="dxa"/>
            </w:tcMar>
          </w:tcPr>
          <w:p w14:paraId="714B10E0" w14:textId="538247FC" w:rsidR="00D82DA3" w:rsidRPr="00DC5607" w:rsidRDefault="00D82DA3" w:rsidP="0080798B">
            <w:pPr>
              <w:rPr>
                <w:sz w:val="24"/>
                <w:szCs w:val="24"/>
              </w:rPr>
            </w:pPr>
            <w:r>
              <w:rPr>
                <w:sz w:val="24"/>
                <w:szCs w:val="24"/>
              </w:rPr>
              <w:t>HIST0583</w:t>
            </w:r>
          </w:p>
        </w:tc>
        <w:tc>
          <w:tcPr>
            <w:tcW w:w="2455" w:type="dxa"/>
            <w:tcMar>
              <w:top w:w="57" w:type="dxa"/>
              <w:left w:w="57" w:type="dxa"/>
              <w:bottom w:w="57" w:type="dxa"/>
              <w:right w:w="57" w:type="dxa"/>
            </w:tcMar>
          </w:tcPr>
          <w:p w14:paraId="67D360C0" w14:textId="77777777" w:rsidR="00D82DA3" w:rsidRPr="00DC5607" w:rsidRDefault="00D82DA3" w:rsidP="0080798B">
            <w:pPr>
              <w:jc w:val="right"/>
              <w:rPr>
                <w:b/>
                <w:sz w:val="24"/>
                <w:szCs w:val="24"/>
              </w:rPr>
            </w:pPr>
            <w:r w:rsidRPr="00DC5607">
              <w:rPr>
                <w:b/>
                <w:sz w:val="24"/>
                <w:szCs w:val="24"/>
              </w:rPr>
              <w:t>Tutor:</w:t>
            </w:r>
          </w:p>
        </w:tc>
        <w:tc>
          <w:tcPr>
            <w:tcW w:w="3544" w:type="dxa"/>
            <w:gridSpan w:val="3"/>
            <w:tcMar>
              <w:top w:w="57" w:type="dxa"/>
              <w:left w:w="57" w:type="dxa"/>
              <w:bottom w:w="57" w:type="dxa"/>
              <w:right w:w="57" w:type="dxa"/>
            </w:tcMar>
          </w:tcPr>
          <w:p w14:paraId="33339DDC" w14:textId="60C34DF4" w:rsidR="00D82DA3" w:rsidRPr="00DC5607" w:rsidRDefault="00D82DA3" w:rsidP="0080798B">
            <w:pPr>
              <w:rPr>
                <w:sz w:val="24"/>
                <w:szCs w:val="24"/>
              </w:rPr>
            </w:pPr>
            <w:r>
              <w:rPr>
                <w:sz w:val="24"/>
                <w:szCs w:val="24"/>
              </w:rPr>
              <w:t>Saffron East</w:t>
            </w:r>
          </w:p>
          <w:p w14:paraId="5E3BE147" w14:textId="77777777" w:rsidR="00D82DA3" w:rsidRPr="00DC5607" w:rsidRDefault="00D82DA3" w:rsidP="0080798B">
            <w:pPr>
              <w:rPr>
                <w:sz w:val="24"/>
                <w:szCs w:val="24"/>
              </w:rPr>
            </w:pPr>
          </w:p>
        </w:tc>
      </w:tr>
      <w:tr w:rsidR="00C57C3D" w:rsidRPr="00DC5607" w14:paraId="43139980" w14:textId="77777777" w:rsidTr="0080798B">
        <w:trPr>
          <w:trHeight w:hRule="exact" w:val="549"/>
        </w:trPr>
        <w:tc>
          <w:tcPr>
            <w:tcW w:w="1774" w:type="dxa"/>
            <w:tcMar>
              <w:top w:w="57" w:type="dxa"/>
              <w:left w:w="57" w:type="dxa"/>
              <w:bottom w:w="57" w:type="dxa"/>
              <w:right w:w="57" w:type="dxa"/>
            </w:tcMar>
          </w:tcPr>
          <w:p w14:paraId="03C04379" w14:textId="77777777" w:rsidR="00D82DA3" w:rsidRPr="00DC5607" w:rsidRDefault="00D82DA3" w:rsidP="0080798B">
            <w:pPr>
              <w:rPr>
                <w:b/>
                <w:sz w:val="24"/>
                <w:szCs w:val="24"/>
              </w:rPr>
            </w:pPr>
            <w:r>
              <w:rPr>
                <w:b/>
                <w:sz w:val="24"/>
                <w:szCs w:val="24"/>
              </w:rPr>
              <w:t>Module Title:</w:t>
            </w:r>
          </w:p>
        </w:tc>
        <w:tc>
          <w:tcPr>
            <w:tcW w:w="1365" w:type="dxa"/>
            <w:tcMar>
              <w:top w:w="57" w:type="dxa"/>
              <w:left w:w="57" w:type="dxa"/>
              <w:bottom w:w="57" w:type="dxa"/>
              <w:right w:w="57" w:type="dxa"/>
            </w:tcMar>
          </w:tcPr>
          <w:p w14:paraId="01E91B0E" w14:textId="509EB04A" w:rsidR="00D82DA3" w:rsidRPr="00D82DA3" w:rsidRDefault="00D82DA3" w:rsidP="0080798B">
            <w:pPr>
              <w:rPr>
                <w:sz w:val="20"/>
                <w:szCs w:val="20"/>
              </w:rPr>
            </w:pPr>
            <w:r w:rsidRPr="00D82DA3">
              <w:rPr>
                <w:sz w:val="20"/>
                <w:szCs w:val="20"/>
              </w:rPr>
              <w:t>British History c. 1850-1997 Affiliate</w:t>
            </w:r>
          </w:p>
          <w:p w14:paraId="172CCDE1" w14:textId="77777777" w:rsidR="00D82DA3" w:rsidRPr="00D82DA3" w:rsidRDefault="00D82DA3" w:rsidP="0080798B">
            <w:pPr>
              <w:rPr>
                <w:sz w:val="20"/>
                <w:szCs w:val="20"/>
              </w:rPr>
            </w:pPr>
          </w:p>
          <w:p w14:paraId="66BF8DFF" w14:textId="77777777" w:rsidR="00D82DA3" w:rsidRPr="00D82DA3" w:rsidRDefault="00D82DA3" w:rsidP="0080798B">
            <w:pPr>
              <w:rPr>
                <w:sz w:val="20"/>
                <w:szCs w:val="20"/>
              </w:rPr>
            </w:pPr>
          </w:p>
        </w:tc>
        <w:tc>
          <w:tcPr>
            <w:tcW w:w="2455" w:type="dxa"/>
            <w:tcMar>
              <w:top w:w="57" w:type="dxa"/>
              <w:left w:w="57" w:type="dxa"/>
              <w:bottom w:w="57" w:type="dxa"/>
              <w:right w:w="57" w:type="dxa"/>
            </w:tcMar>
          </w:tcPr>
          <w:p w14:paraId="5DB76C65" w14:textId="77777777" w:rsidR="00D82DA3" w:rsidRDefault="00D82DA3" w:rsidP="0080798B">
            <w:pPr>
              <w:jc w:val="right"/>
              <w:rPr>
                <w:b/>
                <w:sz w:val="24"/>
                <w:szCs w:val="24"/>
              </w:rPr>
            </w:pPr>
            <w:r>
              <w:rPr>
                <w:b/>
                <w:sz w:val="24"/>
                <w:szCs w:val="24"/>
              </w:rPr>
              <w:t xml:space="preserve">Module Type: </w:t>
            </w:r>
          </w:p>
          <w:p w14:paraId="60C639BA" w14:textId="77777777" w:rsidR="00D82DA3" w:rsidRPr="00EE164E" w:rsidRDefault="00D82DA3" w:rsidP="0080798B">
            <w:pPr>
              <w:jc w:val="right"/>
              <w:rPr>
                <w:i/>
                <w:sz w:val="16"/>
                <w:szCs w:val="16"/>
              </w:rPr>
            </w:pPr>
            <w:r w:rsidRPr="00EE164E">
              <w:rPr>
                <w:i/>
                <w:sz w:val="16"/>
                <w:szCs w:val="16"/>
              </w:rPr>
              <w:t>(EG: Thematic/Survey)</w:t>
            </w:r>
          </w:p>
        </w:tc>
        <w:tc>
          <w:tcPr>
            <w:tcW w:w="3544" w:type="dxa"/>
            <w:gridSpan w:val="3"/>
            <w:tcMar>
              <w:top w:w="57" w:type="dxa"/>
              <w:left w:w="57" w:type="dxa"/>
              <w:bottom w:w="57" w:type="dxa"/>
              <w:right w:w="57" w:type="dxa"/>
            </w:tcMar>
          </w:tcPr>
          <w:p w14:paraId="2FA18903" w14:textId="6FAAE0F6" w:rsidR="00D82DA3" w:rsidRPr="00DC5607" w:rsidRDefault="00D82DA3" w:rsidP="0080798B">
            <w:pPr>
              <w:rPr>
                <w:sz w:val="24"/>
                <w:szCs w:val="24"/>
              </w:rPr>
            </w:pPr>
            <w:r>
              <w:rPr>
                <w:sz w:val="24"/>
                <w:szCs w:val="24"/>
              </w:rPr>
              <w:t>Survey</w:t>
            </w:r>
          </w:p>
          <w:p w14:paraId="6311F5E7" w14:textId="77777777" w:rsidR="00D82DA3" w:rsidRPr="00DC5607" w:rsidRDefault="00D82DA3" w:rsidP="0080798B">
            <w:pPr>
              <w:rPr>
                <w:sz w:val="24"/>
                <w:szCs w:val="24"/>
              </w:rPr>
            </w:pPr>
          </w:p>
        </w:tc>
      </w:tr>
      <w:tr w:rsidR="00D82DA3" w:rsidRPr="00DC5607" w14:paraId="10C7A0F0" w14:textId="77777777" w:rsidTr="0080798B">
        <w:trPr>
          <w:trHeight w:hRule="exact" w:val="738"/>
        </w:trPr>
        <w:tc>
          <w:tcPr>
            <w:tcW w:w="1774" w:type="dxa"/>
            <w:tcMar>
              <w:top w:w="57" w:type="dxa"/>
              <w:left w:w="57" w:type="dxa"/>
              <w:bottom w:w="57" w:type="dxa"/>
              <w:right w:w="57" w:type="dxa"/>
            </w:tcMar>
          </w:tcPr>
          <w:p w14:paraId="61F4A3A2" w14:textId="77777777" w:rsidR="00D82DA3" w:rsidRPr="00DC5607" w:rsidRDefault="00D82DA3" w:rsidP="0080798B">
            <w:pPr>
              <w:rPr>
                <w:b/>
                <w:sz w:val="24"/>
                <w:szCs w:val="24"/>
              </w:rPr>
            </w:pPr>
            <w:r>
              <w:rPr>
                <w:b/>
                <w:sz w:val="24"/>
                <w:szCs w:val="24"/>
              </w:rPr>
              <w:t>Student</w:t>
            </w:r>
            <w:r w:rsidRPr="00DC5607">
              <w:rPr>
                <w:b/>
                <w:sz w:val="24"/>
                <w:szCs w:val="24"/>
              </w:rPr>
              <w:t xml:space="preserve"> number:</w:t>
            </w:r>
          </w:p>
        </w:tc>
        <w:tc>
          <w:tcPr>
            <w:tcW w:w="1365" w:type="dxa"/>
            <w:tcMar>
              <w:top w:w="57" w:type="dxa"/>
              <w:left w:w="57" w:type="dxa"/>
              <w:bottom w:w="57" w:type="dxa"/>
              <w:right w:w="57" w:type="dxa"/>
            </w:tcMar>
          </w:tcPr>
          <w:p w14:paraId="0136596B" w14:textId="634B08D5" w:rsidR="00D82DA3" w:rsidRPr="00DC5607" w:rsidRDefault="00D82DA3" w:rsidP="0080798B">
            <w:pPr>
              <w:rPr>
                <w:sz w:val="24"/>
                <w:szCs w:val="24"/>
              </w:rPr>
            </w:pPr>
            <w:r>
              <w:rPr>
                <w:sz w:val="24"/>
                <w:szCs w:val="24"/>
              </w:rPr>
              <w:t>20001775</w:t>
            </w:r>
          </w:p>
        </w:tc>
        <w:tc>
          <w:tcPr>
            <w:tcW w:w="2455" w:type="dxa"/>
            <w:tcMar>
              <w:top w:w="57" w:type="dxa"/>
              <w:left w:w="57" w:type="dxa"/>
              <w:bottom w:w="57" w:type="dxa"/>
              <w:right w:w="57" w:type="dxa"/>
            </w:tcMar>
          </w:tcPr>
          <w:p w14:paraId="1D111000" w14:textId="77777777" w:rsidR="00D82DA3" w:rsidRPr="00DC5607" w:rsidRDefault="00D82DA3" w:rsidP="0080798B">
            <w:pPr>
              <w:jc w:val="right"/>
              <w:rPr>
                <w:b/>
                <w:sz w:val="24"/>
                <w:szCs w:val="24"/>
              </w:rPr>
            </w:pPr>
            <w:r w:rsidRPr="00DC5607">
              <w:rPr>
                <w:b/>
                <w:sz w:val="24"/>
                <w:szCs w:val="24"/>
              </w:rPr>
              <w:t>Date:</w:t>
            </w:r>
          </w:p>
        </w:tc>
        <w:tc>
          <w:tcPr>
            <w:tcW w:w="718" w:type="dxa"/>
            <w:tcMar>
              <w:top w:w="57" w:type="dxa"/>
              <w:left w:w="57" w:type="dxa"/>
              <w:bottom w:w="57" w:type="dxa"/>
              <w:right w:w="57" w:type="dxa"/>
            </w:tcMar>
          </w:tcPr>
          <w:p w14:paraId="329F9756" w14:textId="6B244933" w:rsidR="00D82DA3" w:rsidRPr="00DC5607" w:rsidRDefault="00D82DA3" w:rsidP="0080798B">
            <w:pPr>
              <w:rPr>
                <w:sz w:val="24"/>
                <w:szCs w:val="24"/>
              </w:rPr>
            </w:pPr>
            <w:bookmarkStart w:id="0" w:name="Text1"/>
            <w:r>
              <w:rPr>
                <w:sz w:val="24"/>
                <w:szCs w:val="24"/>
              </w:rPr>
              <w:t>28/03/20</w:t>
            </w:r>
          </w:p>
        </w:tc>
        <w:bookmarkEnd w:id="0"/>
        <w:tc>
          <w:tcPr>
            <w:tcW w:w="1419" w:type="dxa"/>
          </w:tcPr>
          <w:p w14:paraId="2F7D7A39" w14:textId="77777777" w:rsidR="00D82DA3" w:rsidRPr="00DC5607" w:rsidRDefault="00D82DA3" w:rsidP="0080798B">
            <w:pPr>
              <w:jc w:val="right"/>
              <w:rPr>
                <w:b/>
                <w:sz w:val="24"/>
                <w:szCs w:val="24"/>
              </w:rPr>
            </w:pPr>
            <w:r w:rsidRPr="00DC5607">
              <w:rPr>
                <w:b/>
                <w:sz w:val="24"/>
                <w:szCs w:val="24"/>
              </w:rPr>
              <w:t>Word count:</w:t>
            </w:r>
          </w:p>
        </w:tc>
        <w:tc>
          <w:tcPr>
            <w:tcW w:w="1406" w:type="dxa"/>
          </w:tcPr>
          <w:p w14:paraId="7BC6B2D5" w14:textId="03328115" w:rsidR="00D82DA3" w:rsidRPr="00DC5607" w:rsidRDefault="00D82DA3" w:rsidP="0080798B">
            <w:pPr>
              <w:rPr>
                <w:sz w:val="24"/>
                <w:szCs w:val="24"/>
              </w:rPr>
            </w:pPr>
            <w:r>
              <w:rPr>
                <w:sz w:val="24"/>
                <w:szCs w:val="24"/>
              </w:rPr>
              <w:t>22</w:t>
            </w:r>
            <w:r w:rsidR="00C57C3D">
              <w:rPr>
                <w:sz w:val="24"/>
                <w:szCs w:val="24"/>
              </w:rPr>
              <w:t>30</w:t>
            </w:r>
          </w:p>
        </w:tc>
      </w:tr>
      <w:tr w:rsidR="00D82DA3" w:rsidRPr="00DC5607" w14:paraId="35D1A511" w14:textId="77777777" w:rsidTr="0080798B">
        <w:trPr>
          <w:trHeight w:hRule="exact" w:val="1282"/>
        </w:trPr>
        <w:tc>
          <w:tcPr>
            <w:tcW w:w="1774" w:type="dxa"/>
            <w:tcMar>
              <w:top w:w="57" w:type="dxa"/>
              <w:left w:w="57" w:type="dxa"/>
              <w:bottom w:w="57" w:type="dxa"/>
              <w:right w:w="57" w:type="dxa"/>
            </w:tcMar>
          </w:tcPr>
          <w:p w14:paraId="5575C352" w14:textId="77777777" w:rsidR="00D82DA3" w:rsidRPr="00DC5607" w:rsidRDefault="00D82DA3" w:rsidP="0080798B">
            <w:pPr>
              <w:rPr>
                <w:b/>
                <w:sz w:val="24"/>
                <w:szCs w:val="24"/>
              </w:rPr>
            </w:pPr>
            <w:r w:rsidRPr="00DC5607">
              <w:rPr>
                <w:b/>
                <w:sz w:val="24"/>
                <w:szCs w:val="24"/>
              </w:rPr>
              <w:t>Brief essay title:</w:t>
            </w:r>
          </w:p>
        </w:tc>
        <w:tc>
          <w:tcPr>
            <w:tcW w:w="7365" w:type="dxa"/>
            <w:gridSpan w:val="5"/>
            <w:tcMar>
              <w:top w:w="57" w:type="dxa"/>
              <w:left w:w="57" w:type="dxa"/>
              <w:bottom w:w="57" w:type="dxa"/>
              <w:right w:w="57" w:type="dxa"/>
            </w:tcMar>
          </w:tcPr>
          <w:p w14:paraId="7074FCCB" w14:textId="77777777" w:rsidR="00D82DA3" w:rsidRPr="00D82DA3" w:rsidRDefault="00D82DA3" w:rsidP="00D82DA3">
            <w:pPr>
              <w:rPr>
                <w:rFonts w:ascii="Calibri" w:hAnsi="Calibri" w:cs="Calibri"/>
                <w:color w:val="0D0D0D" w:themeColor="text1" w:themeTint="F2"/>
              </w:rPr>
            </w:pPr>
            <w:r w:rsidRPr="00D82DA3">
              <w:rPr>
                <w:rFonts w:ascii="Calibri" w:hAnsi="Calibri" w:cs="Calibri"/>
                <w:color w:val="0D0D0D" w:themeColor="text1" w:themeTint="F2"/>
              </w:rPr>
              <w:t>What accounts for British decolonisation: British policy, or anti-colonial resistance?</w:t>
            </w:r>
          </w:p>
          <w:p w14:paraId="21D2FA1B" w14:textId="5C597F49" w:rsidR="00D82DA3" w:rsidRPr="00DC5607" w:rsidRDefault="00D82DA3" w:rsidP="0080798B">
            <w:pPr>
              <w:rPr>
                <w:sz w:val="24"/>
                <w:szCs w:val="24"/>
              </w:rPr>
            </w:pPr>
          </w:p>
        </w:tc>
      </w:tr>
    </w:tbl>
    <w:p w14:paraId="46B64D0D" w14:textId="77777777" w:rsidR="00D82DA3" w:rsidRPr="000514EA" w:rsidRDefault="00D82DA3" w:rsidP="00D82DA3">
      <w:pPr>
        <w:spacing w:before="240" w:after="120"/>
      </w:pPr>
      <w:r w:rsidRPr="000514EA">
        <w:rPr>
          <w:b/>
        </w:rPr>
        <w:t>Students with Dyslexia/Dyspraxia:</w:t>
      </w:r>
      <w:r w:rsidRPr="000514EA">
        <w:t xml:space="preserve"> Please tick the follow</w:t>
      </w:r>
      <w:r>
        <w:t>ing</w:t>
      </w:r>
      <w:r w:rsidRPr="000514EA">
        <w:t xml:space="preserve"> box if you are registered as dyslexic with the UCL Student Disability Services </w:t>
      </w:r>
      <w:r w:rsidRPr="000514EA">
        <w:fldChar w:fldCharType="begin">
          <w:ffData>
            <w:name w:val="Check1"/>
            <w:enabled/>
            <w:calcOnExit w:val="0"/>
            <w:checkBox>
              <w:sizeAuto/>
              <w:default w:val="0"/>
            </w:checkBox>
          </w:ffData>
        </w:fldChar>
      </w:r>
      <w:bookmarkStart w:id="1" w:name="Check1"/>
      <w:r w:rsidRPr="000514EA">
        <w:instrText xml:space="preserve"> FORMCHECKBOX </w:instrText>
      </w:r>
      <w:r>
        <w:fldChar w:fldCharType="separate"/>
      </w:r>
      <w:r w:rsidRPr="000514EA">
        <w:fldChar w:fldCharType="end"/>
      </w:r>
      <w:bookmarkEnd w:id="1"/>
      <w:r w:rsidRPr="000514EA">
        <w:t xml:space="preserve">. </w:t>
      </w:r>
    </w:p>
    <w:p w14:paraId="5AB6B753" w14:textId="77777777" w:rsidR="00D82DA3" w:rsidRPr="000514EA" w:rsidRDefault="00D82DA3" w:rsidP="00D82DA3">
      <w:pPr>
        <w:spacing w:before="240" w:after="120"/>
        <w:rPr>
          <w:i/>
        </w:rPr>
      </w:pPr>
      <w:r w:rsidRPr="000514EA">
        <w:rPr>
          <w:i/>
        </w:rPr>
        <w:t xml:space="preserve">If you have been issued with stickers to declare your dyslexia / dyspraxia, please scan the sticker or copy and paste the wording onto the bottom half of this cover sheet. </w:t>
      </w:r>
    </w:p>
    <w:p w14:paraId="2EA3CF8F" w14:textId="77777777" w:rsidR="00D82DA3" w:rsidRPr="000514EA" w:rsidRDefault="00D82DA3" w:rsidP="00D82DA3">
      <w:pPr>
        <w:spacing w:before="240" w:after="120"/>
        <w:rPr>
          <w:rFonts w:cstheme="minorHAnsi"/>
        </w:rPr>
      </w:pPr>
      <w:r w:rsidRPr="000514EA">
        <w:rPr>
          <w:rFonts w:cstheme="minorHAnsi"/>
          <w:b/>
          <w:shd w:val="clear" w:color="auto" w:fill="FFFFFF"/>
        </w:rPr>
        <w:t>Example Paper Consent (optional):</w:t>
      </w:r>
      <w:r w:rsidRPr="000514EA">
        <w:rPr>
          <w:rFonts w:cstheme="minorHAnsi"/>
          <w:shd w:val="clear" w:color="auto" w:fill="FFFFFF"/>
        </w:rPr>
        <w:t xml:space="preserve"> Please tick the following box if you consent for your work to be used by UCL History for teaching and learning purposes, including storage and publication via the virtual learning environment. Your choice will not affect the way your work is marked. Your anonymity will be preserved throughout. </w:t>
      </w:r>
      <w:r w:rsidRPr="000514EA">
        <w:rPr>
          <w:rFonts w:cstheme="minorHAnsi"/>
        </w:rPr>
        <w:fldChar w:fldCharType="begin">
          <w:ffData>
            <w:name w:val="Check1"/>
            <w:enabled/>
            <w:calcOnExit w:val="0"/>
            <w:checkBox>
              <w:sizeAuto/>
              <w:default w:val="0"/>
            </w:checkBox>
          </w:ffData>
        </w:fldChar>
      </w:r>
      <w:r w:rsidRPr="000514EA">
        <w:rPr>
          <w:rFonts w:cstheme="minorHAnsi"/>
        </w:rPr>
        <w:instrText xml:space="preserve"> FORMCHECKBOX </w:instrText>
      </w:r>
      <w:r>
        <w:rPr>
          <w:rFonts w:cstheme="minorHAnsi"/>
        </w:rPr>
      </w:r>
      <w:r>
        <w:rPr>
          <w:rFonts w:cstheme="minorHAnsi"/>
        </w:rPr>
        <w:fldChar w:fldCharType="separate"/>
      </w:r>
      <w:r w:rsidRPr="000514EA">
        <w:rPr>
          <w:rFonts w:cstheme="minorHAnsi"/>
        </w:rPr>
        <w:fldChar w:fldCharType="end"/>
      </w:r>
      <w:r w:rsidRPr="000514EA">
        <w:rPr>
          <w:rFonts w:cstheme="minorHAnsi"/>
        </w:rPr>
        <w:t>.</w:t>
      </w:r>
    </w:p>
    <w:p w14:paraId="5D5E63B5" w14:textId="77777777" w:rsidR="00D82DA3" w:rsidRDefault="00D82DA3" w:rsidP="00D82DA3">
      <w:pPr>
        <w:spacing w:before="240" w:after="120"/>
      </w:pPr>
      <w:r w:rsidRPr="000514EA">
        <w:rPr>
          <w:b/>
          <w:bCs/>
        </w:rPr>
        <w:t xml:space="preserve">Student Declaration: </w:t>
      </w:r>
      <w:r w:rsidRPr="000514EA">
        <w:t xml:space="preserve">By submitting this coursework, I confirm that the attached essay is my own work and any references made to other authors are properly acknowledged.  I have read and understand the </w:t>
      </w:r>
      <w:hyperlink r:id="rId8" w:history="1">
        <w:r w:rsidRPr="000514EA">
          <w:rPr>
            <w:rStyle w:val="Hyperlink"/>
          </w:rPr>
          <w:t>Guidance on Plagiarism</w:t>
        </w:r>
      </w:hyperlink>
      <w:r w:rsidRPr="000514EA">
        <w:t xml:space="preserve"> available on UCL’s website and the History Department’s </w:t>
      </w:r>
      <w:r>
        <w:t>Undergraduate</w:t>
      </w:r>
      <w:r w:rsidRPr="000514EA">
        <w:t xml:space="preserve"> e-handbook.  Furthermore, I confirm that the word count stated above is accurate</w:t>
      </w:r>
      <w:r>
        <w:t>.</w:t>
      </w:r>
    </w:p>
    <w:p w14:paraId="092410E4" w14:textId="77777777" w:rsidR="00D82DA3" w:rsidRPr="00E56F71" w:rsidRDefault="00530AE9" w:rsidP="00D82DA3">
      <w:r>
        <w:rPr>
          <w:noProof/>
        </w:rPr>
        <w:pict w14:anchorId="174A7915">
          <v:rect id="_x0000_i1025" alt="" style="width:412.5pt;height:.05pt;mso-width-percent:0;mso-height-percent:0;mso-width-percent:0;mso-height-percent:0" o:hrpct="914" o:hralign="center" o:hrstd="t" o:hr="t" fillcolor="#a0a0a0" stroked="f"/>
        </w:pict>
      </w:r>
    </w:p>
    <w:p w14:paraId="47A8B127" w14:textId="77777777" w:rsidR="00D82DA3" w:rsidRPr="00E56F71" w:rsidRDefault="00D82DA3" w:rsidP="00D82DA3">
      <w:pPr>
        <w:spacing w:before="120"/>
        <w:sectPr w:rsidR="00D82DA3" w:rsidRPr="00E56F71" w:rsidSect="00D60EE2">
          <w:footerReference w:type="default" r:id="rId9"/>
          <w:pgSz w:w="11906" w:h="16838"/>
          <w:pgMar w:top="1418" w:right="1418" w:bottom="1418" w:left="1418" w:header="709" w:footer="709" w:gutter="0"/>
          <w:cols w:space="708"/>
          <w:docGrid w:linePitch="360"/>
        </w:sectPr>
      </w:pPr>
    </w:p>
    <w:p w14:paraId="2DA0F318" w14:textId="6A190ADB" w:rsidR="00D82DA3" w:rsidRDefault="00D82DA3" w:rsidP="00D82DA3">
      <w:pPr>
        <w:rPr>
          <w:color w:val="FF0000"/>
        </w:rPr>
      </w:pPr>
    </w:p>
    <w:tbl>
      <w:tblPr>
        <w:tblStyle w:val="TableGrid"/>
        <w:tblW w:w="0" w:type="auto"/>
        <w:tblLook w:val="04A0" w:firstRow="1" w:lastRow="0" w:firstColumn="1" w:lastColumn="0" w:noHBand="0" w:noVBand="1"/>
      </w:tblPr>
      <w:tblGrid>
        <w:gridCol w:w="1838"/>
        <w:gridCol w:w="2670"/>
        <w:gridCol w:w="1583"/>
        <w:gridCol w:w="2925"/>
      </w:tblGrid>
      <w:tr w:rsidR="00D82DA3" w14:paraId="3485F3BC" w14:textId="77777777" w:rsidTr="0080798B">
        <w:tc>
          <w:tcPr>
            <w:tcW w:w="1838" w:type="dxa"/>
          </w:tcPr>
          <w:p w14:paraId="129AB5F7" w14:textId="77777777" w:rsidR="00D82DA3" w:rsidRDefault="00D82DA3" w:rsidP="0080798B">
            <w:pPr>
              <w:spacing w:before="120"/>
            </w:pPr>
            <w:r>
              <w:t>Student number:</w:t>
            </w:r>
          </w:p>
        </w:tc>
        <w:tc>
          <w:tcPr>
            <w:tcW w:w="2670" w:type="dxa"/>
          </w:tcPr>
          <w:p w14:paraId="54437AD4" w14:textId="4F9CBACF" w:rsidR="00D82DA3" w:rsidRDefault="00D82DA3" w:rsidP="0080798B">
            <w:pPr>
              <w:spacing w:before="120"/>
            </w:pPr>
            <w:r>
              <w:t>20001775</w:t>
            </w:r>
          </w:p>
        </w:tc>
        <w:tc>
          <w:tcPr>
            <w:tcW w:w="1583" w:type="dxa"/>
          </w:tcPr>
          <w:p w14:paraId="3BCBF666" w14:textId="77777777" w:rsidR="00D82DA3" w:rsidRDefault="00D82DA3" w:rsidP="0080798B">
            <w:pPr>
              <w:spacing w:before="120"/>
            </w:pPr>
            <w:r>
              <w:t>Module code:</w:t>
            </w:r>
          </w:p>
        </w:tc>
        <w:tc>
          <w:tcPr>
            <w:tcW w:w="2925" w:type="dxa"/>
          </w:tcPr>
          <w:p w14:paraId="1AB889AA" w14:textId="65A3B935" w:rsidR="00D82DA3" w:rsidRDefault="00D82DA3" w:rsidP="0080798B">
            <w:pPr>
              <w:spacing w:before="120"/>
            </w:pPr>
            <w:r>
              <w:t>HIST0583</w:t>
            </w:r>
          </w:p>
        </w:tc>
      </w:tr>
    </w:tbl>
    <w:p w14:paraId="11E436E3" w14:textId="77777777" w:rsidR="00D82DA3" w:rsidRDefault="00D82DA3" w:rsidP="00D82DA3">
      <w:pPr>
        <w:spacing w:before="120"/>
      </w:pPr>
    </w:p>
    <w:p w14:paraId="7B1A4FCB" w14:textId="44672B98" w:rsidR="00D82DA3" w:rsidRPr="004D1E67" w:rsidRDefault="00D82DA3" w:rsidP="00D82DA3">
      <w:pPr>
        <w:spacing w:before="120"/>
      </w:pPr>
      <w:r w:rsidRPr="004D1E67">
        <w:t xml:space="preserve">Please tick the following box if you think this coursework has been affected by the recent Covid-19 pandemic: </w:t>
      </w:r>
      <w:hyperlink r:id="rId10" w:history="1">
        <w:r w:rsidRPr="004D1E67">
          <w:rPr>
            <w:rStyle w:val="Hyperlink"/>
          </w:rPr>
          <w:t>www.ucl.ac.uk/coronavirus</w:t>
        </w:r>
      </w:hyperlink>
      <w:r w:rsidRPr="004D1E67">
        <w:t xml:space="preserve">. Your choice may affect the way your work is marked. Your anonymity will be preserved throughout.     </w:t>
      </w:r>
      <w:r>
        <w:fldChar w:fldCharType="begin">
          <w:ffData>
            <w:name w:val=""/>
            <w:enabled/>
            <w:calcOnExit w:val="0"/>
            <w:checkBox>
              <w:sizeAuto/>
              <w:default w:val="1"/>
            </w:checkBox>
          </w:ffData>
        </w:fldChar>
      </w:r>
      <w:r>
        <w:instrText xml:space="preserve"> FORMCHECKBOX </w:instrText>
      </w:r>
      <w:r>
        <w:fldChar w:fldCharType="end"/>
      </w:r>
    </w:p>
    <w:p w14:paraId="3B741AD4" w14:textId="77777777" w:rsidR="00D82DA3" w:rsidRPr="004D1E67" w:rsidRDefault="00D82DA3" w:rsidP="00D82DA3">
      <w:pPr>
        <w:spacing w:before="120"/>
      </w:pPr>
      <w:r w:rsidRPr="004D1E67">
        <w:t>If you ticked the box, please answer the questions below.</w:t>
      </w:r>
    </w:p>
    <w:p w14:paraId="7036090F" w14:textId="77777777" w:rsidR="00D82DA3" w:rsidRPr="004D1E67" w:rsidRDefault="00D82DA3" w:rsidP="00D82DA3">
      <w:pPr>
        <w:pStyle w:val="ListParagraph"/>
        <w:numPr>
          <w:ilvl w:val="0"/>
          <w:numId w:val="3"/>
        </w:numPr>
        <w:spacing w:before="120" w:after="160" w:line="259" w:lineRule="auto"/>
      </w:pPr>
      <w:r w:rsidRPr="004D1E67">
        <w:t>Were there any primary and/or secondary resources that you could not access as a result of the pandemic? If so, please list them here:</w:t>
      </w:r>
    </w:p>
    <w:tbl>
      <w:tblPr>
        <w:tblStyle w:val="TableGrid"/>
        <w:tblW w:w="0" w:type="auto"/>
        <w:tblLook w:val="04A0" w:firstRow="1" w:lastRow="0" w:firstColumn="1" w:lastColumn="0" w:noHBand="0" w:noVBand="1"/>
      </w:tblPr>
      <w:tblGrid>
        <w:gridCol w:w="9016"/>
      </w:tblGrid>
      <w:tr w:rsidR="00D82DA3" w:rsidRPr="004D1E67" w14:paraId="61673C4E" w14:textId="77777777" w:rsidTr="0080798B">
        <w:tc>
          <w:tcPr>
            <w:tcW w:w="9016" w:type="dxa"/>
          </w:tcPr>
          <w:p w14:paraId="15ECD289" w14:textId="4FCF4E01" w:rsidR="00D82DA3" w:rsidRPr="004D1E67" w:rsidRDefault="00D82DA3" w:rsidP="0080798B">
            <w:pPr>
              <w:spacing w:before="120"/>
            </w:pPr>
            <w:r>
              <w:t>British Decolonization, 1946-1997 by W. David McIntyre</w:t>
            </w:r>
          </w:p>
          <w:p w14:paraId="395583E6" w14:textId="77777777" w:rsidR="00D82DA3" w:rsidRPr="004D1E67" w:rsidRDefault="00D82DA3" w:rsidP="0080798B">
            <w:pPr>
              <w:spacing w:before="120"/>
            </w:pPr>
          </w:p>
          <w:p w14:paraId="20B1D5E3" w14:textId="77777777" w:rsidR="00D82DA3" w:rsidRPr="004D1E67" w:rsidRDefault="00D82DA3" w:rsidP="0080798B">
            <w:pPr>
              <w:spacing w:before="120"/>
            </w:pPr>
          </w:p>
        </w:tc>
      </w:tr>
    </w:tbl>
    <w:p w14:paraId="50816A2E" w14:textId="77777777" w:rsidR="00D82DA3" w:rsidRPr="004D1E67" w:rsidRDefault="00D82DA3" w:rsidP="00D82DA3">
      <w:pPr>
        <w:pStyle w:val="ListParagraph"/>
        <w:spacing w:before="120"/>
      </w:pPr>
    </w:p>
    <w:p w14:paraId="0FD34B7E" w14:textId="77777777" w:rsidR="00D82DA3" w:rsidRPr="004D1E67" w:rsidRDefault="00D82DA3" w:rsidP="00D82DA3">
      <w:pPr>
        <w:pStyle w:val="ListParagraph"/>
        <w:numPr>
          <w:ilvl w:val="0"/>
          <w:numId w:val="3"/>
        </w:numPr>
        <w:spacing w:before="120" w:after="160" w:line="259" w:lineRule="auto"/>
        <w:ind w:left="714" w:hanging="357"/>
        <w:contextualSpacing w:val="0"/>
      </w:pPr>
      <w:r w:rsidRPr="004D1E67">
        <w:t xml:space="preserve">Please explain how the pandemic has affected your ability to complete the assessment. </w:t>
      </w:r>
    </w:p>
    <w:p w14:paraId="3803E004" w14:textId="77777777" w:rsidR="00D82DA3" w:rsidRPr="004D1E67" w:rsidRDefault="00D82DA3" w:rsidP="00D82DA3">
      <w:pPr>
        <w:pStyle w:val="ListParagraph"/>
        <w:spacing w:before="120"/>
        <w:ind w:left="714"/>
        <w:contextualSpacing w:val="0"/>
        <w:rPr>
          <w:sz w:val="20"/>
          <w:szCs w:val="20"/>
        </w:rPr>
      </w:pPr>
      <w:r w:rsidRPr="004D1E67">
        <w:rPr>
          <w:sz w:val="20"/>
          <w:szCs w:val="20"/>
        </w:rPr>
        <w:t>If the structure or content are different than you had planned, please give details. If you have submitted work significantly below the word limit, please explain which section(s) you were unable to complete.</w:t>
      </w:r>
    </w:p>
    <w:tbl>
      <w:tblPr>
        <w:tblStyle w:val="TableGrid"/>
        <w:tblW w:w="0" w:type="auto"/>
        <w:tblLook w:val="04A0" w:firstRow="1" w:lastRow="0" w:firstColumn="1" w:lastColumn="0" w:noHBand="0" w:noVBand="1"/>
      </w:tblPr>
      <w:tblGrid>
        <w:gridCol w:w="9016"/>
      </w:tblGrid>
      <w:tr w:rsidR="00D82DA3" w:rsidRPr="004D1E67" w14:paraId="5EC7EEAD" w14:textId="77777777" w:rsidTr="0080798B">
        <w:tc>
          <w:tcPr>
            <w:tcW w:w="9016" w:type="dxa"/>
          </w:tcPr>
          <w:p w14:paraId="1E7E6BE2" w14:textId="424B42AD" w:rsidR="00D82DA3" w:rsidRPr="004D1E67" w:rsidRDefault="00D82DA3" w:rsidP="0080798B">
            <w:pPr>
              <w:spacing w:before="120"/>
            </w:pPr>
            <w:r>
              <w:t xml:space="preserve">Moved due date to March 31 because was unable to work on essay during travel/relocating </w:t>
            </w:r>
          </w:p>
          <w:p w14:paraId="72FD7C90" w14:textId="77777777" w:rsidR="00D82DA3" w:rsidRPr="004D1E67" w:rsidRDefault="00D82DA3" w:rsidP="0080798B">
            <w:pPr>
              <w:spacing w:before="120"/>
            </w:pPr>
          </w:p>
          <w:p w14:paraId="01A09AC0" w14:textId="77777777" w:rsidR="00D82DA3" w:rsidRPr="004D1E67" w:rsidRDefault="00D82DA3" w:rsidP="0080798B">
            <w:pPr>
              <w:spacing w:before="120"/>
            </w:pPr>
          </w:p>
          <w:p w14:paraId="095D63BD" w14:textId="77777777" w:rsidR="00D82DA3" w:rsidRPr="004D1E67" w:rsidRDefault="00D82DA3" w:rsidP="0080798B">
            <w:pPr>
              <w:spacing w:before="120"/>
            </w:pPr>
          </w:p>
        </w:tc>
      </w:tr>
    </w:tbl>
    <w:p w14:paraId="371C3DD9" w14:textId="77777777" w:rsidR="00D82DA3" w:rsidRPr="004D1E67" w:rsidRDefault="00D82DA3" w:rsidP="00D82DA3">
      <w:pPr>
        <w:spacing w:before="120"/>
      </w:pPr>
    </w:p>
    <w:p w14:paraId="517D8BA4" w14:textId="77777777" w:rsidR="00D82DA3" w:rsidRPr="004D1E67" w:rsidRDefault="00D82DA3" w:rsidP="00D82DA3">
      <w:pPr>
        <w:pStyle w:val="ListParagraph"/>
        <w:numPr>
          <w:ilvl w:val="0"/>
          <w:numId w:val="3"/>
        </w:numPr>
        <w:spacing w:before="120" w:after="160" w:line="259" w:lineRule="auto"/>
      </w:pPr>
      <w:r w:rsidRPr="004D1E67">
        <w:t>Please let us know if you have any other comments or wish to give further details.</w:t>
      </w:r>
    </w:p>
    <w:tbl>
      <w:tblPr>
        <w:tblStyle w:val="TableGrid"/>
        <w:tblW w:w="0" w:type="auto"/>
        <w:tblLook w:val="04A0" w:firstRow="1" w:lastRow="0" w:firstColumn="1" w:lastColumn="0" w:noHBand="0" w:noVBand="1"/>
      </w:tblPr>
      <w:tblGrid>
        <w:gridCol w:w="9016"/>
      </w:tblGrid>
      <w:tr w:rsidR="00D82DA3" w:rsidRPr="004D1E67" w14:paraId="10C434C6" w14:textId="77777777" w:rsidTr="0080798B">
        <w:tc>
          <w:tcPr>
            <w:tcW w:w="9016" w:type="dxa"/>
          </w:tcPr>
          <w:p w14:paraId="7432DCAC" w14:textId="2C8A5B4A" w:rsidR="00D82DA3" w:rsidRDefault="00D82DA3" w:rsidP="0080798B">
            <w:pPr>
              <w:spacing w:before="120"/>
            </w:pPr>
            <w:r>
              <w:t>NA</w:t>
            </w:r>
          </w:p>
          <w:p w14:paraId="142FD496" w14:textId="09FB4394" w:rsidR="00D82DA3" w:rsidRDefault="00D82DA3" w:rsidP="0080798B">
            <w:pPr>
              <w:spacing w:before="120"/>
            </w:pPr>
          </w:p>
          <w:p w14:paraId="075C4A61" w14:textId="7A9E14E5" w:rsidR="00D82DA3" w:rsidRDefault="00D82DA3" w:rsidP="0080798B">
            <w:pPr>
              <w:spacing w:before="120"/>
            </w:pPr>
          </w:p>
          <w:p w14:paraId="1D949519" w14:textId="682895F4" w:rsidR="00D82DA3" w:rsidRDefault="00D82DA3" w:rsidP="0080798B">
            <w:pPr>
              <w:spacing w:before="120"/>
            </w:pPr>
          </w:p>
          <w:p w14:paraId="780DA27B" w14:textId="3E1F37A7" w:rsidR="00D82DA3" w:rsidRDefault="00D82DA3" w:rsidP="0080798B">
            <w:pPr>
              <w:spacing w:before="120"/>
            </w:pPr>
          </w:p>
          <w:p w14:paraId="4EA6DBF5" w14:textId="77777777" w:rsidR="00D82DA3" w:rsidRPr="004D1E67" w:rsidRDefault="00D82DA3" w:rsidP="0080798B">
            <w:pPr>
              <w:spacing w:before="120"/>
            </w:pPr>
          </w:p>
          <w:p w14:paraId="5E48B947" w14:textId="77777777" w:rsidR="00D82DA3" w:rsidRPr="004D1E67" w:rsidRDefault="00D82DA3" w:rsidP="0080798B">
            <w:pPr>
              <w:spacing w:before="120"/>
            </w:pPr>
          </w:p>
          <w:p w14:paraId="26F8D04E" w14:textId="77777777" w:rsidR="00D82DA3" w:rsidRPr="004D1E67" w:rsidRDefault="00D82DA3" w:rsidP="0080798B">
            <w:pPr>
              <w:spacing w:before="120"/>
            </w:pPr>
          </w:p>
          <w:p w14:paraId="325C0F50" w14:textId="77777777" w:rsidR="00D82DA3" w:rsidRPr="004D1E67" w:rsidRDefault="00D82DA3" w:rsidP="0080798B">
            <w:pPr>
              <w:spacing w:before="120"/>
            </w:pPr>
          </w:p>
        </w:tc>
      </w:tr>
    </w:tbl>
    <w:p w14:paraId="5229590F" w14:textId="77777777" w:rsidR="00D82DA3" w:rsidRPr="004D1E67" w:rsidRDefault="00D82DA3" w:rsidP="00D82DA3">
      <w:pPr>
        <w:spacing w:before="120"/>
      </w:pPr>
    </w:p>
    <w:p w14:paraId="530FD0F3" w14:textId="20CFE43A" w:rsidR="00C57C3D" w:rsidRPr="00C57C3D" w:rsidRDefault="00515194" w:rsidP="00C57C3D">
      <w:pPr>
        <w:spacing w:line="480" w:lineRule="auto"/>
        <w:ind w:firstLine="720"/>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lastRenderedPageBreak/>
        <w:t xml:space="preserve">Speaking at the Lord Mayor’s Luncheon in November 1942, Winston Churchill announced that he did </w:t>
      </w:r>
      <w:r w:rsidR="00072BC9" w:rsidRPr="00C57C3D">
        <w:rPr>
          <w:rFonts w:ascii="Times New Roman" w:hAnsi="Times New Roman" w:cs="Times New Roman"/>
          <w:color w:val="0D0D0D" w:themeColor="text1" w:themeTint="F2"/>
        </w:rPr>
        <w:t>‘</w:t>
      </w:r>
      <w:r w:rsidRPr="00C57C3D">
        <w:rPr>
          <w:rFonts w:ascii="Times New Roman" w:hAnsi="Times New Roman" w:cs="Times New Roman"/>
          <w:color w:val="0D0D0D" w:themeColor="text1" w:themeTint="F2"/>
        </w:rPr>
        <w:t>not become the King’s First Minister in order to preside over the liquidation of the British Empire</w:t>
      </w:r>
      <w:r w:rsidR="00292157" w:rsidRPr="00C57C3D">
        <w:rPr>
          <w:rFonts w:ascii="Times New Roman" w:hAnsi="Times New Roman" w:cs="Times New Roman"/>
          <w:color w:val="0D0D0D" w:themeColor="text1" w:themeTint="F2"/>
        </w:rPr>
        <w:t>.</w:t>
      </w:r>
      <w:r w:rsidR="00072BC9" w:rsidRPr="00C57C3D">
        <w:rPr>
          <w:rFonts w:ascii="Times New Roman" w:hAnsi="Times New Roman" w:cs="Times New Roman"/>
          <w:color w:val="0D0D0D" w:themeColor="text1" w:themeTint="F2"/>
        </w:rPr>
        <w:t>’</w:t>
      </w:r>
      <w:r w:rsidRPr="00C57C3D">
        <w:rPr>
          <w:rStyle w:val="FootnoteReference"/>
          <w:rFonts w:ascii="Times New Roman" w:hAnsi="Times New Roman" w:cs="Times New Roman"/>
          <w:color w:val="0D0D0D" w:themeColor="text1" w:themeTint="F2"/>
        </w:rPr>
        <w:footnoteReference w:id="1"/>
      </w:r>
      <w:r w:rsidRPr="00C57C3D">
        <w:rPr>
          <w:rFonts w:ascii="Times New Roman" w:hAnsi="Times New Roman" w:cs="Times New Roman"/>
          <w:color w:val="0D0D0D" w:themeColor="text1" w:themeTint="F2"/>
        </w:rPr>
        <w:t xml:space="preserve"> </w:t>
      </w:r>
      <w:r w:rsidR="001C76CA" w:rsidRPr="00C57C3D">
        <w:rPr>
          <w:rFonts w:ascii="Times New Roman" w:hAnsi="Times New Roman" w:cs="Times New Roman"/>
          <w:color w:val="0D0D0D" w:themeColor="text1" w:themeTint="F2"/>
        </w:rPr>
        <w:t>Before</w:t>
      </w:r>
      <w:r w:rsidR="00A75CFD" w:rsidRPr="00C57C3D">
        <w:rPr>
          <w:rFonts w:ascii="Times New Roman" w:hAnsi="Times New Roman" w:cs="Times New Roman"/>
          <w:color w:val="0D0D0D" w:themeColor="text1" w:themeTint="F2"/>
        </w:rPr>
        <w:t xml:space="preserve"> the end of WWII, </w:t>
      </w:r>
      <w:r w:rsidR="001C76CA" w:rsidRPr="00C57C3D">
        <w:rPr>
          <w:rFonts w:ascii="Times New Roman" w:hAnsi="Times New Roman" w:cs="Times New Roman"/>
          <w:color w:val="0D0D0D" w:themeColor="text1" w:themeTint="F2"/>
        </w:rPr>
        <w:t xml:space="preserve">it appeared </w:t>
      </w:r>
      <w:r w:rsidR="006443F5" w:rsidRPr="00C57C3D">
        <w:rPr>
          <w:rFonts w:ascii="Times New Roman" w:hAnsi="Times New Roman" w:cs="Times New Roman"/>
          <w:color w:val="0D0D0D" w:themeColor="text1" w:themeTint="F2"/>
        </w:rPr>
        <w:t xml:space="preserve">that </w:t>
      </w:r>
      <w:r w:rsidR="00A75CFD" w:rsidRPr="00C57C3D">
        <w:rPr>
          <w:rFonts w:ascii="Times New Roman" w:hAnsi="Times New Roman" w:cs="Times New Roman"/>
          <w:color w:val="0D0D0D" w:themeColor="text1" w:themeTint="F2"/>
        </w:rPr>
        <w:t xml:space="preserve">Britain had no intention </w:t>
      </w:r>
      <w:r w:rsidR="00252516" w:rsidRPr="00C57C3D">
        <w:rPr>
          <w:rFonts w:ascii="Times New Roman" w:hAnsi="Times New Roman" w:cs="Times New Roman"/>
          <w:color w:val="0D0D0D" w:themeColor="text1" w:themeTint="F2"/>
        </w:rPr>
        <w:t xml:space="preserve">to let </w:t>
      </w:r>
      <w:r w:rsidR="00A75CFD" w:rsidRPr="00C57C3D">
        <w:rPr>
          <w:rFonts w:ascii="Times New Roman" w:hAnsi="Times New Roman" w:cs="Times New Roman"/>
          <w:color w:val="0D0D0D" w:themeColor="text1" w:themeTint="F2"/>
        </w:rPr>
        <w:t xml:space="preserve">go of its colonial assets. </w:t>
      </w:r>
      <w:r w:rsidR="001C76CA" w:rsidRPr="00C57C3D">
        <w:rPr>
          <w:rFonts w:ascii="Times New Roman" w:hAnsi="Times New Roman" w:cs="Times New Roman"/>
          <w:color w:val="0D0D0D" w:themeColor="text1" w:themeTint="F2"/>
        </w:rPr>
        <w:t xml:space="preserve">However, in the years following the end of the war, the British Empire rapidly decolonized </w:t>
      </w:r>
      <w:r w:rsidR="006443F5" w:rsidRPr="00C57C3D">
        <w:rPr>
          <w:rFonts w:ascii="Times New Roman" w:hAnsi="Times New Roman" w:cs="Times New Roman"/>
          <w:color w:val="0D0D0D" w:themeColor="text1" w:themeTint="F2"/>
        </w:rPr>
        <w:t>by granting independence to most of its</w:t>
      </w:r>
      <w:r w:rsidR="001C76CA" w:rsidRPr="00C57C3D">
        <w:rPr>
          <w:rFonts w:ascii="Times New Roman" w:hAnsi="Times New Roman" w:cs="Times New Roman"/>
          <w:color w:val="0D0D0D" w:themeColor="text1" w:themeTint="F2"/>
        </w:rPr>
        <w:t xml:space="preserve"> major colonies. </w:t>
      </w:r>
      <w:r w:rsidRPr="00C57C3D">
        <w:rPr>
          <w:rFonts w:ascii="Times New Roman" w:hAnsi="Times New Roman" w:cs="Times New Roman"/>
          <w:color w:val="0D0D0D" w:themeColor="text1" w:themeTint="F2"/>
        </w:rPr>
        <w:t xml:space="preserve">Not </w:t>
      </w:r>
      <w:r w:rsidR="00A75CFD" w:rsidRPr="00C57C3D">
        <w:rPr>
          <w:rFonts w:ascii="Times New Roman" w:hAnsi="Times New Roman" w:cs="Times New Roman"/>
          <w:color w:val="0D0D0D" w:themeColor="text1" w:themeTint="F2"/>
        </w:rPr>
        <w:t>quite</w:t>
      </w:r>
      <w:r w:rsidRPr="00C57C3D">
        <w:rPr>
          <w:rFonts w:ascii="Times New Roman" w:hAnsi="Times New Roman" w:cs="Times New Roman"/>
          <w:color w:val="0D0D0D" w:themeColor="text1" w:themeTint="F2"/>
        </w:rPr>
        <w:t xml:space="preserve"> two decades later, the Prime Minister Harold Macmillan addre</w:t>
      </w:r>
      <w:r w:rsidR="00A75CFD" w:rsidRPr="00C57C3D">
        <w:rPr>
          <w:rFonts w:ascii="Times New Roman" w:hAnsi="Times New Roman" w:cs="Times New Roman"/>
          <w:color w:val="0D0D0D" w:themeColor="text1" w:themeTint="F2"/>
        </w:rPr>
        <w:t>ssed</w:t>
      </w:r>
      <w:r w:rsidRPr="00C57C3D">
        <w:rPr>
          <w:rFonts w:ascii="Times New Roman" w:hAnsi="Times New Roman" w:cs="Times New Roman"/>
          <w:color w:val="0D0D0D" w:themeColor="text1" w:themeTint="F2"/>
        </w:rPr>
        <w:t xml:space="preserve"> the Parliament of South Africa in 1960 with his </w:t>
      </w:r>
      <w:r w:rsidRPr="00C57C3D">
        <w:rPr>
          <w:rFonts w:ascii="Times New Roman" w:hAnsi="Times New Roman" w:cs="Times New Roman"/>
          <w:i/>
          <w:iCs/>
          <w:color w:val="0D0D0D" w:themeColor="text1" w:themeTint="F2"/>
        </w:rPr>
        <w:t>Winds of Change</w:t>
      </w:r>
      <w:r w:rsidR="00072BC9" w:rsidRPr="00C57C3D">
        <w:rPr>
          <w:rFonts w:ascii="Times New Roman" w:hAnsi="Times New Roman" w:cs="Times New Roman"/>
          <w:color w:val="0D0D0D" w:themeColor="text1" w:themeTint="F2"/>
        </w:rPr>
        <w:t xml:space="preserve"> </w:t>
      </w:r>
      <w:r w:rsidRPr="00C57C3D">
        <w:rPr>
          <w:rFonts w:ascii="Times New Roman" w:hAnsi="Times New Roman" w:cs="Times New Roman"/>
          <w:color w:val="0D0D0D" w:themeColor="text1" w:themeTint="F2"/>
        </w:rPr>
        <w:t>speech,</w:t>
      </w:r>
      <w:r w:rsidR="009B446D" w:rsidRPr="00C57C3D">
        <w:rPr>
          <w:rFonts w:ascii="Times New Roman" w:hAnsi="Times New Roman" w:cs="Times New Roman"/>
          <w:color w:val="0D0D0D" w:themeColor="text1" w:themeTint="F2"/>
        </w:rPr>
        <w:t xml:space="preserve"> </w:t>
      </w:r>
      <w:r w:rsidRPr="00C57C3D">
        <w:rPr>
          <w:rFonts w:ascii="Times New Roman" w:hAnsi="Times New Roman" w:cs="Times New Roman"/>
          <w:color w:val="0D0D0D" w:themeColor="text1" w:themeTint="F2"/>
        </w:rPr>
        <w:t xml:space="preserve">stating that </w:t>
      </w:r>
      <w:r w:rsidR="00072BC9" w:rsidRPr="00C57C3D">
        <w:rPr>
          <w:rFonts w:ascii="Times New Roman" w:hAnsi="Times New Roman" w:cs="Times New Roman"/>
          <w:color w:val="0D0D0D" w:themeColor="text1" w:themeTint="F2"/>
        </w:rPr>
        <w:t>‘</w:t>
      </w:r>
      <w:r w:rsidR="00A75CFD" w:rsidRPr="00C57C3D">
        <w:rPr>
          <w:rFonts w:ascii="Times New Roman" w:hAnsi="Times New Roman" w:cs="Times New Roman"/>
          <w:color w:val="0D0D0D" w:themeColor="text1" w:themeTint="F2"/>
        </w:rPr>
        <w:t>the growth of national consciousness is a political fact</w:t>
      </w:r>
      <w:r w:rsidR="00292157" w:rsidRPr="00C57C3D">
        <w:rPr>
          <w:rFonts w:ascii="Times New Roman" w:hAnsi="Times New Roman" w:cs="Times New Roman"/>
          <w:color w:val="0D0D0D" w:themeColor="text1" w:themeTint="F2"/>
        </w:rPr>
        <w:t>.</w:t>
      </w:r>
      <w:r w:rsidR="00072BC9" w:rsidRPr="00C57C3D">
        <w:rPr>
          <w:rFonts w:ascii="Times New Roman" w:hAnsi="Times New Roman" w:cs="Times New Roman"/>
          <w:color w:val="0D0D0D" w:themeColor="text1" w:themeTint="F2"/>
        </w:rPr>
        <w:t>’</w:t>
      </w:r>
      <w:r w:rsidR="00A75CFD" w:rsidRPr="00C57C3D">
        <w:rPr>
          <w:rStyle w:val="FootnoteReference"/>
          <w:rFonts w:ascii="Times New Roman" w:hAnsi="Times New Roman" w:cs="Times New Roman"/>
          <w:color w:val="0D0D0D" w:themeColor="text1" w:themeTint="F2"/>
        </w:rPr>
        <w:footnoteReference w:id="2"/>
      </w:r>
      <w:r w:rsidR="00A75CFD" w:rsidRPr="00C57C3D">
        <w:rPr>
          <w:rFonts w:ascii="Times New Roman" w:hAnsi="Times New Roman" w:cs="Times New Roman"/>
          <w:color w:val="0D0D0D" w:themeColor="text1" w:themeTint="F2"/>
        </w:rPr>
        <w:t xml:space="preserve"> A 1957 policy review</w:t>
      </w:r>
      <w:bookmarkStart w:id="2" w:name="_GoBack"/>
      <w:bookmarkEnd w:id="2"/>
      <w:r w:rsidR="00A75CFD" w:rsidRPr="00C57C3D">
        <w:rPr>
          <w:rFonts w:ascii="Times New Roman" w:hAnsi="Times New Roman" w:cs="Times New Roman"/>
          <w:color w:val="0D0D0D" w:themeColor="text1" w:themeTint="F2"/>
        </w:rPr>
        <w:t xml:space="preserve"> </w:t>
      </w:r>
      <w:r w:rsidR="001C76CA" w:rsidRPr="00C57C3D">
        <w:rPr>
          <w:rFonts w:ascii="Times New Roman" w:hAnsi="Times New Roman" w:cs="Times New Roman"/>
          <w:color w:val="0D0D0D" w:themeColor="text1" w:themeTint="F2"/>
        </w:rPr>
        <w:t>analyzing</w:t>
      </w:r>
      <w:r w:rsidR="00A75CFD" w:rsidRPr="00C57C3D">
        <w:rPr>
          <w:rFonts w:ascii="Times New Roman" w:hAnsi="Times New Roman" w:cs="Times New Roman"/>
          <w:color w:val="0D0D0D" w:themeColor="text1" w:themeTint="F2"/>
        </w:rPr>
        <w:t xml:space="preserve"> the costs and benefits of maintaining the Empire had provided some evidence that the costs were starting to outweigh the benefits, though economic interests alone were </w:t>
      </w:r>
      <w:r w:rsidR="00072BC9" w:rsidRPr="00C57C3D">
        <w:rPr>
          <w:rFonts w:ascii="Times New Roman" w:hAnsi="Times New Roman" w:cs="Times New Roman"/>
          <w:color w:val="0D0D0D" w:themeColor="text1" w:themeTint="F2"/>
        </w:rPr>
        <w:t>‘</w:t>
      </w:r>
      <w:r w:rsidR="00A75CFD" w:rsidRPr="00C57C3D">
        <w:rPr>
          <w:rFonts w:ascii="Times New Roman" w:hAnsi="Times New Roman" w:cs="Times New Roman"/>
          <w:color w:val="0D0D0D" w:themeColor="text1" w:themeTint="F2"/>
        </w:rPr>
        <w:t>unlikely to be decisive</w:t>
      </w:r>
      <w:r w:rsidR="00072BC9" w:rsidRPr="00C57C3D">
        <w:rPr>
          <w:rFonts w:ascii="Times New Roman" w:hAnsi="Times New Roman" w:cs="Times New Roman"/>
          <w:color w:val="0D0D0D" w:themeColor="text1" w:themeTint="F2"/>
        </w:rPr>
        <w:t>’</w:t>
      </w:r>
      <w:r w:rsidR="00A75CFD" w:rsidRPr="00C57C3D">
        <w:rPr>
          <w:rFonts w:ascii="Times New Roman" w:hAnsi="Times New Roman" w:cs="Times New Roman"/>
          <w:color w:val="0D0D0D" w:themeColor="text1" w:themeTint="F2"/>
        </w:rPr>
        <w:t xml:space="preserve"> in determining whether to grant independence or not.</w:t>
      </w:r>
      <w:r w:rsidR="00A75CFD" w:rsidRPr="00C57C3D">
        <w:rPr>
          <w:rStyle w:val="FootnoteReference"/>
          <w:rFonts w:ascii="Times New Roman" w:hAnsi="Times New Roman" w:cs="Times New Roman"/>
          <w:color w:val="0D0D0D" w:themeColor="text1" w:themeTint="F2"/>
        </w:rPr>
        <w:footnoteReference w:id="3"/>
      </w:r>
      <w:r w:rsidR="001C76CA" w:rsidRPr="00C57C3D">
        <w:rPr>
          <w:rFonts w:ascii="Times New Roman" w:hAnsi="Times New Roman" w:cs="Times New Roman"/>
          <w:color w:val="0D0D0D" w:themeColor="text1" w:themeTint="F2"/>
        </w:rPr>
        <w:t xml:space="preserve"> What were the reasons</w:t>
      </w:r>
      <w:r w:rsidR="006443F5" w:rsidRPr="00C57C3D">
        <w:rPr>
          <w:rFonts w:ascii="Times New Roman" w:hAnsi="Times New Roman" w:cs="Times New Roman"/>
          <w:color w:val="0D0D0D" w:themeColor="text1" w:themeTint="F2"/>
        </w:rPr>
        <w:t xml:space="preserve"> then</w:t>
      </w:r>
      <w:r w:rsidR="001C76CA" w:rsidRPr="00C57C3D">
        <w:rPr>
          <w:rFonts w:ascii="Times New Roman" w:hAnsi="Times New Roman" w:cs="Times New Roman"/>
          <w:color w:val="0D0D0D" w:themeColor="text1" w:themeTint="F2"/>
        </w:rPr>
        <w:t xml:space="preserve"> for this relatively rapid decolonization process? </w:t>
      </w:r>
      <w:r w:rsidR="00252516" w:rsidRPr="00C57C3D">
        <w:rPr>
          <w:rFonts w:ascii="Times New Roman" w:hAnsi="Times New Roman" w:cs="Times New Roman"/>
          <w:color w:val="0D0D0D" w:themeColor="text1" w:themeTint="F2"/>
        </w:rPr>
        <w:t xml:space="preserve">Historian </w:t>
      </w:r>
      <w:r w:rsidR="00BF3F50" w:rsidRPr="00C57C3D">
        <w:rPr>
          <w:rFonts w:ascii="Times New Roman" w:hAnsi="Times New Roman" w:cs="Times New Roman"/>
          <w:color w:val="0D0D0D" w:themeColor="text1" w:themeTint="F2"/>
        </w:rPr>
        <w:t xml:space="preserve">John Darwin observed that </w:t>
      </w:r>
      <w:r w:rsidR="00072BC9" w:rsidRPr="00C57C3D">
        <w:rPr>
          <w:rFonts w:ascii="Times New Roman" w:hAnsi="Times New Roman" w:cs="Times New Roman"/>
          <w:color w:val="0D0D0D" w:themeColor="text1" w:themeTint="F2"/>
        </w:rPr>
        <w:t>‘</w:t>
      </w:r>
      <w:r w:rsidR="001C76CA" w:rsidRPr="00C57C3D">
        <w:rPr>
          <w:rFonts w:ascii="Times New Roman" w:hAnsi="Times New Roman" w:cs="Times New Roman"/>
          <w:color w:val="0D0D0D" w:themeColor="text1" w:themeTint="F2"/>
        </w:rPr>
        <w:t>before 1939 it was usual to supposed that …ultimate European control would continue indefinitely almost everywhere</w:t>
      </w:r>
      <w:r w:rsidR="00604393" w:rsidRPr="00C57C3D">
        <w:rPr>
          <w:rFonts w:ascii="Times New Roman" w:hAnsi="Times New Roman" w:cs="Times New Roman"/>
          <w:color w:val="0D0D0D" w:themeColor="text1" w:themeTint="F2"/>
        </w:rPr>
        <w:t>.</w:t>
      </w:r>
      <w:r w:rsidR="00072BC9" w:rsidRPr="00C57C3D">
        <w:rPr>
          <w:rFonts w:ascii="Times New Roman" w:hAnsi="Times New Roman" w:cs="Times New Roman"/>
          <w:color w:val="0D0D0D" w:themeColor="text1" w:themeTint="F2"/>
        </w:rPr>
        <w:t>’</w:t>
      </w:r>
      <w:r w:rsidR="00BF3F50" w:rsidRPr="00C57C3D">
        <w:rPr>
          <w:rStyle w:val="FootnoteReference"/>
          <w:rFonts w:ascii="Times New Roman" w:hAnsi="Times New Roman" w:cs="Times New Roman"/>
          <w:color w:val="0D0D0D" w:themeColor="text1" w:themeTint="F2"/>
        </w:rPr>
        <w:footnoteReference w:id="4"/>
      </w:r>
      <w:r w:rsidR="00BF3F50" w:rsidRPr="00C57C3D">
        <w:rPr>
          <w:rFonts w:ascii="Times New Roman" w:hAnsi="Times New Roman" w:cs="Times New Roman"/>
          <w:color w:val="0D0D0D" w:themeColor="text1" w:themeTint="F2"/>
        </w:rPr>
        <w:t xml:space="preserve"> </w:t>
      </w:r>
      <w:r w:rsidR="00604393" w:rsidRPr="00C57C3D">
        <w:rPr>
          <w:rFonts w:ascii="Times New Roman" w:hAnsi="Times New Roman" w:cs="Times New Roman"/>
          <w:color w:val="0D0D0D" w:themeColor="text1" w:themeTint="F2"/>
        </w:rPr>
        <w:t>However, b</w:t>
      </w:r>
      <w:r w:rsidR="00BF3F50" w:rsidRPr="00C57C3D">
        <w:rPr>
          <w:rFonts w:ascii="Times New Roman" w:hAnsi="Times New Roman" w:cs="Times New Roman"/>
          <w:color w:val="0D0D0D" w:themeColor="text1" w:themeTint="F2"/>
        </w:rPr>
        <w:t xml:space="preserve">y the 1960s and </w:t>
      </w:r>
      <w:r w:rsidR="00252516" w:rsidRPr="00C57C3D">
        <w:rPr>
          <w:rFonts w:ascii="Times New Roman" w:hAnsi="Times New Roman" w:cs="Times New Roman"/>
          <w:color w:val="0D0D0D" w:themeColor="text1" w:themeTint="F2"/>
        </w:rPr>
        <w:t xml:space="preserve">into </w:t>
      </w:r>
      <w:r w:rsidR="00BF3F50" w:rsidRPr="00C57C3D">
        <w:rPr>
          <w:rFonts w:ascii="Times New Roman" w:hAnsi="Times New Roman" w:cs="Times New Roman"/>
          <w:color w:val="0D0D0D" w:themeColor="text1" w:themeTint="F2"/>
        </w:rPr>
        <w:t>the 1970s it seemed that the process would not slow down</w:t>
      </w:r>
      <w:r w:rsidR="00252516" w:rsidRPr="00C57C3D">
        <w:rPr>
          <w:rFonts w:ascii="Times New Roman" w:hAnsi="Times New Roman" w:cs="Times New Roman"/>
          <w:color w:val="0D0D0D" w:themeColor="text1" w:themeTint="F2"/>
        </w:rPr>
        <w:t xml:space="preserve"> </w:t>
      </w:r>
      <w:r w:rsidR="00BF3F50" w:rsidRPr="00C57C3D">
        <w:rPr>
          <w:rFonts w:ascii="Times New Roman" w:hAnsi="Times New Roman" w:cs="Times New Roman"/>
          <w:color w:val="0D0D0D" w:themeColor="text1" w:themeTint="F2"/>
        </w:rPr>
        <w:t xml:space="preserve">until </w:t>
      </w:r>
      <w:r w:rsidR="00252516" w:rsidRPr="00C57C3D">
        <w:rPr>
          <w:rFonts w:ascii="Times New Roman" w:hAnsi="Times New Roman" w:cs="Times New Roman"/>
          <w:color w:val="0D0D0D" w:themeColor="text1" w:themeTint="F2"/>
        </w:rPr>
        <w:t>no colonies remained</w:t>
      </w:r>
      <w:r w:rsidR="00BF3F50" w:rsidRPr="00C57C3D">
        <w:rPr>
          <w:rFonts w:ascii="Times New Roman" w:hAnsi="Times New Roman" w:cs="Times New Roman"/>
          <w:color w:val="0D0D0D" w:themeColor="text1" w:themeTint="F2"/>
        </w:rPr>
        <w:t xml:space="preserve">. </w:t>
      </w:r>
    </w:p>
    <w:p w14:paraId="01F285B9" w14:textId="627358C3" w:rsidR="0005630E" w:rsidRDefault="001C76CA" w:rsidP="00604393">
      <w:pPr>
        <w:spacing w:line="480" w:lineRule="auto"/>
        <w:ind w:firstLine="720"/>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Ostensibly</w:t>
      </w:r>
      <w:r w:rsidR="0011458C" w:rsidRPr="00C57C3D">
        <w:rPr>
          <w:rFonts w:ascii="Times New Roman" w:hAnsi="Times New Roman" w:cs="Times New Roman"/>
          <w:color w:val="0D0D0D" w:themeColor="text1" w:themeTint="F2"/>
        </w:rPr>
        <w:t xml:space="preserve">, </w:t>
      </w:r>
      <w:r w:rsidR="001A7F54" w:rsidRPr="00C57C3D">
        <w:rPr>
          <w:rFonts w:ascii="Times New Roman" w:hAnsi="Times New Roman" w:cs="Times New Roman"/>
          <w:color w:val="0D0D0D" w:themeColor="text1" w:themeTint="F2"/>
        </w:rPr>
        <w:t>decolonization was a decision</w:t>
      </w:r>
      <w:r w:rsidR="0011458C" w:rsidRPr="00C57C3D">
        <w:rPr>
          <w:rFonts w:ascii="Times New Roman" w:hAnsi="Times New Roman" w:cs="Times New Roman"/>
          <w:color w:val="0D0D0D" w:themeColor="text1" w:themeTint="F2"/>
        </w:rPr>
        <w:t xml:space="preserve"> of British policy</w:t>
      </w:r>
      <w:r w:rsidRPr="00C57C3D">
        <w:rPr>
          <w:rFonts w:ascii="Times New Roman" w:hAnsi="Times New Roman" w:cs="Times New Roman"/>
          <w:color w:val="0D0D0D" w:themeColor="text1" w:themeTint="F2"/>
        </w:rPr>
        <w:t xml:space="preserve">, but </w:t>
      </w:r>
      <w:r w:rsidR="0011458C" w:rsidRPr="00C57C3D">
        <w:rPr>
          <w:rFonts w:ascii="Times New Roman" w:hAnsi="Times New Roman" w:cs="Times New Roman"/>
          <w:color w:val="0D0D0D" w:themeColor="text1" w:themeTint="F2"/>
        </w:rPr>
        <w:t xml:space="preserve">no </w:t>
      </w:r>
      <w:r w:rsidR="008E0769" w:rsidRPr="00C57C3D">
        <w:rPr>
          <w:rFonts w:ascii="Times New Roman" w:hAnsi="Times New Roman" w:cs="Times New Roman"/>
          <w:color w:val="0D0D0D" w:themeColor="text1" w:themeTint="F2"/>
        </w:rPr>
        <w:t xml:space="preserve">policy </w:t>
      </w:r>
      <w:r w:rsidR="0011458C" w:rsidRPr="00C57C3D">
        <w:rPr>
          <w:rFonts w:ascii="Times New Roman" w:hAnsi="Times New Roman" w:cs="Times New Roman"/>
          <w:color w:val="0D0D0D" w:themeColor="text1" w:themeTint="F2"/>
        </w:rPr>
        <w:t>decision is made without considering and being influenced by changing social, political, economic, and cultural contexts.</w:t>
      </w:r>
      <w:r w:rsidR="001A7F54" w:rsidRPr="00C57C3D">
        <w:rPr>
          <w:rFonts w:ascii="Times New Roman" w:hAnsi="Times New Roman" w:cs="Times New Roman"/>
          <w:color w:val="0D0D0D" w:themeColor="text1" w:themeTint="F2"/>
        </w:rPr>
        <w:t xml:space="preserve"> British policy did play a role in the decolonization </w:t>
      </w:r>
      <w:r w:rsidR="008E0769" w:rsidRPr="00C57C3D">
        <w:rPr>
          <w:rFonts w:ascii="Times New Roman" w:hAnsi="Times New Roman" w:cs="Times New Roman"/>
          <w:color w:val="0D0D0D" w:themeColor="text1" w:themeTint="F2"/>
        </w:rPr>
        <w:t>process,</w:t>
      </w:r>
      <w:r w:rsidR="001A7F54" w:rsidRPr="00C57C3D">
        <w:rPr>
          <w:rFonts w:ascii="Times New Roman" w:hAnsi="Times New Roman" w:cs="Times New Roman"/>
          <w:color w:val="0D0D0D" w:themeColor="text1" w:themeTint="F2"/>
        </w:rPr>
        <w:t xml:space="preserve"> but these political moves </w:t>
      </w:r>
      <w:r w:rsidR="008E0769" w:rsidRPr="00C57C3D">
        <w:rPr>
          <w:rFonts w:ascii="Times New Roman" w:hAnsi="Times New Roman" w:cs="Times New Roman"/>
          <w:color w:val="0D0D0D" w:themeColor="text1" w:themeTint="F2"/>
        </w:rPr>
        <w:t xml:space="preserve">were reactive rather than proactive, and </w:t>
      </w:r>
      <w:r w:rsidR="001A7F54" w:rsidRPr="00C57C3D">
        <w:rPr>
          <w:rFonts w:ascii="Times New Roman" w:hAnsi="Times New Roman" w:cs="Times New Roman"/>
          <w:color w:val="0D0D0D" w:themeColor="text1" w:themeTint="F2"/>
        </w:rPr>
        <w:t xml:space="preserve">were </w:t>
      </w:r>
      <w:r w:rsidR="00604393" w:rsidRPr="00C57C3D">
        <w:rPr>
          <w:rFonts w:ascii="Times New Roman" w:hAnsi="Times New Roman" w:cs="Times New Roman"/>
          <w:color w:val="0D0D0D" w:themeColor="text1" w:themeTint="F2"/>
        </w:rPr>
        <w:t>largely driven</w:t>
      </w:r>
      <w:r w:rsidR="001A7F54" w:rsidRPr="00C57C3D">
        <w:rPr>
          <w:rFonts w:ascii="Times New Roman" w:hAnsi="Times New Roman" w:cs="Times New Roman"/>
          <w:color w:val="0D0D0D" w:themeColor="text1" w:themeTint="F2"/>
        </w:rPr>
        <w:t xml:space="preserve"> in response to </w:t>
      </w:r>
      <w:r w:rsidR="00252516" w:rsidRPr="00C57C3D">
        <w:rPr>
          <w:rFonts w:ascii="Times New Roman" w:hAnsi="Times New Roman" w:cs="Times New Roman"/>
          <w:color w:val="0D0D0D" w:themeColor="text1" w:themeTint="F2"/>
        </w:rPr>
        <w:t>growing support for nationalism and the concept of nation-states</w:t>
      </w:r>
      <w:r w:rsidR="001A7F54" w:rsidRPr="00C57C3D">
        <w:rPr>
          <w:rFonts w:ascii="Times New Roman" w:hAnsi="Times New Roman" w:cs="Times New Roman"/>
          <w:color w:val="0D0D0D" w:themeColor="text1" w:themeTint="F2"/>
        </w:rPr>
        <w:t>.</w:t>
      </w:r>
      <w:r w:rsidR="008E0769" w:rsidRPr="00C57C3D">
        <w:rPr>
          <w:rFonts w:ascii="Times New Roman" w:hAnsi="Times New Roman" w:cs="Times New Roman"/>
          <w:color w:val="0D0D0D" w:themeColor="text1" w:themeTint="F2"/>
        </w:rPr>
        <w:t xml:space="preserve"> If we view the decision to withdraw or maintain British presence in the colonies as a cost benefit analysis, anti-colonial resistance </w:t>
      </w:r>
      <w:r w:rsidR="008E0769" w:rsidRPr="00C57C3D">
        <w:rPr>
          <w:rFonts w:ascii="Times New Roman" w:hAnsi="Times New Roman" w:cs="Times New Roman"/>
          <w:color w:val="0D0D0D" w:themeColor="text1" w:themeTint="F2"/>
        </w:rPr>
        <w:lastRenderedPageBreak/>
        <w:t>coupled with changing views on imperialism globally made maintaining the colonies much more costly</w:t>
      </w:r>
      <w:r w:rsidR="00604393" w:rsidRPr="00C57C3D">
        <w:rPr>
          <w:rFonts w:ascii="Times New Roman" w:hAnsi="Times New Roman" w:cs="Times New Roman"/>
          <w:color w:val="0D0D0D" w:themeColor="text1" w:themeTint="F2"/>
        </w:rPr>
        <w:t xml:space="preserve">, </w:t>
      </w:r>
      <w:r w:rsidR="008E0769" w:rsidRPr="00C57C3D">
        <w:rPr>
          <w:rFonts w:ascii="Times New Roman" w:hAnsi="Times New Roman" w:cs="Times New Roman"/>
          <w:color w:val="0D0D0D" w:themeColor="text1" w:themeTint="F2"/>
        </w:rPr>
        <w:t>politically and economically.</w:t>
      </w:r>
    </w:p>
    <w:p w14:paraId="7E212CEB" w14:textId="77777777" w:rsidR="00C57C3D" w:rsidRPr="00C57C3D" w:rsidRDefault="00C57C3D" w:rsidP="00604393">
      <w:pPr>
        <w:spacing w:line="480" w:lineRule="auto"/>
        <w:ind w:firstLine="720"/>
        <w:rPr>
          <w:rFonts w:ascii="Times New Roman" w:hAnsi="Times New Roman" w:cs="Times New Roman"/>
          <w:color w:val="0D0D0D" w:themeColor="text1" w:themeTint="F2"/>
        </w:rPr>
      </w:pPr>
    </w:p>
    <w:p w14:paraId="4682F28E" w14:textId="0CBD74A1" w:rsidR="0005630E" w:rsidRPr="00C57C3D" w:rsidRDefault="00BF3F50" w:rsidP="0005630E">
      <w:pPr>
        <w:spacing w:line="480" w:lineRule="auto"/>
        <w:ind w:firstLine="720"/>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 xml:space="preserve">Growing nationalist resistance to British rule coupled with changing international opinion led </w:t>
      </w:r>
      <w:r w:rsidR="00264103" w:rsidRPr="00C57C3D">
        <w:rPr>
          <w:rFonts w:ascii="Times New Roman" w:hAnsi="Times New Roman" w:cs="Times New Roman"/>
          <w:color w:val="0D0D0D" w:themeColor="text1" w:themeTint="F2"/>
        </w:rPr>
        <w:t xml:space="preserve">the Atlee government </w:t>
      </w:r>
      <w:r w:rsidRPr="00C57C3D">
        <w:rPr>
          <w:rFonts w:ascii="Times New Roman" w:hAnsi="Times New Roman" w:cs="Times New Roman"/>
          <w:color w:val="0D0D0D" w:themeColor="text1" w:themeTint="F2"/>
        </w:rPr>
        <w:t xml:space="preserve">to </w:t>
      </w:r>
      <w:r w:rsidR="00264103" w:rsidRPr="00C57C3D">
        <w:rPr>
          <w:rFonts w:ascii="Times New Roman" w:hAnsi="Times New Roman" w:cs="Times New Roman"/>
          <w:color w:val="0D0D0D" w:themeColor="text1" w:themeTint="F2"/>
        </w:rPr>
        <w:t>formally grant</w:t>
      </w:r>
      <w:r w:rsidR="006443F5" w:rsidRPr="00C57C3D">
        <w:rPr>
          <w:rFonts w:ascii="Times New Roman" w:hAnsi="Times New Roman" w:cs="Times New Roman"/>
          <w:color w:val="0D0D0D" w:themeColor="text1" w:themeTint="F2"/>
        </w:rPr>
        <w:t xml:space="preserve"> the </w:t>
      </w:r>
      <w:r w:rsidR="00072BC9" w:rsidRPr="00C57C3D">
        <w:rPr>
          <w:rFonts w:ascii="Times New Roman" w:hAnsi="Times New Roman" w:cs="Times New Roman"/>
          <w:color w:val="0D0D0D" w:themeColor="text1" w:themeTint="F2"/>
        </w:rPr>
        <w:t xml:space="preserve">Raj </w:t>
      </w:r>
      <w:r w:rsidR="00264103" w:rsidRPr="00C57C3D">
        <w:rPr>
          <w:rFonts w:ascii="Times New Roman" w:hAnsi="Times New Roman" w:cs="Times New Roman"/>
          <w:color w:val="0D0D0D" w:themeColor="text1" w:themeTint="F2"/>
        </w:rPr>
        <w:t>independence in 1947, creating the separate states of India and Pakistan</w:t>
      </w:r>
      <w:r w:rsidRPr="00C57C3D">
        <w:rPr>
          <w:rFonts w:ascii="Times New Roman" w:hAnsi="Times New Roman" w:cs="Times New Roman"/>
          <w:color w:val="0D0D0D" w:themeColor="text1" w:themeTint="F2"/>
        </w:rPr>
        <w:t xml:space="preserve">. </w:t>
      </w:r>
      <w:r w:rsidR="0050227D" w:rsidRPr="00C57C3D">
        <w:rPr>
          <w:rFonts w:ascii="Times New Roman" w:hAnsi="Times New Roman" w:cs="Times New Roman"/>
          <w:color w:val="0D0D0D" w:themeColor="text1" w:themeTint="F2"/>
        </w:rPr>
        <w:t xml:space="preserve">Externally, </w:t>
      </w:r>
      <w:r w:rsidR="00264103" w:rsidRPr="00C57C3D">
        <w:rPr>
          <w:rFonts w:ascii="Times New Roman" w:hAnsi="Times New Roman" w:cs="Times New Roman"/>
          <w:color w:val="0D0D0D" w:themeColor="text1" w:themeTint="F2"/>
        </w:rPr>
        <w:t xml:space="preserve">Britain’s economic and human resources </w:t>
      </w:r>
      <w:r w:rsidR="00072BC9" w:rsidRPr="00C57C3D">
        <w:rPr>
          <w:rFonts w:ascii="Times New Roman" w:hAnsi="Times New Roman" w:cs="Times New Roman"/>
          <w:color w:val="0D0D0D" w:themeColor="text1" w:themeTint="F2"/>
        </w:rPr>
        <w:t>‘</w:t>
      </w:r>
      <w:r w:rsidR="00264103" w:rsidRPr="00C57C3D">
        <w:rPr>
          <w:rFonts w:ascii="Times New Roman" w:hAnsi="Times New Roman" w:cs="Times New Roman"/>
          <w:color w:val="0D0D0D" w:themeColor="text1" w:themeTint="F2"/>
        </w:rPr>
        <w:t>were exasperated by the war effort</w:t>
      </w:r>
      <w:r w:rsidR="00072BC9" w:rsidRPr="00C57C3D">
        <w:rPr>
          <w:rFonts w:ascii="Times New Roman" w:hAnsi="Times New Roman" w:cs="Times New Roman"/>
          <w:color w:val="0D0D0D" w:themeColor="text1" w:themeTint="F2"/>
        </w:rPr>
        <w:t>’</w:t>
      </w:r>
      <w:r w:rsidR="00264103" w:rsidRPr="00C57C3D">
        <w:rPr>
          <w:rFonts w:ascii="Times New Roman" w:hAnsi="Times New Roman" w:cs="Times New Roman"/>
          <w:color w:val="0D0D0D" w:themeColor="text1" w:themeTint="F2"/>
        </w:rPr>
        <w:t xml:space="preserve"> which forced the government to re-evaluate whether continued control over India was feasible.</w:t>
      </w:r>
      <w:r w:rsidR="00264103" w:rsidRPr="00C57C3D">
        <w:rPr>
          <w:rStyle w:val="FootnoteReference"/>
          <w:rFonts w:ascii="Times New Roman" w:hAnsi="Times New Roman" w:cs="Times New Roman"/>
          <w:color w:val="0D0D0D" w:themeColor="text1" w:themeTint="F2"/>
        </w:rPr>
        <w:footnoteReference w:id="5"/>
      </w:r>
      <w:r w:rsidR="00264103" w:rsidRPr="00C57C3D">
        <w:rPr>
          <w:rFonts w:ascii="Times New Roman" w:hAnsi="Times New Roman" w:cs="Times New Roman"/>
          <w:color w:val="0D0D0D" w:themeColor="text1" w:themeTint="F2"/>
        </w:rPr>
        <w:t xml:space="preserve"> </w:t>
      </w:r>
      <w:r w:rsidR="0050227D" w:rsidRPr="00C57C3D">
        <w:rPr>
          <w:rFonts w:ascii="Times New Roman" w:hAnsi="Times New Roman" w:cs="Times New Roman"/>
          <w:color w:val="0D0D0D" w:themeColor="text1" w:themeTint="F2"/>
        </w:rPr>
        <w:t xml:space="preserve">Internally, </w:t>
      </w:r>
      <w:r w:rsidR="00252516" w:rsidRPr="00C57C3D">
        <w:rPr>
          <w:rFonts w:ascii="Times New Roman" w:hAnsi="Times New Roman" w:cs="Times New Roman"/>
          <w:color w:val="0D0D0D" w:themeColor="text1" w:themeTint="F2"/>
        </w:rPr>
        <w:t>political resistance to British occupation accumulated</w:t>
      </w:r>
      <w:r w:rsidR="003F42BE" w:rsidRPr="00C57C3D">
        <w:rPr>
          <w:rFonts w:ascii="Times New Roman" w:hAnsi="Times New Roman" w:cs="Times New Roman"/>
          <w:color w:val="0D0D0D" w:themeColor="text1" w:themeTint="F2"/>
        </w:rPr>
        <w:t>. During the Quit India campaign in 1942, most of the nationalist leadership were imprisoned.</w:t>
      </w:r>
      <w:r w:rsidR="003F42BE" w:rsidRPr="00C57C3D">
        <w:rPr>
          <w:rStyle w:val="FootnoteReference"/>
          <w:rFonts w:ascii="Times New Roman" w:hAnsi="Times New Roman" w:cs="Times New Roman"/>
          <w:color w:val="0D0D0D" w:themeColor="text1" w:themeTint="F2"/>
        </w:rPr>
        <w:footnoteReference w:id="6"/>
      </w:r>
      <w:r w:rsidR="003F42BE" w:rsidRPr="00C57C3D">
        <w:rPr>
          <w:rFonts w:ascii="Times New Roman" w:hAnsi="Times New Roman" w:cs="Times New Roman"/>
          <w:color w:val="0D0D0D" w:themeColor="text1" w:themeTint="F2"/>
        </w:rPr>
        <w:t xml:space="preserve"> Opposition to the political repression and economic conditions </w:t>
      </w:r>
      <w:r w:rsidR="006443F5" w:rsidRPr="00C57C3D">
        <w:rPr>
          <w:rFonts w:ascii="Times New Roman" w:hAnsi="Times New Roman" w:cs="Times New Roman"/>
          <w:color w:val="0D0D0D" w:themeColor="text1" w:themeTint="F2"/>
        </w:rPr>
        <w:t xml:space="preserve">in the colony </w:t>
      </w:r>
      <w:r w:rsidR="00A84353" w:rsidRPr="00C57C3D">
        <w:rPr>
          <w:rFonts w:ascii="Times New Roman" w:hAnsi="Times New Roman" w:cs="Times New Roman"/>
          <w:color w:val="0D0D0D" w:themeColor="text1" w:themeTint="F2"/>
        </w:rPr>
        <w:t>grew into Gandhi’s non-violent social movement, Swadeshi, that called for a boycott of British institutions and products.</w:t>
      </w:r>
      <w:r w:rsidR="00A84353" w:rsidRPr="00C57C3D">
        <w:rPr>
          <w:rStyle w:val="FootnoteReference"/>
          <w:rFonts w:ascii="Times New Roman" w:hAnsi="Times New Roman" w:cs="Times New Roman"/>
          <w:color w:val="0D0D0D" w:themeColor="text1" w:themeTint="F2"/>
        </w:rPr>
        <w:footnoteReference w:id="7"/>
      </w:r>
      <w:r w:rsidR="00A84353" w:rsidRPr="00C57C3D">
        <w:rPr>
          <w:rFonts w:ascii="Times New Roman" w:hAnsi="Times New Roman" w:cs="Times New Roman"/>
          <w:color w:val="0D0D0D" w:themeColor="text1" w:themeTint="F2"/>
        </w:rPr>
        <w:t xml:space="preserve"> The peak of this anti-colonial resistance was reached during WWII, and put additional strain on Britain.</w:t>
      </w:r>
      <w:r w:rsidR="0050227D" w:rsidRPr="00C57C3D">
        <w:rPr>
          <w:rFonts w:ascii="Times New Roman" w:hAnsi="Times New Roman" w:cs="Times New Roman"/>
          <w:color w:val="0D0D0D" w:themeColor="text1" w:themeTint="F2"/>
        </w:rPr>
        <w:t xml:space="preserve"> </w:t>
      </w:r>
    </w:p>
    <w:p w14:paraId="781745D0" w14:textId="59C52BC8" w:rsidR="00264103" w:rsidRDefault="00264103" w:rsidP="0005630E">
      <w:pPr>
        <w:spacing w:line="480" w:lineRule="auto"/>
        <w:ind w:firstLine="720"/>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In 1946, Prime Minister Clement Atlee stated in a speech to the House of Commons</w:t>
      </w:r>
      <w:r w:rsidR="00A84353" w:rsidRPr="00C57C3D">
        <w:rPr>
          <w:rFonts w:ascii="Times New Roman" w:hAnsi="Times New Roman" w:cs="Times New Roman"/>
          <w:color w:val="0D0D0D" w:themeColor="text1" w:themeTint="F2"/>
        </w:rPr>
        <w:t xml:space="preserve"> that India was in a </w:t>
      </w:r>
      <w:r w:rsidR="00072BC9" w:rsidRPr="00C57C3D">
        <w:rPr>
          <w:rFonts w:ascii="Times New Roman" w:hAnsi="Times New Roman" w:cs="Times New Roman"/>
          <w:color w:val="0D0D0D" w:themeColor="text1" w:themeTint="F2"/>
        </w:rPr>
        <w:t>‘</w:t>
      </w:r>
      <w:r w:rsidR="00A84353" w:rsidRPr="00C57C3D">
        <w:rPr>
          <w:rFonts w:ascii="Times New Roman" w:hAnsi="Times New Roman" w:cs="Times New Roman"/>
          <w:color w:val="0D0D0D" w:themeColor="text1" w:themeTint="F2"/>
        </w:rPr>
        <w:t>state of great tension</w:t>
      </w:r>
      <w:r w:rsidR="00072BC9" w:rsidRPr="00C57C3D">
        <w:rPr>
          <w:rFonts w:ascii="Times New Roman" w:hAnsi="Times New Roman" w:cs="Times New Roman"/>
          <w:color w:val="0D0D0D" w:themeColor="text1" w:themeTint="F2"/>
        </w:rPr>
        <w:t>’</w:t>
      </w:r>
      <w:r w:rsidR="00A84353" w:rsidRPr="00C57C3D">
        <w:rPr>
          <w:rFonts w:ascii="Times New Roman" w:hAnsi="Times New Roman" w:cs="Times New Roman"/>
          <w:color w:val="0D0D0D" w:themeColor="text1" w:themeTint="F2"/>
        </w:rPr>
        <w:t xml:space="preserve"> and that because India had </w:t>
      </w:r>
      <w:r w:rsidR="00072BC9" w:rsidRPr="00C57C3D">
        <w:rPr>
          <w:rFonts w:ascii="Times New Roman" w:hAnsi="Times New Roman" w:cs="Times New Roman"/>
          <w:color w:val="0D0D0D" w:themeColor="text1" w:themeTint="F2"/>
        </w:rPr>
        <w:t>‘</w:t>
      </w:r>
      <w:r w:rsidR="00A84353" w:rsidRPr="00C57C3D">
        <w:rPr>
          <w:rFonts w:ascii="Times New Roman" w:hAnsi="Times New Roman" w:cs="Times New Roman"/>
          <w:color w:val="0D0D0D" w:themeColor="text1" w:themeTint="F2"/>
        </w:rPr>
        <w:t>twice sent her sons to die for freedom…she should herself have freedom to decide her own destiny.</w:t>
      </w:r>
      <w:r w:rsidR="00072BC9" w:rsidRPr="00C57C3D">
        <w:rPr>
          <w:rFonts w:ascii="Times New Roman" w:hAnsi="Times New Roman" w:cs="Times New Roman"/>
          <w:color w:val="0D0D0D" w:themeColor="text1" w:themeTint="F2"/>
        </w:rPr>
        <w:t>’</w:t>
      </w:r>
      <w:r w:rsidR="00A84353" w:rsidRPr="00C57C3D">
        <w:rPr>
          <w:rStyle w:val="FootnoteReference"/>
          <w:rFonts w:ascii="Times New Roman" w:hAnsi="Times New Roman" w:cs="Times New Roman"/>
          <w:color w:val="0D0D0D" w:themeColor="text1" w:themeTint="F2"/>
        </w:rPr>
        <w:footnoteReference w:id="8"/>
      </w:r>
      <w:r w:rsidR="00A84353" w:rsidRPr="00C57C3D">
        <w:rPr>
          <w:rFonts w:ascii="Times New Roman" w:hAnsi="Times New Roman" w:cs="Times New Roman"/>
          <w:color w:val="0D0D0D" w:themeColor="text1" w:themeTint="F2"/>
        </w:rPr>
        <w:t xml:space="preserve"> </w:t>
      </w:r>
      <w:r w:rsidR="0050227D" w:rsidRPr="00C57C3D">
        <w:rPr>
          <w:rFonts w:ascii="Times New Roman" w:hAnsi="Times New Roman" w:cs="Times New Roman"/>
          <w:color w:val="0D0D0D" w:themeColor="text1" w:themeTint="F2"/>
        </w:rPr>
        <w:t xml:space="preserve">Additionally, Atlee worried that holding on to India any longer would cause world opinion to be against Britain and place them at an </w:t>
      </w:r>
      <w:r w:rsidR="00072BC9" w:rsidRPr="00C57C3D">
        <w:rPr>
          <w:rFonts w:ascii="Times New Roman" w:hAnsi="Times New Roman" w:cs="Times New Roman"/>
          <w:color w:val="0D0D0D" w:themeColor="text1" w:themeTint="F2"/>
        </w:rPr>
        <w:t>‘</w:t>
      </w:r>
      <w:r w:rsidR="0050227D" w:rsidRPr="00C57C3D">
        <w:rPr>
          <w:rFonts w:ascii="Times New Roman" w:hAnsi="Times New Roman" w:cs="Times New Roman"/>
          <w:color w:val="0D0D0D" w:themeColor="text1" w:themeTint="F2"/>
        </w:rPr>
        <w:t>impossible position</w:t>
      </w:r>
      <w:r w:rsidR="00604393" w:rsidRPr="00C57C3D">
        <w:rPr>
          <w:rFonts w:ascii="Times New Roman" w:hAnsi="Times New Roman" w:cs="Times New Roman"/>
          <w:color w:val="0D0D0D" w:themeColor="text1" w:themeTint="F2"/>
        </w:rPr>
        <w:t>.</w:t>
      </w:r>
      <w:r w:rsidR="00072BC9" w:rsidRPr="00C57C3D">
        <w:rPr>
          <w:rFonts w:ascii="Times New Roman" w:hAnsi="Times New Roman" w:cs="Times New Roman"/>
          <w:color w:val="0D0D0D" w:themeColor="text1" w:themeTint="F2"/>
        </w:rPr>
        <w:t>’</w:t>
      </w:r>
      <w:r w:rsidR="0050227D" w:rsidRPr="00C57C3D">
        <w:rPr>
          <w:rStyle w:val="FootnoteReference"/>
          <w:rFonts w:ascii="Times New Roman" w:hAnsi="Times New Roman" w:cs="Times New Roman"/>
          <w:color w:val="0D0D0D" w:themeColor="text1" w:themeTint="F2"/>
        </w:rPr>
        <w:footnoteReference w:id="9"/>
      </w:r>
      <w:r w:rsidR="00BF3F50" w:rsidRPr="00C57C3D">
        <w:rPr>
          <w:rFonts w:ascii="Times New Roman" w:hAnsi="Times New Roman" w:cs="Times New Roman"/>
          <w:color w:val="0D0D0D" w:themeColor="text1" w:themeTint="F2"/>
        </w:rPr>
        <w:t xml:space="preserve"> </w:t>
      </w:r>
      <w:r w:rsidR="00A84353" w:rsidRPr="00C57C3D">
        <w:rPr>
          <w:rFonts w:ascii="Times New Roman" w:hAnsi="Times New Roman" w:cs="Times New Roman"/>
          <w:color w:val="0D0D0D" w:themeColor="text1" w:themeTint="F2"/>
        </w:rPr>
        <w:t xml:space="preserve">As a result, in the face of </w:t>
      </w:r>
      <w:r w:rsidR="0050227D" w:rsidRPr="00C57C3D">
        <w:rPr>
          <w:rFonts w:ascii="Times New Roman" w:hAnsi="Times New Roman" w:cs="Times New Roman"/>
          <w:color w:val="0D0D0D" w:themeColor="text1" w:themeTint="F2"/>
        </w:rPr>
        <w:t xml:space="preserve">declining military power and dwindling political support, Britain could no longer deny India its prize for its </w:t>
      </w:r>
      <w:r w:rsidR="00A84353" w:rsidRPr="00C57C3D">
        <w:rPr>
          <w:rFonts w:ascii="Times New Roman" w:hAnsi="Times New Roman" w:cs="Times New Roman"/>
          <w:color w:val="0D0D0D" w:themeColor="text1" w:themeTint="F2"/>
        </w:rPr>
        <w:t>participation in the war</w:t>
      </w:r>
      <w:r w:rsidR="0050227D" w:rsidRPr="00C57C3D">
        <w:rPr>
          <w:rFonts w:ascii="Times New Roman" w:hAnsi="Times New Roman" w:cs="Times New Roman"/>
          <w:color w:val="0D0D0D" w:themeColor="text1" w:themeTint="F2"/>
        </w:rPr>
        <w:t xml:space="preserve"> and </w:t>
      </w:r>
      <w:r w:rsidR="00A84353" w:rsidRPr="00C57C3D">
        <w:rPr>
          <w:rFonts w:ascii="Times New Roman" w:hAnsi="Times New Roman" w:cs="Times New Roman"/>
          <w:color w:val="0D0D0D" w:themeColor="text1" w:themeTint="F2"/>
        </w:rPr>
        <w:t xml:space="preserve">had no choice but to </w:t>
      </w:r>
      <w:r w:rsidR="00072BC9" w:rsidRPr="00C57C3D">
        <w:rPr>
          <w:rFonts w:ascii="Times New Roman" w:hAnsi="Times New Roman" w:cs="Times New Roman"/>
          <w:color w:val="0D0D0D" w:themeColor="text1" w:themeTint="F2"/>
        </w:rPr>
        <w:t>‘</w:t>
      </w:r>
      <w:r w:rsidR="00A84353" w:rsidRPr="00C57C3D">
        <w:rPr>
          <w:rFonts w:ascii="Times New Roman" w:hAnsi="Times New Roman" w:cs="Times New Roman"/>
          <w:color w:val="0D0D0D" w:themeColor="text1" w:themeTint="F2"/>
        </w:rPr>
        <w:t>help [India] attain that freedo</w:t>
      </w:r>
      <w:r w:rsidR="003F42BE" w:rsidRPr="00C57C3D">
        <w:rPr>
          <w:rFonts w:ascii="Times New Roman" w:hAnsi="Times New Roman" w:cs="Times New Roman"/>
          <w:color w:val="0D0D0D" w:themeColor="text1" w:themeTint="F2"/>
        </w:rPr>
        <w:t>m</w:t>
      </w:r>
      <w:r w:rsidR="006443F5" w:rsidRPr="00C57C3D">
        <w:rPr>
          <w:rFonts w:ascii="Times New Roman" w:hAnsi="Times New Roman" w:cs="Times New Roman"/>
          <w:color w:val="0D0D0D" w:themeColor="text1" w:themeTint="F2"/>
        </w:rPr>
        <w:t>.</w:t>
      </w:r>
      <w:r w:rsidR="00072BC9" w:rsidRPr="00C57C3D">
        <w:rPr>
          <w:rFonts w:ascii="Times New Roman" w:hAnsi="Times New Roman" w:cs="Times New Roman"/>
          <w:color w:val="0D0D0D" w:themeColor="text1" w:themeTint="F2"/>
        </w:rPr>
        <w:t>’</w:t>
      </w:r>
      <w:r w:rsidR="00A84353" w:rsidRPr="00C57C3D">
        <w:rPr>
          <w:rStyle w:val="FootnoteReference"/>
          <w:rFonts w:ascii="Times New Roman" w:hAnsi="Times New Roman" w:cs="Times New Roman"/>
          <w:color w:val="0D0D0D" w:themeColor="text1" w:themeTint="F2"/>
        </w:rPr>
        <w:footnoteReference w:id="10"/>
      </w:r>
      <w:r w:rsidR="003F42BE" w:rsidRPr="00C57C3D">
        <w:rPr>
          <w:rFonts w:ascii="Times New Roman" w:hAnsi="Times New Roman" w:cs="Times New Roman"/>
          <w:color w:val="0D0D0D" w:themeColor="text1" w:themeTint="F2"/>
        </w:rPr>
        <w:t xml:space="preserve"> Professor David Sanders notes </w:t>
      </w:r>
      <w:r w:rsidR="003F42BE" w:rsidRPr="00C57C3D">
        <w:rPr>
          <w:rFonts w:ascii="Times New Roman" w:hAnsi="Times New Roman" w:cs="Times New Roman"/>
          <w:color w:val="0D0D0D" w:themeColor="text1" w:themeTint="F2"/>
        </w:rPr>
        <w:lastRenderedPageBreak/>
        <w:t xml:space="preserve">that the Atlee government </w:t>
      </w:r>
      <w:r w:rsidR="00072BC9" w:rsidRPr="00C57C3D">
        <w:rPr>
          <w:rFonts w:ascii="Times New Roman" w:hAnsi="Times New Roman" w:cs="Times New Roman"/>
          <w:color w:val="0D0D0D" w:themeColor="text1" w:themeTint="F2"/>
        </w:rPr>
        <w:t>‘</w:t>
      </w:r>
      <w:r w:rsidR="003F42BE" w:rsidRPr="00C57C3D">
        <w:rPr>
          <w:rFonts w:ascii="Times New Roman" w:hAnsi="Times New Roman" w:cs="Times New Roman"/>
          <w:color w:val="0D0D0D" w:themeColor="text1" w:themeTint="F2"/>
        </w:rPr>
        <w:t>had recognized that the Raj could not be preserved in the face of continued and growing nationalist-inspired civil disorder.</w:t>
      </w:r>
      <w:r w:rsidR="00072BC9" w:rsidRPr="00C57C3D">
        <w:rPr>
          <w:rFonts w:ascii="Times New Roman" w:hAnsi="Times New Roman" w:cs="Times New Roman"/>
          <w:color w:val="0D0D0D" w:themeColor="text1" w:themeTint="F2"/>
        </w:rPr>
        <w:t>’</w:t>
      </w:r>
      <w:r w:rsidR="003F42BE" w:rsidRPr="00C57C3D">
        <w:rPr>
          <w:rStyle w:val="FootnoteReference"/>
          <w:rFonts w:ascii="Times New Roman" w:hAnsi="Times New Roman" w:cs="Times New Roman"/>
          <w:color w:val="0D0D0D" w:themeColor="text1" w:themeTint="F2"/>
        </w:rPr>
        <w:footnoteReference w:id="11"/>
      </w:r>
      <w:r w:rsidR="003F42BE" w:rsidRPr="00C57C3D">
        <w:rPr>
          <w:rFonts w:ascii="Times New Roman" w:hAnsi="Times New Roman" w:cs="Times New Roman"/>
          <w:color w:val="0D0D0D" w:themeColor="text1" w:themeTint="F2"/>
        </w:rPr>
        <w:t xml:space="preserve"> The existence of such anti-colonial resistance in the Raj made it much more costly to retain the colony, and only provided more reason for Britain to relinquish control.</w:t>
      </w:r>
    </w:p>
    <w:p w14:paraId="7C2D6D98" w14:textId="77777777" w:rsidR="00C57C3D" w:rsidRPr="00C57C3D" w:rsidRDefault="00C57C3D" w:rsidP="0005630E">
      <w:pPr>
        <w:spacing w:line="480" w:lineRule="auto"/>
        <w:ind w:firstLine="720"/>
        <w:rPr>
          <w:rFonts w:ascii="Times New Roman" w:hAnsi="Times New Roman" w:cs="Times New Roman"/>
          <w:color w:val="0D0D0D" w:themeColor="text1" w:themeTint="F2"/>
        </w:rPr>
      </w:pPr>
    </w:p>
    <w:p w14:paraId="555639A7" w14:textId="68EA7CBE" w:rsidR="0005630E" w:rsidRPr="00C57C3D" w:rsidRDefault="00722DA4" w:rsidP="00072BC9">
      <w:pPr>
        <w:spacing w:line="480" w:lineRule="auto"/>
        <w:ind w:firstLine="720"/>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 xml:space="preserve">In South East Asia, British policy attempted to maintain </w:t>
      </w:r>
      <w:r w:rsidR="003F42BE" w:rsidRPr="00C57C3D">
        <w:rPr>
          <w:rFonts w:ascii="Times New Roman" w:hAnsi="Times New Roman" w:cs="Times New Roman"/>
          <w:color w:val="0D0D0D" w:themeColor="text1" w:themeTint="F2"/>
        </w:rPr>
        <w:t>t</w:t>
      </w:r>
      <w:r w:rsidRPr="00C57C3D">
        <w:rPr>
          <w:rFonts w:ascii="Times New Roman" w:hAnsi="Times New Roman" w:cs="Times New Roman"/>
          <w:color w:val="0D0D0D" w:themeColor="text1" w:themeTint="F2"/>
        </w:rPr>
        <w:t>rade and geopolitical interests, but ultimately w</w:t>
      </w:r>
      <w:r w:rsidR="006443F5" w:rsidRPr="00C57C3D">
        <w:rPr>
          <w:rFonts w:ascii="Times New Roman" w:hAnsi="Times New Roman" w:cs="Times New Roman"/>
          <w:color w:val="0D0D0D" w:themeColor="text1" w:themeTint="F2"/>
        </w:rPr>
        <w:t>as</w:t>
      </w:r>
      <w:r w:rsidRPr="00C57C3D">
        <w:rPr>
          <w:rFonts w:ascii="Times New Roman" w:hAnsi="Times New Roman" w:cs="Times New Roman"/>
          <w:color w:val="0D0D0D" w:themeColor="text1" w:themeTint="F2"/>
        </w:rPr>
        <w:t xml:space="preserve"> </w:t>
      </w:r>
      <w:r w:rsidR="003F42BE" w:rsidRPr="00C57C3D">
        <w:rPr>
          <w:rFonts w:ascii="Times New Roman" w:hAnsi="Times New Roman" w:cs="Times New Roman"/>
          <w:color w:val="0D0D0D" w:themeColor="text1" w:themeTint="F2"/>
        </w:rPr>
        <w:t xml:space="preserve">influenced by </w:t>
      </w:r>
      <w:r w:rsidRPr="00C57C3D">
        <w:rPr>
          <w:rFonts w:ascii="Times New Roman" w:hAnsi="Times New Roman" w:cs="Times New Roman"/>
          <w:color w:val="0D0D0D" w:themeColor="text1" w:themeTint="F2"/>
        </w:rPr>
        <w:t xml:space="preserve">various factors including anti-colonial resistance and changing </w:t>
      </w:r>
      <w:r w:rsidR="001A3218" w:rsidRPr="00C57C3D">
        <w:rPr>
          <w:rFonts w:ascii="Times New Roman" w:hAnsi="Times New Roman" w:cs="Times New Roman"/>
          <w:color w:val="0D0D0D" w:themeColor="text1" w:themeTint="F2"/>
        </w:rPr>
        <w:t>international</w:t>
      </w:r>
      <w:r w:rsidRPr="00C57C3D">
        <w:rPr>
          <w:rFonts w:ascii="Times New Roman" w:hAnsi="Times New Roman" w:cs="Times New Roman"/>
          <w:color w:val="0D0D0D" w:themeColor="text1" w:themeTint="F2"/>
        </w:rPr>
        <w:t xml:space="preserve"> views on the strength of British imperialism. </w:t>
      </w:r>
      <w:r w:rsidR="00956BB7" w:rsidRPr="00C57C3D">
        <w:rPr>
          <w:rFonts w:ascii="Times New Roman" w:hAnsi="Times New Roman" w:cs="Times New Roman"/>
          <w:color w:val="0D0D0D" w:themeColor="text1" w:themeTint="F2"/>
        </w:rPr>
        <w:t xml:space="preserve">Malaya was especially important to Britain because of its dollar-earnings and Singapore was </w:t>
      </w:r>
      <w:r w:rsidR="006443F5" w:rsidRPr="00C57C3D">
        <w:rPr>
          <w:rFonts w:ascii="Times New Roman" w:hAnsi="Times New Roman" w:cs="Times New Roman"/>
          <w:color w:val="0D0D0D" w:themeColor="text1" w:themeTint="F2"/>
        </w:rPr>
        <w:t xml:space="preserve">equally important </w:t>
      </w:r>
      <w:r w:rsidR="00956BB7" w:rsidRPr="00C57C3D">
        <w:rPr>
          <w:rFonts w:ascii="Times New Roman" w:hAnsi="Times New Roman" w:cs="Times New Roman"/>
          <w:color w:val="0D0D0D" w:themeColor="text1" w:themeTint="F2"/>
        </w:rPr>
        <w:t>because of its strategically located naval base.</w:t>
      </w:r>
      <w:r w:rsidR="00956BB7" w:rsidRPr="00C57C3D">
        <w:rPr>
          <w:rStyle w:val="FootnoteReference"/>
          <w:rFonts w:ascii="Times New Roman" w:hAnsi="Times New Roman" w:cs="Times New Roman"/>
          <w:color w:val="0D0D0D" w:themeColor="text1" w:themeTint="F2"/>
        </w:rPr>
        <w:footnoteReference w:id="12"/>
      </w:r>
      <w:r w:rsidR="00956BB7" w:rsidRPr="00C57C3D">
        <w:rPr>
          <w:rFonts w:ascii="Times New Roman" w:hAnsi="Times New Roman" w:cs="Times New Roman"/>
          <w:color w:val="0D0D0D" w:themeColor="text1" w:themeTint="F2"/>
        </w:rPr>
        <w:t xml:space="preserve"> In terms of British policy, </w:t>
      </w:r>
      <w:r w:rsidR="006443F5" w:rsidRPr="00C57C3D">
        <w:rPr>
          <w:rFonts w:ascii="Times New Roman" w:hAnsi="Times New Roman" w:cs="Times New Roman"/>
          <w:color w:val="0D0D0D" w:themeColor="text1" w:themeTint="F2"/>
        </w:rPr>
        <w:t xml:space="preserve">a </w:t>
      </w:r>
      <w:r w:rsidR="00956BB7" w:rsidRPr="00C57C3D">
        <w:rPr>
          <w:rFonts w:ascii="Times New Roman" w:hAnsi="Times New Roman" w:cs="Times New Roman"/>
          <w:color w:val="0D0D0D" w:themeColor="text1" w:themeTint="F2"/>
        </w:rPr>
        <w:t xml:space="preserve">beneficial </w:t>
      </w:r>
      <w:r w:rsidR="006443F5" w:rsidRPr="00C57C3D">
        <w:rPr>
          <w:rFonts w:ascii="Times New Roman" w:hAnsi="Times New Roman" w:cs="Times New Roman"/>
          <w:color w:val="0D0D0D" w:themeColor="text1" w:themeTint="F2"/>
        </w:rPr>
        <w:t xml:space="preserve">strategy at the time </w:t>
      </w:r>
      <w:r w:rsidR="00604393" w:rsidRPr="00C57C3D">
        <w:rPr>
          <w:rFonts w:ascii="Times New Roman" w:hAnsi="Times New Roman" w:cs="Times New Roman"/>
          <w:color w:val="0D0D0D" w:themeColor="text1" w:themeTint="F2"/>
        </w:rPr>
        <w:t xml:space="preserve">was </w:t>
      </w:r>
      <w:r w:rsidR="00956BB7" w:rsidRPr="00C57C3D">
        <w:rPr>
          <w:rFonts w:ascii="Times New Roman" w:hAnsi="Times New Roman" w:cs="Times New Roman"/>
          <w:color w:val="0D0D0D" w:themeColor="text1" w:themeTint="F2"/>
        </w:rPr>
        <w:t>to maintain the colonies</w:t>
      </w:r>
      <w:r w:rsidR="0005630E" w:rsidRPr="00C57C3D">
        <w:rPr>
          <w:rFonts w:ascii="Times New Roman" w:hAnsi="Times New Roman" w:cs="Times New Roman"/>
          <w:color w:val="0D0D0D" w:themeColor="text1" w:themeTint="F2"/>
        </w:rPr>
        <w:t xml:space="preserve"> </w:t>
      </w:r>
      <w:r w:rsidR="00604393" w:rsidRPr="00C57C3D">
        <w:rPr>
          <w:rFonts w:ascii="Times New Roman" w:hAnsi="Times New Roman" w:cs="Times New Roman"/>
          <w:color w:val="0D0D0D" w:themeColor="text1" w:themeTint="F2"/>
        </w:rPr>
        <w:t>in order to</w:t>
      </w:r>
      <w:r w:rsidR="0005630E" w:rsidRPr="00C57C3D">
        <w:rPr>
          <w:rFonts w:ascii="Times New Roman" w:hAnsi="Times New Roman" w:cs="Times New Roman"/>
          <w:color w:val="0D0D0D" w:themeColor="text1" w:themeTint="F2"/>
        </w:rPr>
        <w:t xml:space="preserve"> raise money and contain </w:t>
      </w:r>
      <w:r w:rsidR="006443F5" w:rsidRPr="00C57C3D">
        <w:rPr>
          <w:rFonts w:ascii="Times New Roman" w:hAnsi="Times New Roman" w:cs="Times New Roman"/>
          <w:color w:val="0D0D0D" w:themeColor="text1" w:themeTint="F2"/>
        </w:rPr>
        <w:t xml:space="preserve">the spread of </w:t>
      </w:r>
      <w:r w:rsidR="0005630E" w:rsidRPr="00C57C3D">
        <w:rPr>
          <w:rFonts w:ascii="Times New Roman" w:hAnsi="Times New Roman" w:cs="Times New Roman"/>
          <w:color w:val="0D0D0D" w:themeColor="text1" w:themeTint="F2"/>
        </w:rPr>
        <w:t>communism</w:t>
      </w:r>
      <w:r w:rsidR="00956BB7" w:rsidRPr="00C57C3D">
        <w:rPr>
          <w:rFonts w:ascii="Times New Roman" w:hAnsi="Times New Roman" w:cs="Times New Roman"/>
          <w:color w:val="0D0D0D" w:themeColor="text1" w:themeTint="F2"/>
        </w:rPr>
        <w:t>.</w:t>
      </w:r>
      <w:r w:rsidR="0005630E" w:rsidRPr="00C57C3D">
        <w:rPr>
          <w:rStyle w:val="FootnoteReference"/>
          <w:rFonts w:ascii="Times New Roman" w:hAnsi="Times New Roman" w:cs="Times New Roman"/>
          <w:color w:val="0D0D0D" w:themeColor="text1" w:themeTint="F2"/>
        </w:rPr>
        <w:footnoteReference w:id="13"/>
      </w:r>
      <w:r w:rsidR="00956BB7" w:rsidRPr="00C57C3D">
        <w:rPr>
          <w:rFonts w:ascii="Times New Roman" w:hAnsi="Times New Roman" w:cs="Times New Roman"/>
          <w:color w:val="0D0D0D" w:themeColor="text1" w:themeTint="F2"/>
        </w:rPr>
        <w:t xml:space="preserve"> </w:t>
      </w:r>
      <w:r w:rsidR="001A3218" w:rsidRPr="00C57C3D">
        <w:rPr>
          <w:rFonts w:ascii="Times New Roman" w:hAnsi="Times New Roman" w:cs="Times New Roman"/>
          <w:color w:val="0D0D0D" w:themeColor="text1" w:themeTint="F2"/>
        </w:rPr>
        <w:t>Governor-General of Malaya in 1946</w:t>
      </w:r>
      <w:r w:rsidR="00604393" w:rsidRPr="00C57C3D">
        <w:rPr>
          <w:rFonts w:ascii="Times New Roman" w:hAnsi="Times New Roman" w:cs="Times New Roman"/>
          <w:color w:val="0D0D0D" w:themeColor="text1" w:themeTint="F2"/>
        </w:rPr>
        <w:t xml:space="preserve">, </w:t>
      </w:r>
      <w:r w:rsidR="001A3218" w:rsidRPr="00C57C3D">
        <w:rPr>
          <w:rFonts w:ascii="Times New Roman" w:hAnsi="Times New Roman" w:cs="Times New Roman"/>
          <w:color w:val="0D0D0D" w:themeColor="text1" w:themeTint="F2"/>
        </w:rPr>
        <w:t>Malcom MacDonald</w:t>
      </w:r>
      <w:r w:rsidR="00604393" w:rsidRPr="00C57C3D">
        <w:rPr>
          <w:rFonts w:ascii="Times New Roman" w:hAnsi="Times New Roman" w:cs="Times New Roman"/>
          <w:color w:val="0D0D0D" w:themeColor="text1" w:themeTint="F2"/>
        </w:rPr>
        <w:t>,</w:t>
      </w:r>
      <w:r w:rsidR="001A3218" w:rsidRPr="00C57C3D">
        <w:rPr>
          <w:rFonts w:ascii="Times New Roman" w:hAnsi="Times New Roman" w:cs="Times New Roman"/>
          <w:color w:val="0D0D0D" w:themeColor="text1" w:themeTint="F2"/>
        </w:rPr>
        <w:t xml:space="preserve"> stated that there was a need to </w:t>
      </w:r>
      <w:r w:rsidR="00072BC9" w:rsidRPr="00C57C3D">
        <w:rPr>
          <w:rFonts w:ascii="Times New Roman" w:hAnsi="Times New Roman" w:cs="Times New Roman"/>
          <w:color w:val="0D0D0D" w:themeColor="text1" w:themeTint="F2"/>
        </w:rPr>
        <w:t>‘</w:t>
      </w:r>
      <w:r w:rsidR="001A3218" w:rsidRPr="00C57C3D">
        <w:rPr>
          <w:rFonts w:ascii="Times New Roman" w:hAnsi="Times New Roman" w:cs="Times New Roman"/>
          <w:color w:val="0D0D0D" w:themeColor="text1" w:themeTint="F2"/>
        </w:rPr>
        <w:t>maintain full trust in British leadership in this region.</w:t>
      </w:r>
      <w:r w:rsidR="00072BC9" w:rsidRPr="00C57C3D">
        <w:rPr>
          <w:rFonts w:ascii="Times New Roman" w:hAnsi="Times New Roman" w:cs="Times New Roman"/>
          <w:color w:val="0D0D0D" w:themeColor="text1" w:themeTint="F2"/>
        </w:rPr>
        <w:t>’</w:t>
      </w:r>
      <w:r w:rsidR="001A3218" w:rsidRPr="00C57C3D">
        <w:rPr>
          <w:rStyle w:val="FootnoteReference"/>
          <w:rFonts w:ascii="Times New Roman" w:hAnsi="Times New Roman" w:cs="Times New Roman"/>
          <w:color w:val="0D0D0D" w:themeColor="text1" w:themeTint="F2"/>
        </w:rPr>
        <w:footnoteReference w:id="14"/>
      </w:r>
      <w:r w:rsidR="001A3218" w:rsidRPr="00C57C3D">
        <w:rPr>
          <w:rFonts w:ascii="Times New Roman" w:hAnsi="Times New Roman" w:cs="Times New Roman"/>
          <w:color w:val="0D0D0D" w:themeColor="text1" w:themeTint="F2"/>
        </w:rPr>
        <w:t xml:space="preserve"> In 1948, a guerilla war called the Malayan Emergency was fought against communist forces as Britain strived to maintain its assets in the region.</w:t>
      </w:r>
      <w:r w:rsidR="001A3218" w:rsidRPr="00C57C3D">
        <w:rPr>
          <w:rStyle w:val="FootnoteReference"/>
          <w:rFonts w:ascii="Times New Roman" w:hAnsi="Times New Roman" w:cs="Times New Roman"/>
          <w:color w:val="0D0D0D" w:themeColor="text1" w:themeTint="F2"/>
        </w:rPr>
        <w:footnoteReference w:id="15"/>
      </w:r>
      <w:r w:rsidR="00956BB7" w:rsidRPr="00C57C3D">
        <w:rPr>
          <w:rFonts w:ascii="Times New Roman" w:hAnsi="Times New Roman" w:cs="Times New Roman"/>
          <w:color w:val="0D0D0D" w:themeColor="text1" w:themeTint="F2"/>
        </w:rPr>
        <w:t xml:space="preserve"> </w:t>
      </w:r>
      <w:r w:rsidR="006443F5" w:rsidRPr="00C57C3D">
        <w:rPr>
          <w:rFonts w:ascii="Times New Roman" w:hAnsi="Times New Roman" w:cs="Times New Roman"/>
          <w:color w:val="0D0D0D" w:themeColor="text1" w:themeTint="F2"/>
        </w:rPr>
        <w:t xml:space="preserve">Following, Atlee declared in 1949 that </w:t>
      </w:r>
      <w:r w:rsidR="00072BC9" w:rsidRPr="00C57C3D">
        <w:rPr>
          <w:rFonts w:ascii="Times New Roman" w:hAnsi="Times New Roman" w:cs="Times New Roman"/>
          <w:color w:val="0D0D0D" w:themeColor="text1" w:themeTint="F2"/>
        </w:rPr>
        <w:t>‘</w:t>
      </w:r>
      <w:r w:rsidR="006443F5" w:rsidRPr="00C57C3D">
        <w:rPr>
          <w:rFonts w:ascii="Times New Roman" w:hAnsi="Times New Roman" w:cs="Times New Roman"/>
          <w:color w:val="0D0D0D" w:themeColor="text1" w:themeTint="F2"/>
        </w:rPr>
        <w:t>Britain’s ultimate goal</w:t>
      </w:r>
      <w:r w:rsidR="00072BC9" w:rsidRPr="00C57C3D">
        <w:rPr>
          <w:rFonts w:ascii="Times New Roman" w:hAnsi="Times New Roman" w:cs="Times New Roman"/>
          <w:color w:val="0D0D0D" w:themeColor="text1" w:themeTint="F2"/>
        </w:rPr>
        <w:t>’</w:t>
      </w:r>
      <w:r w:rsidR="006443F5" w:rsidRPr="00C57C3D">
        <w:rPr>
          <w:rFonts w:ascii="Times New Roman" w:hAnsi="Times New Roman" w:cs="Times New Roman"/>
          <w:color w:val="0D0D0D" w:themeColor="text1" w:themeTint="F2"/>
        </w:rPr>
        <w:t xml:space="preserve"> was Malayan self-government and promise</w:t>
      </w:r>
      <w:r w:rsidR="00072BC9" w:rsidRPr="00C57C3D">
        <w:rPr>
          <w:rFonts w:ascii="Times New Roman" w:hAnsi="Times New Roman" w:cs="Times New Roman"/>
          <w:color w:val="0D0D0D" w:themeColor="text1" w:themeTint="F2"/>
        </w:rPr>
        <w:t>d</w:t>
      </w:r>
      <w:r w:rsidR="006443F5" w:rsidRPr="00C57C3D">
        <w:rPr>
          <w:rFonts w:ascii="Times New Roman" w:hAnsi="Times New Roman" w:cs="Times New Roman"/>
          <w:color w:val="0D0D0D" w:themeColor="text1" w:themeTint="F2"/>
        </w:rPr>
        <w:t xml:space="preserve"> that there would not be a premature withdrawal.</w:t>
      </w:r>
      <w:r w:rsidR="006443F5" w:rsidRPr="00C57C3D">
        <w:rPr>
          <w:rStyle w:val="FootnoteReference"/>
          <w:rFonts w:ascii="Times New Roman" w:hAnsi="Times New Roman" w:cs="Times New Roman"/>
          <w:color w:val="0D0D0D" w:themeColor="text1" w:themeTint="F2"/>
        </w:rPr>
        <w:footnoteReference w:id="16"/>
      </w:r>
      <w:r w:rsidR="006443F5" w:rsidRPr="00C57C3D">
        <w:rPr>
          <w:rFonts w:ascii="Times New Roman" w:hAnsi="Times New Roman" w:cs="Times New Roman"/>
          <w:color w:val="0D0D0D" w:themeColor="text1" w:themeTint="F2"/>
        </w:rPr>
        <w:t xml:space="preserve"> These sentiments all indicate that at the time, Britain was not considering relinquishing control </w:t>
      </w:r>
      <w:r w:rsidR="00604393" w:rsidRPr="00C57C3D">
        <w:rPr>
          <w:rFonts w:ascii="Times New Roman" w:hAnsi="Times New Roman" w:cs="Times New Roman"/>
          <w:color w:val="0D0D0D" w:themeColor="text1" w:themeTint="F2"/>
        </w:rPr>
        <w:t>and instead found both economic and political benefit in the region.</w:t>
      </w:r>
    </w:p>
    <w:p w14:paraId="5762FAEE" w14:textId="75D26D88" w:rsidR="00956BB7" w:rsidRDefault="00956BB7" w:rsidP="0005630E">
      <w:pPr>
        <w:spacing w:line="480" w:lineRule="auto"/>
        <w:ind w:firstLine="720"/>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lastRenderedPageBreak/>
        <w:t xml:space="preserve">However, suffering losses in Hong Kong, Malaya, Singapore, and Burma during the war to the Japanese </w:t>
      </w:r>
      <w:r w:rsidR="00072BC9" w:rsidRPr="00C57C3D">
        <w:rPr>
          <w:rFonts w:ascii="Times New Roman" w:hAnsi="Times New Roman" w:cs="Times New Roman"/>
          <w:color w:val="0D0D0D" w:themeColor="text1" w:themeTint="F2"/>
        </w:rPr>
        <w:t>‘</w:t>
      </w:r>
      <w:r w:rsidRPr="00C57C3D">
        <w:rPr>
          <w:rFonts w:ascii="Times New Roman" w:hAnsi="Times New Roman" w:cs="Times New Roman"/>
          <w:color w:val="0D0D0D" w:themeColor="text1" w:themeTint="F2"/>
        </w:rPr>
        <w:t>undermined the myth of European invincibility</w:t>
      </w:r>
      <w:r w:rsidR="00072BC9" w:rsidRPr="00C57C3D">
        <w:rPr>
          <w:rFonts w:ascii="Times New Roman" w:hAnsi="Times New Roman" w:cs="Times New Roman"/>
          <w:color w:val="0D0D0D" w:themeColor="text1" w:themeTint="F2"/>
        </w:rPr>
        <w:t>’</w:t>
      </w:r>
      <w:r w:rsidRPr="00C57C3D">
        <w:rPr>
          <w:rFonts w:ascii="Times New Roman" w:hAnsi="Times New Roman" w:cs="Times New Roman"/>
          <w:color w:val="0D0D0D" w:themeColor="text1" w:themeTint="F2"/>
        </w:rPr>
        <w:t xml:space="preserve"> and destroyed Britain’s </w:t>
      </w:r>
      <w:r w:rsidR="00072BC9" w:rsidRPr="00C57C3D">
        <w:rPr>
          <w:rFonts w:ascii="Times New Roman" w:hAnsi="Times New Roman" w:cs="Times New Roman"/>
          <w:color w:val="0D0D0D" w:themeColor="text1" w:themeTint="F2"/>
        </w:rPr>
        <w:t>‘</w:t>
      </w:r>
      <w:r w:rsidRPr="00C57C3D">
        <w:rPr>
          <w:rFonts w:ascii="Times New Roman" w:hAnsi="Times New Roman" w:cs="Times New Roman"/>
          <w:color w:val="0D0D0D" w:themeColor="text1" w:themeTint="F2"/>
        </w:rPr>
        <w:t>pretense of prestige.</w:t>
      </w:r>
      <w:r w:rsidR="00072BC9" w:rsidRPr="00C57C3D">
        <w:rPr>
          <w:rFonts w:ascii="Times New Roman" w:hAnsi="Times New Roman" w:cs="Times New Roman"/>
          <w:color w:val="0D0D0D" w:themeColor="text1" w:themeTint="F2"/>
        </w:rPr>
        <w:t>’</w:t>
      </w:r>
      <w:r w:rsidRPr="00C57C3D">
        <w:rPr>
          <w:rStyle w:val="FootnoteReference"/>
          <w:rFonts w:ascii="Times New Roman" w:hAnsi="Times New Roman" w:cs="Times New Roman"/>
          <w:color w:val="0D0D0D" w:themeColor="text1" w:themeTint="F2"/>
        </w:rPr>
        <w:footnoteReference w:id="17"/>
      </w:r>
      <w:r w:rsidR="0005630E" w:rsidRPr="00C57C3D">
        <w:rPr>
          <w:rFonts w:ascii="Times New Roman" w:hAnsi="Times New Roman" w:cs="Times New Roman"/>
          <w:color w:val="0D0D0D" w:themeColor="text1" w:themeTint="F2"/>
        </w:rPr>
        <w:t xml:space="preserve"> As a result of the Japanese occupation, </w:t>
      </w:r>
      <w:r w:rsidR="00072BC9" w:rsidRPr="00C57C3D">
        <w:rPr>
          <w:rFonts w:ascii="Times New Roman" w:hAnsi="Times New Roman" w:cs="Times New Roman"/>
          <w:color w:val="0D0D0D" w:themeColor="text1" w:themeTint="F2"/>
        </w:rPr>
        <w:t>‘</w:t>
      </w:r>
      <w:r w:rsidR="0005630E" w:rsidRPr="00C57C3D">
        <w:rPr>
          <w:rFonts w:ascii="Times New Roman" w:hAnsi="Times New Roman" w:cs="Times New Roman"/>
          <w:color w:val="0D0D0D" w:themeColor="text1" w:themeTint="F2"/>
        </w:rPr>
        <w:t>Malay nationalism, in all its forms, was to acquire renewed vigor</w:t>
      </w:r>
      <w:r w:rsidR="00072BC9" w:rsidRPr="00C57C3D">
        <w:rPr>
          <w:rFonts w:ascii="Times New Roman" w:hAnsi="Times New Roman" w:cs="Times New Roman"/>
          <w:color w:val="0D0D0D" w:themeColor="text1" w:themeTint="F2"/>
        </w:rPr>
        <w:t>’</w:t>
      </w:r>
      <w:r w:rsidR="0005630E" w:rsidRPr="00C57C3D">
        <w:rPr>
          <w:rFonts w:ascii="Times New Roman" w:hAnsi="Times New Roman" w:cs="Times New Roman"/>
          <w:color w:val="0D0D0D" w:themeColor="text1" w:themeTint="F2"/>
        </w:rPr>
        <w:t xml:space="preserve"> and British plans for colonial reorganization provided </w:t>
      </w:r>
      <w:r w:rsidR="00072BC9" w:rsidRPr="00C57C3D">
        <w:rPr>
          <w:rFonts w:ascii="Times New Roman" w:hAnsi="Times New Roman" w:cs="Times New Roman"/>
          <w:color w:val="0D0D0D" w:themeColor="text1" w:themeTint="F2"/>
        </w:rPr>
        <w:t>‘</w:t>
      </w:r>
      <w:r w:rsidR="0005630E" w:rsidRPr="00C57C3D">
        <w:rPr>
          <w:rFonts w:ascii="Times New Roman" w:hAnsi="Times New Roman" w:cs="Times New Roman"/>
          <w:color w:val="0D0D0D" w:themeColor="text1" w:themeTint="F2"/>
        </w:rPr>
        <w:t>widespread anger and discontent</w:t>
      </w:r>
      <w:r w:rsidR="00604393" w:rsidRPr="00C57C3D">
        <w:rPr>
          <w:rFonts w:ascii="Times New Roman" w:hAnsi="Times New Roman" w:cs="Times New Roman"/>
          <w:color w:val="0D0D0D" w:themeColor="text1" w:themeTint="F2"/>
        </w:rPr>
        <w:t>.</w:t>
      </w:r>
      <w:r w:rsidR="00072BC9" w:rsidRPr="00C57C3D">
        <w:rPr>
          <w:rFonts w:ascii="Times New Roman" w:hAnsi="Times New Roman" w:cs="Times New Roman"/>
          <w:color w:val="0D0D0D" w:themeColor="text1" w:themeTint="F2"/>
        </w:rPr>
        <w:t>’</w:t>
      </w:r>
      <w:r w:rsidR="0005630E" w:rsidRPr="00C57C3D">
        <w:rPr>
          <w:rStyle w:val="FootnoteReference"/>
          <w:rFonts w:ascii="Times New Roman" w:hAnsi="Times New Roman" w:cs="Times New Roman"/>
          <w:color w:val="0D0D0D" w:themeColor="text1" w:themeTint="F2"/>
        </w:rPr>
        <w:footnoteReference w:id="18"/>
      </w:r>
      <w:r w:rsidR="0005630E" w:rsidRPr="00C57C3D">
        <w:rPr>
          <w:rFonts w:ascii="Times New Roman" w:hAnsi="Times New Roman" w:cs="Times New Roman"/>
          <w:color w:val="0D0D0D" w:themeColor="text1" w:themeTint="F2"/>
        </w:rPr>
        <w:t xml:space="preserve"> Because of these growing nationalist forces and the loss of British prestige, local groups and governance gained power and eventually made it more costly for Britain to maintain control.</w:t>
      </w:r>
    </w:p>
    <w:p w14:paraId="24C0EA6D" w14:textId="77777777" w:rsidR="00C57C3D" w:rsidRPr="00C57C3D" w:rsidRDefault="00C57C3D" w:rsidP="0005630E">
      <w:pPr>
        <w:spacing w:line="480" w:lineRule="auto"/>
        <w:ind w:firstLine="720"/>
        <w:rPr>
          <w:rFonts w:ascii="Times New Roman" w:hAnsi="Times New Roman" w:cs="Times New Roman"/>
          <w:color w:val="0D0D0D" w:themeColor="text1" w:themeTint="F2"/>
        </w:rPr>
      </w:pPr>
    </w:p>
    <w:p w14:paraId="1C8CCC7A" w14:textId="6C231A94" w:rsidR="00D74389" w:rsidRPr="00C57C3D" w:rsidRDefault="0005630E" w:rsidP="00BF3F50">
      <w:pPr>
        <w:spacing w:line="480" w:lineRule="auto"/>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ab/>
        <w:t>Similarly, British control in the Middle East was more</w:t>
      </w:r>
      <w:r w:rsidR="0099746F" w:rsidRPr="00C57C3D">
        <w:rPr>
          <w:rFonts w:ascii="Times New Roman" w:hAnsi="Times New Roman" w:cs="Times New Roman"/>
          <w:color w:val="0D0D0D" w:themeColor="text1" w:themeTint="F2"/>
        </w:rPr>
        <w:t xml:space="preserve"> of a</w:t>
      </w:r>
      <w:r w:rsidRPr="00C57C3D">
        <w:rPr>
          <w:rFonts w:ascii="Times New Roman" w:hAnsi="Times New Roman" w:cs="Times New Roman"/>
          <w:color w:val="0D0D0D" w:themeColor="text1" w:themeTint="F2"/>
        </w:rPr>
        <w:t xml:space="preserve"> reluctant withdraw forced by international conditions and resistance rather than a voluntary choice. </w:t>
      </w:r>
      <w:r w:rsidR="0076695E" w:rsidRPr="00C57C3D">
        <w:rPr>
          <w:rFonts w:ascii="Times New Roman" w:hAnsi="Times New Roman" w:cs="Times New Roman"/>
          <w:color w:val="0D0D0D" w:themeColor="text1" w:themeTint="F2"/>
        </w:rPr>
        <w:t xml:space="preserve">Foreign Secretary </w:t>
      </w:r>
      <w:r w:rsidR="001A3218" w:rsidRPr="00C57C3D">
        <w:rPr>
          <w:rFonts w:ascii="Times New Roman" w:hAnsi="Times New Roman" w:cs="Times New Roman"/>
          <w:color w:val="0D0D0D" w:themeColor="text1" w:themeTint="F2"/>
        </w:rPr>
        <w:t xml:space="preserve">Ernest Bevin stated in 1949 that the Middle East was an </w:t>
      </w:r>
      <w:r w:rsidR="00072BC9" w:rsidRPr="00C57C3D">
        <w:rPr>
          <w:rFonts w:ascii="Times New Roman" w:hAnsi="Times New Roman" w:cs="Times New Roman"/>
          <w:color w:val="0D0D0D" w:themeColor="text1" w:themeTint="F2"/>
        </w:rPr>
        <w:t>‘</w:t>
      </w:r>
      <w:r w:rsidR="001A3218" w:rsidRPr="00C57C3D">
        <w:rPr>
          <w:rFonts w:ascii="Times New Roman" w:hAnsi="Times New Roman" w:cs="Times New Roman"/>
          <w:color w:val="0D0D0D" w:themeColor="text1" w:themeTint="F2"/>
        </w:rPr>
        <w:t>area of cardinal importance</w:t>
      </w:r>
      <w:r w:rsidR="00072BC9" w:rsidRPr="00C57C3D">
        <w:rPr>
          <w:rFonts w:ascii="Times New Roman" w:hAnsi="Times New Roman" w:cs="Times New Roman"/>
          <w:color w:val="0D0D0D" w:themeColor="text1" w:themeTint="F2"/>
        </w:rPr>
        <w:t>’</w:t>
      </w:r>
      <w:r w:rsidR="001A3218" w:rsidRPr="00C57C3D">
        <w:rPr>
          <w:rFonts w:ascii="Times New Roman" w:hAnsi="Times New Roman" w:cs="Times New Roman"/>
          <w:color w:val="0D0D0D" w:themeColor="text1" w:themeTint="F2"/>
        </w:rPr>
        <w:t xml:space="preserve"> as it was a point of communication, a source of oil, and an offensive base for the Empire.</w:t>
      </w:r>
      <w:r w:rsidR="0099746F" w:rsidRPr="00C57C3D">
        <w:rPr>
          <w:rStyle w:val="FootnoteReference"/>
          <w:rFonts w:ascii="Times New Roman" w:hAnsi="Times New Roman" w:cs="Times New Roman"/>
          <w:color w:val="0D0D0D" w:themeColor="text1" w:themeTint="F2"/>
        </w:rPr>
        <w:footnoteReference w:id="19"/>
      </w:r>
      <w:r w:rsidR="0099746F" w:rsidRPr="00C57C3D">
        <w:rPr>
          <w:rFonts w:ascii="Times New Roman" w:hAnsi="Times New Roman" w:cs="Times New Roman"/>
          <w:color w:val="0D0D0D" w:themeColor="text1" w:themeTint="F2"/>
        </w:rPr>
        <w:t xml:space="preserve"> Britain was overtly in favor of maintaining its role as an imperial power </w:t>
      </w:r>
      <w:r w:rsidR="00604393" w:rsidRPr="00C57C3D">
        <w:rPr>
          <w:rFonts w:ascii="Times New Roman" w:hAnsi="Times New Roman" w:cs="Times New Roman"/>
          <w:color w:val="0D0D0D" w:themeColor="text1" w:themeTint="F2"/>
        </w:rPr>
        <w:t xml:space="preserve">in </w:t>
      </w:r>
      <w:r w:rsidR="0099746F" w:rsidRPr="00C57C3D">
        <w:rPr>
          <w:rFonts w:ascii="Times New Roman" w:hAnsi="Times New Roman" w:cs="Times New Roman"/>
          <w:color w:val="0D0D0D" w:themeColor="text1" w:themeTint="F2"/>
        </w:rPr>
        <w:t>the Middle East through various policies such as the Baghdad Pact in 1955 which was a pro-Western defense alliance.</w:t>
      </w:r>
      <w:r w:rsidR="0099746F" w:rsidRPr="00C57C3D">
        <w:rPr>
          <w:rStyle w:val="FootnoteReference"/>
          <w:rFonts w:ascii="Times New Roman" w:hAnsi="Times New Roman" w:cs="Times New Roman"/>
          <w:color w:val="0D0D0D" w:themeColor="text1" w:themeTint="F2"/>
        </w:rPr>
        <w:footnoteReference w:id="20"/>
      </w:r>
      <w:r w:rsidR="0099746F" w:rsidRPr="00C57C3D">
        <w:rPr>
          <w:rFonts w:ascii="Times New Roman" w:hAnsi="Times New Roman" w:cs="Times New Roman"/>
          <w:color w:val="0D0D0D" w:themeColor="text1" w:themeTint="F2"/>
        </w:rPr>
        <w:t xml:space="preserve"> Even as attempts to maintain control culminated in the Suez Crisis of 1956, British decision makers continued to defend their interests in the region through the 1960s</w:t>
      </w:r>
      <w:r w:rsidR="00D74389" w:rsidRPr="00C57C3D">
        <w:rPr>
          <w:rFonts w:ascii="Times New Roman" w:hAnsi="Times New Roman" w:cs="Times New Roman"/>
          <w:color w:val="0D0D0D" w:themeColor="text1" w:themeTint="F2"/>
        </w:rPr>
        <w:t xml:space="preserve"> by </w:t>
      </w:r>
      <w:r w:rsidR="0099746F" w:rsidRPr="00C57C3D">
        <w:rPr>
          <w:rFonts w:ascii="Times New Roman" w:hAnsi="Times New Roman" w:cs="Times New Roman"/>
          <w:color w:val="0D0D0D" w:themeColor="text1" w:themeTint="F2"/>
        </w:rPr>
        <w:t>conducting military operations in both Yemen</w:t>
      </w:r>
      <w:r w:rsidR="00D74389" w:rsidRPr="00C57C3D">
        <w:rPr>
          <w:rFonts w:ascii="Times New Roman" w:hAnsi="Times New Roman" w:cs="Times New Roman"/>
          <w:color w:val="0D0D0D" w:themeColor="text1" w:themeTint="F2"/>
        </w:rPr>
        <w:t xml:space="preserve"> and Kuwait.</w:t>
      </w:r>
      <w:r w:rsidR="0099746F" w:rsidRPr="00C57C3D">
        <w:rPr>
          <w:rStyle w:val="FootnoteReference"/>
          <w:rFonts w:ascii="Times New Roman" w:hAnsi="Times New Roman" w:cs="Times New Roman"/>
          <w:color w:val="0D0D0D" w:themeColor="text1" w:themeTint="F2"/>
        </w:rPr>
        <w:footnoteReference w:id="21"/>
      </w:r>
      <w:r w:rsidR="0099746F" w:rsidRPr="00C57C3D">
        <w:rPr>
          <w:rFonts w:ascii="Times New Roman" w:hAnsi="Times New Roman" w:cs="Times New Roman"/>
          <w:color w:val="0D0D0D" w:themeColor="text1" w:themeTint="F2"/>
        </w:rPr>
        <w:t xml:space="preserve"> </w:t>
      </w:r>
    </w:p>
    <w:p w14:paraId="35434C66" w14:textId="17EE205B" w:rsidR="001A3218" w:rsidRDefault="00D74389" w:rsidP="00D74389">
      <w:pPr>
        <w:spacing w:line="480" w:lineRule="auto"/>
        <w:ind w:firstLine="720"/>
        <w:rPr>
          <w:rFonts w:ascii="Times New Roman" w:eastAsia="Times New Roman" w:hAnsi="Times New Roman" w:cs="Times New Roman"/>
          <w:color w:val="0D0D0D" w:themeColor="text1" w:themeTint="F2"/>
        </w:rPr>
      </w:pPr>
      <w:r w:rsidRPr="00C57C3D">
        <w:rPr>
          <w:rFonts w:ascii="Times New Roman" w:hAnsi="Times New Roman" w:cs="Times New Roman"/>
          <w:color w:val="0D0D0D" w:themeColor="text1" w:themeTint="F2"/>
        </w:rPr>
        <w:t xml:space="preserve">Despite the desire to maintain a British presence in the region, growing nationalism and opposition forced Britain to reconsider its position. </w:t>
      </w:r>
      <w:r w:rsidR="006D16E1" w:rsidRPr="00C57C3D">
        <w:rPr>
          <w:rFonts w:ascii="Times New Roman" w:eastAsia="Times New Roman" w:hAnsi="Times New Roman" w:cs="Times New Roman"/>
          <w:color w:val="0D0D0D" w:themeColor="text1" w:themeTint="F2"/>
        </w:rPr>
        <w:t xml:space="preserve">Reflecting at the beginning of 1957 on the </w:t>
      </w:r>
      <w:r w:rsidR="006D16E1" w:rsidRPr="00C57C3D">
        <w:rPr>
          <w:rFonts w:ascii="Times New Roman" w:eastAsia="Times New Roman" w:hAnsi="Times New Roman" w:cs="Times New Roman"/>
          <w:color w:val="0D0D0D" w:themeColor="text1" w:themeTint="F2"/>
        </w:rPr>
        <w:lastRenderedPageBreak/>
        <w:t xml:space="preserve">growth of nationalism and xenophobia in the Arab world, </w:t>
      </w:r>
      <w:r w:rsidR="007663FB" w:rsidRPr="00C57C3D">
        <w:rPr>
          <w:rFonts w:ascii="Times New Roman" w:eastAsia="Times New Roman" w:hAnsi="Times New Roman" w:cs="Times New Roman"/>
          <w:color w:val="0D0D0D" w:themeColor="text1" w:themeTint="F2"/>
        </w:rPr>
        <w:t xml:space="preserve">British ambassador Sir Michael </w:t>
      </w:r>
      <w:r w:rsidR="006D16E1" w:rsidRPr="00C57C3D">
        <w:rPr>
          <w:rFonts w:ascii="Times New Roman" w:eastAsia="Times New Roman" w:hAnsi="Times New Roman" w:cs="Times New Roman"/>
          <w:color w:val="0D0D0D" w:themeColor="text1" w:themeTint="F2"/>
        </w:rPr>
        <w:t xml:space="preserve">Wright indicated that the British presence in the Gulf was widely regarded as </w:t>
      </w:r>
      <w:r w:rsidR="00072BC9" w:rsidRPr="00C57C3D">
        <w:rPr>
          <w:rFonts w:ascii="Times New Roman" w:eastAsia="Times New Roman" w:hAnsi="Times New Roman" w:cs="Times New Roman"/>
          <w:color w:val="0D0D0D" w:themeColor="text1" w:themeTint="F2"/>
        </w:rPr>
        <w:t>‘</w:t>
      </w:r>
      <w:r w:rsidR="006D16E1" w:rsidRPr="00C57C3D">
        <w:rPr>
          <w:rFonts w:ascii="Times New Roman" w:eastAsia="Times New Roman" w:hAnsi="Times New Roman" w:cs="Times New Roman"/>
          <w:color w:val="0D0D0D" w:themeColor="text1" w:themeTint="F2"/>
        </w:rPr>
        <w:t>imperialistic and anachronistic</w:t>
      </w:r>
      <w:r w:rsidR="00072BC9" w:rsidRPr="00C57C3D">
        <w:rPr>
          <w:rFonts w:ascii="Times New Roman" w:eastAsia="Times New Roman" w:hAnsi="Times New Roman" w:cs="Times New Roman"/>
          <w:color w:val="0D0D0D" w:themeColor="text1" w:themeTint="F2"/>
        </w:rPr>
        <w:t>’</w:t>
      </w:r>
      <w:r w:rsidR="006D16E1" w:rsidRPr="00C57C3D">
        <w:rPr>
          <w:rFonts w:ascii="Times New Roman" w:eastAsia="Times New Roman" w:hAnsi="Times New Roman" w:cs="Times New Roman"/>
          <w:color w:val="0D0D0D" w:themeColor="text1" w:themeTint="F2"/>
        </w:rPr>
        <w:t xml:space="preserve">, and that if Britain did not take a </w:t>
      </w:r>
      <w:r w:rsidR="00072BC9" w:rsidRPr="00C57C3D">
        <w:rPr>
          <w:rFonts w:ascii="Times New Roman" w:eastAsia="Times New Roman" w:hAnsi="Times New Roman" w:cs="Times New Roman"/>
          <w:color w:val="0D0D0D" w:themeColor="text1" w:themeTint="F2"/>
        </w:rPr>
        <w:t>‘</w:t>
      </w:r>
      <w:r w:rsidR="006D16E1" w:rsidRPr="00C57C3D">
        <w:rPr>
          <w:rFonts w:ascii="Times New Roman" w:eastAsia="Times New Roman" w:hAnsi="Times New Roman" w:cs="Times New Roman"/>
          <w:color w:val="0D0D0D" w:themeColor="text1" w:themeTint="F2"/>
        </w:rPr>
        <w:t>new line</w:t>
      </w:r>
      <w:r w:rsidR="00072BC9" w:rsidRPr="00C57C3D">
        <w:rPr>
          <w:rFonts w:ascii="Times New Roman" w:eastAsia="Times New Roman" w:hAnsi="Times New Roman" w:cs="Times New Roman"/>
          <w:color w:val="0D0D0D" w:themeColor="text1" w:themeTint="F2"/>
        </w:rPr>
        <w:t>’</w:t>
      </w:r>
      <w:r w:rsidR="006D16E1" w:rsidRPr="00C57C3D">
        <w:rPr>
          <w:rFonts w:ascii="Times New Roman" w:eastAsia="Times New Roman" w:hAnsi="Times New Roman" w:cs="Times New Roman"/>
          <w:color w:val="0D0D0D" w:themeColor="text1" w:themeTint="F2"/>
        </w:rPr>
        <w:t xml:space="preserve"> it would </w:t>
      </w:r>
      <w:r w:rsidR="00072BC9" w:rsidRPr="00C57C3D">
        <w:rPr>
          <w:rFonts w:ascii="Times New Roman" w:eastAsia="Times New Roman" w:hAnsi="Times New Roman" w:cs="Times New Roman"/>
          <w:color w:val="0D0D0D" w:themeColor="text1" w:themeTint="F2"/>
        </w:rPr>
        <w:t>‘</w:t>
      </w:r>
      <w:r w:rsidR="006D16E1" w:rsidRPr="00C57C3D">
        <w:rPr>
          <w:rFonts w:ascii="Times New Roman" w:eastAsia="Times New Roman" w:hAnsi="Times New Roman" w:cs="Times New Roman"/>
          <w:color w:val="0D0D0D" w:themeColor="text1" w:themeTint="F2"/>
        </w:rPr>
        <w:t>risk being charged with clinging to the past</w:t>
      </w:r>
      <w:r w:rsidR="00604393" w:rsidRPr="00C57C3D">
        <w:rPr>
          <w:rFonts w:ascii="Times New Roman" w:eastAsia="Times New Roman" w:hAnsi="Times New Roman" w:cs="Times New Roman"/>
          <w:color w:val="0D0D0D" w:themeColor="text1" w:themeTint="F2"/>
        </w:rPr>
        <w:t>.</w:t>
      </w:r>
      <w:r w:rsidR="00072BC9" w:rsidRPr="00C57C3D">
        <w:rPr>
          <w:rFonts w:ascii="Times New Roman" w:eastAsia="Times New Roman" w:hAnsi="Times New Roman" w:cs="Times New Roman"/>
          <w:color w:val="0D0D0D" w:themeColor="text1" w:themeTint="F2"/>
        </w:rPr>
        <w:t>’</w:t>
      </w:r>
      <w:r w:rsidR="001A3218" w:rsidRPr="00C57C3D">
        <w:rPr>
          <w:rStyle w:val="FootnoteReference"/>
          <w:rFonts w:ascii="Times New Roman" w:eastAsia="Times New Roman" w:hAnsi="Times New Roman" w:cs="Times New Roman"/>
          <w:color w:val="0D0D0D" w:themeColor="text1" w:themeTint="F2"/>
        </w:rPr>
        <w:footnoteReference w:id="22"/>
      </w:r>
      <w:r w:rsidR="00684160" w:rsidRPr="00C57C3D">
        <w:rPr>
          <w:rFonts w:ascii="Times New Roman" w:eastAsia="Times New Roman" w:hAnsi="Times New Roman" w:cs="Times New Roman"/>
          <w:color w:val="0D0D0D" w:themeColor="text1" w:themeTint="F2"/>
        </w:rPr>
        <w:t xml:space="preserve"> </w:t>
      </w:r>
      <w:r w:rsidR="00FF2A73" w:rsidRPr="00C57C3D">
        <w:rPr>
          <w:rFonts w:ascii="Times New Roman" w:eastAsia="Times New Roman" w:hAnsi="Times New Roman" w:cs="Times New Roman"/>
          <w:color w:val="0D0D0D" w:themeColor="text1" w:themeTint="F2"/>
        </w:rPr>
        <w:t xml:space="preserve">In Egypt, anti-imperialist Egyptian Free Officers seized power with a coup </w:t>
      </w:r>
      <w:r w:rsidR="00B02DD5" w:rsidRPr="00C57C3D">
        <w:rPr>
          <w:rFonts w:ascii="Times New Roman" w:eastAsia="Times New Roman" w:hAnsi="Times New Roman" w:cs="Times New Roman"/>
          <w:color w:val="0D0D0D" w:themeColor="text1" w:themeTint="F2"/>
        </w:rPr>
        <w:t xml:space="preserve">d’état </w:t>
      </w:r>
      <w:r w:rsidR="00FF2A73" w:rsidRPr="00C57C3D">
        <w:rPr>
          <w:rFonts w:ascii="Times New Roman" w:eastAsia="Times New Roman" w:hAnsi="Times New Roman" w:cs="Times New Roman"/>
          <w:color w:val="0D0D0D" w:themeColor="text1" w:themeTint="F2"/>
        </w:rPr>
        <w:t>led by Colonel Gamal Nassar in 1952.</w:t>
      </w:r>
      <w:r w:rsidR="00FF2A73" w:rsidRPr="00C57C3D">
        <w:rPr>
          <w:rStyle w:val="FootnoteReference"/>
          <w:rFonts w:ascii="Times New Roman" w:eastAsia="Times New Roman" w:hAnsi="Times New Roman" w:cs="Times New Roman"/>
          <w:color w:val="0D0D0D" w:themeColor="text1" w:themeTint="F2"/>
        </w:rPr>
        <w:footnoteReference w:id="23"/>
      </w:r>
      <w:r w:rsidR="00B02DD5" w:rsidRPr="00C57C3D">
        <w:rPr>
          <w:rFonts w:ascii="Times New Roman" w:eastAsia="Times New Roman" w:hAnsi="Times New Roman" w:cs="Times New Roman"/>
          <w:color w:val="0D0D0D" w:themeColor="text1" w:themeTint="F2"/>
        </w:rPr>
        <w:t xml:space="preserve"> </w:t>
      </w:r>
      <w:r w:rsidR="00FF2A73" w:rsidRPr="00C57C3D">
        <w:rPr>
          <w:rFonts w:ascii="Times New Roman" w:eastAsia="Times New Roman" w:hAnsi="Times New Roman" w:cs="Times New Roman"/>
          <w:color w:val="0D0D0D" w:themeColor="text1" w:themeTint="F2"/>
        </w:rPr>
        <w:t>After this coup, Britain agreed to withdraw its troops and did so by 1956.</w:t>
      </w:r>
      <w:r w:rsidR="00FF2A73" w:rsidRPr="00C57C3D">
        <w:rPr>
          <w:rStyle w:val="FootnoteReference"/>
          <w:rFonts w:ascii="Times New Roman" w:eastAsia="Times New Roman" w:hAnsi="Times New Roman" w:cs="Times New Roman"/>
          <w:color w:val="0D0D0D" w:themeColor="text1" w:themeTint="F2"/>
        </w:rPr>
        <w:footnoteReference w:id="24"/>
      </w:r>
      <w:r w:rsidR="00FF2A73" w:rsidRPr="00C57C3D">
        <w:rPr>
          <w:rFonts w:ascii="Times New Roman" w:eastAsia="Times New Roman" w:hAnsi="Times New Roman" w:cs="Times New Roman"/>
          <w:color w:val="0D0D0D" w:themeColor="text1" w:themeTint="F2"/>
        </w:rPr>
        <w:t xml:space="preserve"> Nassar, with radical ideas about political and economic self-sufficiency promoted solidarity within the Arab world, increasing support for liberation from the </w:t>
      </w:r>
      <w:r w:rsidR="00072BC9" w:rsidRPr="00C57C3D">
        <w:rPr>
          <w:rFonts w:ascii="Times New Roman" w:eastAsia="Times New Roman" w:hAnsi="Times New Roman" w:cs="Times New Roman"/>
          <w:color w:val="0D0D0D" w:themeColor="text1" w:themeTint="F2"/>
        </w:rPr>
        <w:t>‘</w:t>
      </w:r>
      <w:r w:rsidR="00FF2A73" w:rsidRPr="00C57C3D">
        <w:rPr>
          <w:rFonts w:ascii="Times New Roman" w:eastAsia="Times New Roman" w:hAnsi="Times New Roman" w:cs="Times New Roman"/>
          <w:color w:val="0D0D0D" w:themeColor="text1" w:themeTint="F2"/>
        </w:rPr>
        <w:t xml:space="preserve">imperial </w:t>
      </w:r>
      <w:r w:rsidR="00072BC9" w:rsidRPr="00C57C3D">
        <w:rPr>
          <w:rFonts w:ascii="Times New Roman" w:eastAsia="Times New Roman" w:hAnsi="Times New Roman" w:cs="Times New Roman"/>
          <w:color w:val="0D0D0D" w:themeColor="text1" w:themeTint="F2"/>
        </w:rPr>
        <w:t>W</w:t>
      </w:r>
      <w:r w:rsidR="00FF2A73" w:rsidRPr="00C57C3D">
        <w:rPr>
          <w:rFonts w:ascii="Times New Roman" w:eastAsia="Times New Roman" w:hAnsi="Times New Roman" w:cs="Times New Roman"/>
          <w:color w:val="0D0D0D" w:themeColor="text1" w:themeTint="F2"/>
        </w:rPr>
        <w:t>est</w:t>
      </w:r>
      <w:r w:rsidR="00B02DD5" w:rsidRPr="00C57C3D">
        <w:rPr>
          <w:rFonts w:ascii="Times New Roman" w:eastAsia="Times New Roman" w:hAnsi="Times New Roman" w:cs="Times New Roman"/>
          <w:color w:val="0D0D0D" w:themeColor="text1" w:themeTint="F2"/>
        </w:rPr>
        <w:t>.</w:t>
      </w:r>
      <w:r w:rsidR="00072BC9" w:rsidRPr="00C57C3D">
        <w:rPr>
          <w:rFonts w:ascii="Times New Roman" w:eastAsia="Times New Roman" w:hAnsi="Times New Roman" w:cs="Times New Roman"/>
          <w:color w:val="0D0D0D" w:themeColor="text1" w:themeTint="F2"/>
        </w:rPr>
        <w:t>’</w:t>
      </w:r>
      <w:r w:rsidR="00FF2A73" w:rsidRPr="00C57C3D">
        <w:rPr>
          <w:rStyle w:val="FootnoteReference"/>
          <w:rFonts w:ascii="Times New Roman" w:eastAsia="Times New Roman" w:hAnsi="Times New Roman" w:cs="Times New Roman"/>
          <w:color w:val="0D0D0D" w:themeColor="text1" w:themeTint="F2"/>
        </w:rPr>
        <w:footnoteReference w:id="25"/>
      </w:r>
      <w:r w:rsidR="00FF2A73" w:rsidRPr="00C57C3D">
        <w:rPr>
          <w:rFonts w:ascii="Times New Roman" w:eastAsia="Times New Roman" w:hAnsi="Times New Roman" w:cs="Times New Roman"/>
          <w:color w:val="0D0D0D" w:themeColor="text1" w:themeTint="F2"/>
        </w:rPr>
        <w:t xml:space="preserve"> Without these key figures and increased support to end British occupation, Britain may have had more motivation to maintain their presence in the region. In the end, it was more out of economic necessity that Britain decolonized the region.</w:t>
      </w:r>
      <w:r w:rsidR="00577E43" w:rsidRPr="00C57C3D">
        <w:rPr>
          <w:rFonts w:ascii="Times New Roman" w:eastAsia="Times New Roman" w:hAnsi="Times New Roman" w:cs="Times New Roman"/>
          <w:color w:val="0D0D0D" w:themeColor="text1" w:themeTint="F2"/>
        </w:rPr>
        <w:t xml:space="preserve"> The devaluation of the Sterling prompted reassessment of the former commitments, and caused Britain to realize that economically, they could no longer afford to maintain operations in the region.</w:t>
      </w:r>
      <w:r w:rsidR="00577E43" w:rsidRPr="00C57C3D">
        <w:rPr>
          <w:rStyle w:val="FootnoteReference"/>
          <w:rFonts w:ascii="Times New Roman" w:eastAsia="Times New Roman" w:hAnsi="Times New Roman" w:cs="Times New Roman"/>
          <w:color w:val="0D0D0D" w:themeColor="text1" w:themeTint="F2"/>
        </w:rPr>
        <w:footnoteReference w:id="26"/>
      </w:r>
    </w:p>
    <w:p w14:paraId="255C04D9" w14:textId="77777777" w:rsidR="00C57C3D" w:rsidRPr="00C57C3D" w:rsidRDefault="00C57C3D" w:rsidP="00D74389">
      <w:pPr>
        <w:spacing w:line="480" w:lineRule="auto"/>
        <w:ind w:firstLine="720"/>
        <w:rPr>
          <w:rFonts w:ascii="Times New Roman" w:hAnsi="Times New Roman" w:cs="Times New Roman"/>
          <w:color w:val="0D0D0D" w:themeColor="text1" w:themeTint="F2"/>
        </w:rPr>
      </w:pPr>
    </w:p>
    <w:p w14:paraId="096523E8" w14:textId="25166EB6" w:rsidR="0099746F" w:rsidRPr="00C57C3D" w:rsidRDefault="00684160" w:rsidP="000E39BF">
      <w:pPr>
        <w:spacing w:line="480" w:lineRule="auto"/>
        <w:ind w:firstLine="720"/>
        <w:rPr>
          <w:rFonts w:ascii="Times New Roman" w:eastAsia="Times New Roman" w:hAnsi="Times New Roman" w:cs="Times New Roman"/>
          <w:color w:val="0D0D0D" w:themeColor="text1" w:themeTint="F2"/>
        </w:rPr>
      </w:pPr>
      <w:r w:rsidRPr="00C57C3D">
        <w:rPr>
          <w:rFonts w:ascii="Times New Roman" w:hAnsi="Times New Roman" w:cs="Times New Roman"/>
          <w:color w:val="0D0D0D" w:themeColor="text1" w:themeTint="F2"/>
        </w:rPr>
        <w:t>Regarding decolonization of the African colonies, British policy and anti-colonial resistance both played a large role</w:t>
      </w:r>
      <w:r w:rsidR="007663FB" w:rsidRPr="00C57C3D">
        <w:rPr>
          <w:rFonts w:ascii="Times New Roman" w:hAnsi="Times New Roman" w:cs="Times New Roman"/>
          <w:color w:val="0D0D0D" w:themeColor="text1" w:themeTint="F2"/>
        </w:rPr>
        <w:t>, with British policy often inciting more violence and resistance. During t</w:t>
      </w:r>
      <w:r w:rsidRPr="00C57C3D">
        <w:rPr>
          <w:rFonts w:ascii="Times New Roman" w:hAnsi="Times New Roman" w:cs="Times New Roman"/>
          <w:color w:val="0D0D0D" w:themeColor="text1" w:themeTint="F2"/>
        </w:rPr>
        <w:t xml:space="preserve">he 1960s, British high policy focused greatly on </w:t>
      </w:r>
      <w:r w:rsidR="007663FB" w:rsidRPr="00C57C3D">
        <w:rPr>
          <w:rFonts w:ascii="Times New Roman" w:hAnsi="Times New Roman" w:cs="Times New Roman"/>
          <w:color w:val="0D0D0D" w:themeColor="text1" w:themeTint="F2"/>
        </w:rPr>
        <w:t>preventing</w:t>
      </w:r>
      <w:r w:rsidRPr="00C57C3D">
        <w:rPr>
          <w:rFonts w:ascii="Times New Roman" w:hAnsi="Times New Roman" w:cs="Times New Roman"/>
          <w:color w:val="0D0D0D" w:themeColor="text1" w:themeTint="F2"/>
        </w:rPr>
        <w:t xml:space="preserve"> communism and allying with the United States, which </w:t>
      </w:r>
      <w:r w:rsidR="007663FB" w:rsidRPr="00C57C3D">
        <w:rPr>
          <w:rFonts w:ascii="Times New Roman" w:hAnsi="Times New Roman" w:cs="Times New Roman"/>
          <w:color w:val="0D0D0D" w:themeColor="text1" w:themeTint="F2"/>
        </w:rPr>
        <w:t>severely critiqued</w:t>
      </w:r>
      <w:r w:rsidRPr="00C57C3D">
        <w:rPr>
          <w:rFonts w:ascii="Times New Roman" w:hAnsi="Times New Roman" w:cs="Times New Roman"/>
          <w:color w:val="0D0D0D" w:themeColor="text1" w:themeTint="F2"/>
        </w:rPr>
        <w:t xml:space="preserve"> European imperialism.</w:t>
      </w:r>
      <w:r w:rsidRPr="00C57C3D">
        <w:rPr>
          <w:rStyle w:val="FootnoteReference"/>
          <w:rFonts w:ascii="Times New Roman" w:hAnsi="Times New Roman" w:cs="Times New Roman"/>
          <w:color w:val="0D0D0D" w:themeColor="text1" w:themeTint="F2"/>
        </w:rPr>
        <w:footnoteReference w:id="27"/>
      </w:r>
      <w:r w:rsidRPr="00C57C3D">
        <w:rPr>
          <w:rFonts w:ascii="Times New Roman" w:hAnsi="Times New Roman" w:cs="Times New Roman"/>
          <w:color w:val="0D0D0D" w:themeColor="text1" w:themeTint="F2"/>
        </w:rPr>
        <w:t xml:space="preserve"> </w:t>
      </w:r>
      <w:r w:rsidR="007663FB" w:rsidRPr="00C57C3D">
        <w:rPr>
          <w:rFonts w:ascii="Times New Roman" w:hAnsi="Times New Roman" w:cs="Times New Roman"/>
          <w:color w:val="0D0D0D" w:themeColor="text1" w:themeTint="F2"/>
        </w:rPr>
        <w:t>In this sense, in order to align itself more closely with the other Western</w:t>
      </w:r>
      <w:r w:rsidR="00072BC9" w:rsidRPr="00C57C3D">
        <w:rPr>
          <w:rFonts w:ascii="Times New Roman" w:hAnsi="Times New Roman" w:cs="Times New Roman"/>
          <w:color w:val="0D0D0D" w:themeColor="text1" w:themeTint="F2"/>
        </w:rPr>
        <w:t xml:space="preserve"> </w:t>
      </w:r>
      <w:r w:rsidR="007663FB" w:rsidRPr="00C57C3D">
        <w:rPr>
          <w:rFonts w:ascii="Times New Roman" w:hAnsi="Times New Roman" w:cs="Times New Roman"/>
          <w:color w:val="0D0D0D" w:themeColor="text1" w:themeTint="F2"/>
        </w:rPr>
        <w:t xml:space="preserve">power, Britain may have already considered diminishing its imperial </w:t>
      </w:r>
      <w:r w:rsidR="00B02DD5" w:rsidRPr="00C57C3D">
        <w:rPr>
          <w:rFonts w:ascii="Times New Roman" w:hAnsi="Times New Roman" w:cs="Times New Roman"/>
          <w:color w:val="0D0D0D" w:themeColor="text1" w:themeTint="F2"/>
        </w:rPr>
        <w:t>control</w:t>
      </w:r>
      <w:r w:rsidR="007663FB" w:rsidRPr="00C57C3D">
        <w:rPr>
          <w:rFonts w:ascii="Times New Roman" w:hAnsi="Times New Roman" w:cs="Times New Roman"/>
          <w:color w:val="0D0D0D" w:themeColor="text1" w:themeTint="F2"/>
        </w:rPr>
        <w:t xml:space="preserve">. </w:t>
      </w:r>
      <w:r w:rsidRPr="00C57C3D">
        <w:rPr>
          <w:rFonts w:ascii="Times New Roman" w:hAnsi="Times New Roman" w:cs="Times New Roman"/>
          <w:color w:val="0D0D0D" w:themeColor="text1" w:themeTint="F2"/>
        </w:rPr>
        <w:t xml:space="preserve">In 1959, a report titled </w:t>
      </w:r>
      <w:r w:rsidRPr="00C57C3D">
        <w:rPr>
          <w:rFonts w:ascii="Times New Roman" w:hAnsi="Times New Roman" w:cs="Times New Roman"/>
          <w:i/>
          <w:iCs/>
          <w:color w:val="0D0D0D" w:themeColor="text1" w:themeTint="F2"/>
        </w:rPr>
        <w:t>Africa in the next ten years</w:t>
      </w:r>
      <w:r w:rsidRPr="00C57C3D">
        <w:rPr>
          <w:rFonts w:ascii="Times New Roman" w:hAnsi="Times New Roman" w:cs="Times New Roman"/>
          <w:color w:val="0D0D0D" w:themeColor="text1" w:themeTint="F2"/>
        </w:rPr>
        <w:t xml:space="preserve"> </w:t>
      </w:r>
      <w:r w:rsidRPr="00C57C3D">
        <w:rPr>
          <w:rFonts w:ascii="Times New Roman" w:hAnsi="Times New Roman" w:cs="Times New Roman"/>
          <w:color w:val="0D0D0D" w:themeColor="text1" w:themeTint="F2"/>
        </w:rPr>
        <w:lastRenderedPageBreak/>
        <w:t xml:space="preserve">was released </w:t>
      </w:r>
      <w:r w:rsidR="00B02DD5" w:rsidRPr="00C57C3D">
        <w:rPr>
          <w:rFonts w:ascii="Times New Roman" w:hAnsi="Times New Roman" w:cs="Times New Roman"/>
          <w:color w:val="0D0D0D" w:themeColor="text1" w:themeTint="F2"/>
        </w:rPr>
        <w:t xml:space="preserve">which </w:t>
      </w:r>
      <w:r w:rsidRPr="00C57C3D">
        <w:rPr>
          <w:rFonts w:ascii="Times New Roman" w:hAnsi="Times New Roman" w:cs="Times New Roman"/>
          <w:color w:val="0D0D0D" w:themeColor="text1" w:themeTint="F2"/>
        </w:rPr>
        <w:t>concluded</w:t>
      </w:r>
      <w:r w:rsidR="00B02DD5" w:rsidRPr="00C57C3D">
        <w:rPr>
          <w:rFonts w:ascii="Times New Roman" w:hAnsi="Times New Roman" w:cs="Times New Roman"/>
          <w:color w:val="0D0D0D" w:themeColor="text1" w:themeTint="F2"/>
        </w:rPr>
        <w:t xml:space="preserve">, </w:t>
      </w:r>
      <w:r w:rsidR="00072BC9" w:rsidRPr="00C57C3D">
        <w:rPr>
          <w:rFonts w:ascii="Times New Roman" w:hAnsi="Times New Roman" w:cs="Times New Roman"/>
          <w:color w:val="0D0D0D" w:themeColor="text1" w:themeTint="F2"/>
        </w:rPr>
        <w:t>‘</w:t>
      </w:r>
      <w:r w:rsidRPr="00C57C3D">
        <w:rPr>
          <w:rFonts w:ascii="Times New Roman" w:hAnsi="Times New Roman" w:cs="Times New Roman"/>
          <w:color w:val="0D0D0D" w:themeColor="text1" w:themeTint="F2"/>
        </w:rPr>
        <w:t xml:space="preserve">if Western governments appear to be reluctant to concede independence to their </w:t>
      </w:r>
      <w:r w:rsidRPr="00C57C3D">
        <w:rPr>
          <w:rFonts w:ascii="Times New Roman" w:eastAsia="Times New Roman" w:hAnsi="Times New Roman" w:cs="Times New Roman"/>
          <w:color w:val="0D0D0D" w:themeColor="text1" w:themeTint="F2"/>
        </w:rPr>
        <w:t>dependent territories, they may alienate African opinion and turn it towards the Soviet Union</w:t>
      </w:r>
      <w:r w:rsidR="00C57C3D" w:rsidRPr="00C57C3D">
        <w:rPr>
          <w:rFonts w:ascii="Times New Roman" w:eastAsia="Times New Roman" w:hAnsi="Times New Roman" w:cs="Times New Roman"/>
          <w:color w:val="0D0D0D" w:themeColor="text1" w:themeTint="F2"/>
        </w:rPr>
        <w:t>…</w:t>
      </w:r>
      <w:r w:rsidR="00B02DD5" w:rsidRPr="00C57C3D">
        <w:rPr>
          <w:rFonts w:ascii="Times New Roman" w:eastAsia="Times New Roman" w:hAnsi="Times New Roman" w:cs="Times New Roman"/>
          <w:color w:val="0D0D0D" w:themeColor="text1" w:themeTint="F2"/>
        </w:rPr>
        <w:t xml:space="preserve">if </w:t>
      </w:r>
      <w:r w:rsidRPr="00C57C3D">
        <w:rPr>
          <w:rFonts w:ascii="Times New Roman" w:eastAsia="Times New Roman" w:hAnsi="Times New Roman" w:cs="Times New Roman"/>
          <w:color w:val="0D0D0D" w:themeColor="text1" w:themeTint="F2"/>
        </w:rPr>
        <w:t>they move too fast they run the risk of leaving large areas of Africa ripe for Communist exploitation.</w:t>
      </w:r>
      <w:r w:rsidR="00072BC9" w:rsidRPr="00C57C3D">
        <w:rPr>
          <w:rFonts w:ascii="Times New Roman" w:eastAsia="Times New Roman" w:hAnsi="Times New Roman" w:cs="Times New Roman"/>
          <w:color w:val="0D0D0D" w:themeColor="text1" w:themeTint="F2"/>
        </w:rPr>
        <w:t>’</w:t>
      </w:r>
      <w:r w:rsidRPr="00C57C3D">
        <w:rPr>
          <w:rStyle w:val="FootnoteReference"/>
          <w:rFonts w:ascii="Times New Roman" w:eastAsia="Times New Roman" w:hAnsi="Times New Roman" w:cs="Times New Roman"/>
          <w:color w:val="0D0D0D" w:themeColor="text1" w:themeTint="F2"/>
        </w:rPr>
        <w:footnoteReference w:id="28"/>
      </w:r>
      <w:r w:rsidRPr="00C57C3D">
        <w:rPr>
          <w:rFonts w:ascii="Times New Roman" w:eastAsia="Times New Roman" w:hAnsi="Times New Roman" w:cs="Times New Roman"/>
          <w:color w:val="0D0D0D" w:themeColor="text1" w:themeTint="F2"/>
        </w:rPr>
        <w:t xml:space="preserve"> </w:t>
      </w:r>
      <w:r w:rsidR="007663FB" w:rsidRPr="00C57C3D">
        <w:rPr>
          <w:rFonts w:ascii="Times New Roman" w:eastAsia="Times New Roman" w:hAnsi="Times New Roman" w:cs="Times New Roman"/>
          <w:color w:val="0D0D0D" w:themeColor="text1" w:themeTint="F2"/>
        </w:rPr>
        <w:t xml:space="preserve">Thus, though conflicted, British policymakers were starting to realize that there was reason to decolonize and grant independence to certain colonies over time. </w:t>
      </w:r>
      <w:r w:rsidRPr="00C57C3D">
        <w:rPr>
          <w:rFonts w:ascii="Times New Roman" w:eastAsia="Times New Roman" w:hAnsi="Times New Roman" w:cs="Times New Roman"/>
          <w:color w:val="0D0D0D" w:themeColor="text1" w:themeTint="F2"/>
        </w:rPr>
        <w:t xml:space="preserve">Prime Minster Harold Macmillan’s </w:t>
      </w:r>
      <w:r w:rsidR="00577E43" w:rsidRPr="00C57C3D">
        <w:rPr>
          <w:rFonts w:ascii="Times New Roman" w:eastAsia="Times New Roman" w:hAnsi="Times New Roman" w:cs="Times New Roman"/>
          <w:color w:val="0D0D0D" w:themeColor="text1" w:themeTint="F2"/>
        </w:rPr>
        <w:t xml:space="preserve">1957 </w:t>
      </w:r>
      <w:r w:rsidRPr="00C57C3D">
        <w:rPr>
          <w:rFonts w:ascii="Times New Roman" w:eastAsia="Times New Roman" w:hAnsi="Times New Roman" w:cs="Times New Roman"/>
          <w:color w:val="0D0D0D" w:themeColor="text1" w:themeTint="F2"/>
        </w:rPr>
        <w:t xml:space="preserve">policy review on the economic costs and benefits of retaining colonies also served as evidence that keeping the colonies may no longer be </w:t>
      </w:r>
      <w:r w:rsidR="00B02DD5" w:rsidRPr="00C57C3D">
        <w:rPr>
          <w:rFonts w:ascii="Times New Roman" w:eastAsia="Times New Roman" w:hAnsi="Times New Roman" w:cs="Times New Roman"/>
          <w:color w:val="0D0D0D" w:themeColor="text1" w:themeTint="F2"/>
        </w:rPr>
        <w:t>in Britain’s interests.</w:t>
      </w:r>
      <w:r w:rsidR="00577E43" w:rsidRPr="00C57C3D">
        <w:rPr>
          <w:rFonts w:ascii="Times New Roman" w:eastAsia="Times New Roman" w:hAnsi="Times New Roman" w:cs="Times New Roman"/>
          <w:color w:val="0D0D0D" w:themeColor="text1" w:themeTint="F2"/>
        </w:rPr>
        <w:t xml:space="preserve"> Macmillan had stated that there were areas where </w:t>
      </w:r>
      <w:r w:rsidR="00C57C3D" w:rsidRPr="00C57C3D">
        <w:rPr>
          <w:rFonts w:ascii="Times New Roman" w:eastAsia="Times New Roman" w:hAnsi="Times New Roman" w:cs="Times New Roman"/>
          <w:color w:val="0D0D0D" w:themeColor="text1" w:themeTint="F2"/>
        </w:rPr>
        <w:t>‘</w:t>
      </w:r>
      <w:r w:rsidR="00577E43" w:rsidRPr="00C57C3D">
        <w:rPr>
          <w:rFonts w:ascii="Times New Roman" w:eastAsia="Times New Roman" w:hAnsi="Times New Roman" w:cs="Times New Roman"/>
          <w:color w:val="0D0D0D" w:themeColor="text1" w:themeTint="F2"/>
        </w:rPr>
        <w:t>there is no United Kingdom interest in resisting constitutional change even if it seems likely to lead to secession from the Commonwealth.</w:t>
      </w:r>
      <w:r w:rsidR="00C57C3D" w:rsidRPr="00C57C3D">
        <w:rPr>
          <w:rFonts w:ascii="Times New Roman" w:eastAsia="Times New Roman" w:hAnsi="Times New Roman" w:cs="Times New Roman"/>
          <w:color w:val="0D0D0D" w:themeColor="text1" w:themeTint="F2"/>
        </w:rPr>
        <w:t>’</w:t>
      </w:r>
      <w:r w:rsidR="00577E43" w:rsidRPr="00C57C3D">
        <w:rPr>
          <w:rStyle w:val="FootnoteReference"/>
          <w:rFonts w:ascii="Times New Roman" w:eastAsia="Times New Roman" w:hAnsi="Times New Roman" w:cs="Times New Roman"/>
          <w:color w:val="0D0D0D" w:themeColor="text1" w:themeTint="F2"/>
        </w:rPr>
        <w:footnoteReference w:id="29"/>
      </w:r>
      <w:r w:rsidRPr="00C57C3D">
        <w:rPr>
          <w:rFonts w:ascii="Times New Roman" w:eastAsia="Times New Roman" w:hAnsi="Times New Roman" w:cs="Times New Roman"/>
          <w:color w:val="0D0D0D" w:themeColor="text1" w:themeTint="F2"/>
        </w:rPr>
        <w:t xml:space="preserve"> It appears that Britain was already factoring the cost of anti-colonial resistance into their larger strategy to reduce imperial commitments. </w:t>
      </w:r>
    </w:p>
    <w:p w14:paraId="1EA93150" w14:textId="5632BEBD" w:rsidR="00684160" w:rsidRDefault="00B02DD5" w:rsidP="000E39BF">
      <w:pPr>
        <w:spacing w:line="480" w:lineRule="auto"/>
        <w:ind w:firstLine="720"/>
        <w:rPr>
          <w:rFonts w:ascii="Times New Roman" w:eastAsia="Times New Roman" w:hAnsi="Times New Roman" w:cs="Times New Roman"/>
          <w:color w:val="0D0D0D" w:themeColor="text1" w:themeTint="F2"/>
        </w:rPr>
      </w:pPr>
      <w:r w:rsidRPr="00C57C3D">
        <w:rPr>
          <w:rFonts w:ascii="Times New Roman" w:eastAsia="Times New Roman" w:hAnsi="Times New Roman" w:cs="Times New Roman"/>
          <w:color w:val="0D0D0D" w:themeColor="text1" w:themeTint="F2"/>
        </w:rPr>
        <w:t>Despite these intentions</w:t>
      </w:r>
      <w:r w:rsidR="00684160" w:rsidRPr="00C57C3D">
        <w:rPr>
          <w:rFonts w:ascii="Times New Roman" w:eastAsia="Times New Roman" w:hAnsi="Times New Roman" w:cs="Times New Roman"/>
          <w:color w:val="0D0D0D" w:themeColor="text1" w:themeTint="F2"/>
        </w:rPr>
        <w:t xml:space="preserve">, anti-colonial resistance and challenges in </w:t>
      </w:r>
      <w:r w:rsidR="006F0BC2" w:rsidRPr="00C57C3D">
        <w:rPr>
          <w:rFonts w:ascii="Times New Roman" w:eastAsia="Times New Roman" w:hAnsi="Times New Roman" w:cs="Times New Roman"/>
          <w:color w:val="0D0D0D" w:themeColor="text1" w:themeTint="F2"/>
        </w:rPr>
        <w:t>decolonizing</w:t>
      </w:r>
      <w:r w:rsidR="00684160" w:rsidRPr="00C57C3D">
        <w:rPr>
          <w:rFonts w:ascii="Times New Roman" w:eastAsia="Times New Roman" w:hAnsi="Times New Roman" w:cs="Times New Roman"/>
          <w:color w:val="0D0D0D" w:themeColor="text1" w:themeTint="F2"/>
        </w:rPr>
        <w:t xml:space="preserve"> greatly accelerated the process.</w:t>
      </w:r>
      <w:r w:rsidR="000C405D" w:rsidRPr="00C57C3D">
        <w:rPr>
          <w:rFonts w:ascii="Times New Roman" w:eastAsia="Times New Roman" w:hAnsi="Times New Roman" w:cs="Times New Roman"/>
          <w:color w:val="0D0D0D" w:themeColor="text1" w:themeTint="F2"/>
        </w:rPr>
        <w:t xml:space="preserve"> Gandhi’s success in achieving Indian independence inspired nationalist leaders in African colonies, such as Kwame Nkrumah in the Gold Coast.</w:t>
      </w:r>
      <w:r w:rsidR="000C405D" w:rsidRPr="00C57C3D">
        <w:rPr>
          <w:rStyle w:val="FootnoteReference"/>
          <w:rFonts w:ascii="Times New Roman" w:eastAsia="Times New Roman" w:hAnsi="Times New Roman" w:cs="Times New Roman"/>
          <w:color w:val="0D0D0D" w:themeColor="text1" w:themeTint="F2"/>
        </w:rPr>
        <w:footnoteReference w:id="30"/>
      </w:r>
      <w:r w:rsidR="006F0BC2" w:rsidRPr="00C57C3D">
        <w:rPr>
          <w:rFonts w:ascii="Times New Roman" w:eastAsia="Times New Roman" w:hAnsi="Times New Roman" w:cs="Times New Roman"/>
          <w:b/>
          <w:bCs/>
          <w:color w:val="0D0D0D" w:themeColor="text1" w:themeTint="F2"/>
        </w:rPr>
        <w:t xml:space="preserve"> </w:t>
      </w:r>
      <w:r w:rsidR="000C405D" w:rsidRPr="00C57C3D">
        <w:rPr>
          <w:rFonts w:ascii="Times New Roman" w:eastAsia="Times New Roman" w:hAnsi="Times New Roman" w:cs="Times New Roman"/>
          <w:color w:val="0D0D0D" w:themeColor="text1" w:themeTint="F2"/>
        </w:rPr>
        <w:t xml:space="preserve">Nkrumah eventually became the leader of the Convention People’s Party (CPP) in 1950, which advocated the need for self-government and began a campaign that involved </w:t>
      </w:r>
      <w:r w:rsidR="00C57C3D" w:rsidRPr="00C57C3D">
        <w:rPr>
          <w:rFonts w:ascii="Times New Roman" w:eastAsia="Times New Roman" w:hAnsi="Times New Roman" w:cs="Times New Roman"/>
          <w:color w:val="0D0D0D" w:themeColor="text1" w:themeTint="F2"/>
        </w:rPr>
        <w:t>‘</w:t>
      </w:r>
      <w:r w:rsidR="000C405D" w:rsidRPr="00C57C3D">
        <w:rPr>
          <w:rFonts w:ascii="Times New Roman" w:eastAsia="Times New Roman" w:hAnsi="Times New Roman" w:cs="Times New Roman"/>
          <w:color w:val="0D0D0D" w:themeColor="text1" w:themeTint="F2"/>
        </w:rPr>
        <w:t>nonviolent protests, strikes, and non-cooperation with British colonial authorities.</w:t>
      </w:r>
      <w:r w:rsidR="00C57C3D" w:rsidRPr="00C57C3D">
        <w:rPr>
          <w:rFonts w:ascii="Times New Roman" w:eastAsia="Times New Roman" w:hAnsi="Times New Roman" w:cs="Times New Roman"/>
          <w:color w:val="0D0D0D" w:themeColor="text1" w:themeTint="F2"/>
        </w:rPr>
        <w:t>’</w:t>
      </w:r>
      <w:r w:rsidRPr="00C57C3D">
        <w:rPr>
          <w:rStyle w:val="FootnoteReference"/>
          <w:rFonts w:ascii="Times New Roman" w:eastAsia="Times New Roman" w:hAnsi="Times New Roman" w:cs="Times New Roman"/>
          <w:color w:val="0D0D0D" w:themeColor="text1" w:themeTint="F2"/>
        </w:rPr>
        <w:footnoteReference w:id="31"/>
      </w:r>
      <w:r w:rsidR="000C405D" w:rsidRPr="00C57C3D">
        <w:rPr>
          <w:rFonts w:ascii="Times New Roman" w:eastAsia="Times New Roman" w:hAnsi="Times New Roman" w:cs="Times New Roman"/>
          <w:color w:val="0D0D0D" w:themeColor="text1" w:themeTint="F2"/>
        </w:rPr>
        <w:t xml:space="preserve"> This eventually led to the creation of the independent state of Ghana. In other African colonies, such as Kenya, v</w:t>
      </w:r>
      <w:r w:rsidR="006F0BC2" w:rsidRPr="00C57C3D">
        <w:rPr>
          <w:rFonts w:ascii="Times New Roman" w:eastAsia="Times New Roman" w:hAnsi="Times New Roman" w:cs="Times New Roman"/>
          <w:color w:val="0D0D0D" w:themeColor="text1" w:themeTint="F2"/>
        </w:rPr>
        <w:t>iolent rebellions and massacres that took place</w:t>
      </w:r>
      <w:r w:rsidR="000C405D" w:rsidRPr="00C57C3D">
        <w:rPr>
          <w:rFonts w:ascii="Times New Roman" w:eastAsia="Times New Roman" w:hAnsi="Times New Roman" w:cs="Times New Roman"/>
          <w:color w:val="0D0D0D" w:themeColor="text1" w:themeTint="F2"/>
        </w:rPr>
        <w:t xml:space="preserve"> helped to delegitimize British rule. </w:t>
      </w:r>
      <w:r w:rsidR="00F662E2" w:rsidRPr="00C57C3D">
        <w:rPr>
          <w:rFonts w:ascii="Times New Roman" w:eastAsia="Times New Roman" w:hAnsi="Times New Roman" w:cs="Times New Roman"/>
          <w:color w:val="0D0D0D" w:themeColor="text1" w:themeTint="F2"/>
        </w:rPr>
        <w:t xml:space="preserve">The Mau </w:t>
      </w:r>
      <w:proofErr w:type="spellStart"/>
      <w:r w:rsidR="00F662E2" w:rsidRPr="00C57C3D">
        <w:rPr>
          <w:rFonts w:ascii="Times New Roman" w:eastAsia="Times New Roman" w:hAnsi="Times New Roman" w:cs="Times New Roman"/>
          <w:color w:val="0D0D0D" w:themeColor="text1" w:themeTint="F2"/>
        </w:rPr>
        <w:t>Mau</w:t>
      </w:r>
      <w:proofErr w:type="spellEnd"/>
      <w:r w:rsidR="00F662E2" w:rsidRPr="00C57C3D">
        <w:rPr>
          <w:rFonts w:ascii="Times New Roman" w:eastAsia="Times New Roman" w:hAnsi="Times New Roman" w:cs="Times New Roman"/>
          <w:color w:val="0D0D0D" w:themeColor="text1" w:themeTint="F2"/>
        </w:rPr>
        <w:t xml:space="preserve"> Rebellion </w:t>
      </w:r>
      <w:r w:rsidRPr="00C57C3D">
        <w:rPr>
          <w:rFonts w:ascii="Times New Roman" w:eastAsia="Times New Roman" w:hAnsi="Times New Roman" w:cs="Times New Roman"/>
          <w:color w:val="0D0D0D" w:themeColor="text1" w:themeTint="F2"/>
        </w:rPr>
        <w:t xml:space="preserve">in 1959 </w:t>
      </w:r>
      <w:r w:rsidR="00F662E2" w:rsidRPr="00C57C3D">
        <w:rPr>
          <w:rFonts w:ascii="Times New Roman" w:eastAsia="Times New Roman" w:hAnsi="Times New Roman" w:cs="Times New Roman"/>
          <w:color w:val="0D0D0D" w:themeColor="text1" w:themeTint="F2"/>
        </w:rPr>
        <w:t xml:space="preserve">advocated for violent resistance to British rule, and the British Kenya government started 4 years </w:t>
      </w:r>
      <w:r w:rsidR="00F662E2" w:rsidRPr="00C57C3D">
        <w:rPr>
          <w:rFonts w:ascii="Times New Roman" w:eastAsia="Times New Roman" w:hAnsi="Times New Roman" w:cs="Times New Roman"/>
          <w:color w:val="0D0D0D" w:themeColor="text1" w:themeTint="F2"/>
        </w:rPr>
        <w:lastRenderedPageBreak/>
        <w:t>of military operations against these “rebels” which killed about 11,000 rebels, 100 Europeans, and 2,000 African Loyalists.</w:t>
      </w:r>
      <w:r w:rsidR="00F662E2" w:rsidRPr="00C57C3D">
        <w:rPr>
          <w:rStyle w:val="FootnoteReference"/>
          <w:rFonts w:ascii="Times New Roman" w:eastAsia="Times New Roman" w:hAnsi="Times New Roman" w:cs="Times New Roman"/>
          <w:color w:val="0D0D0D" w:themeColor="text1" w:themeTint="F2"/>
        </w:rPr>
        <w:footnoteReference w:id="32"/>
      </w:r>
      <w:r w:rsidR="00F662E2" w:rsidRPr="00C57C3D">
        <w:rPr>
          <w:rFonts w:ascii="Times New Roman" w:eastAsia="Times New Roman" w:hAnsi="Times New Roman" w:cs="Times New Roman"/>
          <w:color w:val="0D0D0D" w:themeColor="text1" w:themeTint="F2"/>
        </w:rPr>
        <w:t xml:space="preserve"> </w:t>
      </w:r>
      <w:r w:rsidR="000C405D" w:rsidRPr="00C57C3D">
        <w:rPr>
          <w:rFonts w:ascii="Times New Roman" w:eastAsia="Times New Roman" w:hAnsi="Times New Roman" w:cs="Times New Roman"/>
          <w:color w:val="0D0D0D" w:themeColor="text1" w:themeTint="F2"/>
        </w:rPr>
        <w:t xml:space="preserve">Historians have called the Hola Camp Massacre and </w:t>
      </w:r>
      <w:proofErr w:type="spellStart"/>
      <w:r w:rsidR="000C405D" w:rsidRPr="00C57C3D">
        <w:rPr>
          <w:rFonts w:ascii="Times New Roman" w:eastAsia="Times New Roman" w:hAnsi="Times New Roman" w:cs="Times New Roman"/>
          <w:color w:val="0D0D0D" w:themeColor="text1" w:themeTint="F2"/>
        </w:rPr>
        <w:t>Nkhata</w:t>
      </w:r>
      <w:proofErr w:type="spellEnd"/>
      <w:r w:rsidR="000C405D" w:rsidRPr="00C57C3D">
        <w:rPr>
          <w:rFonts w:ascii="Times New Roman" w:eastAsia="Times New Roman" w:hAnsi="Times New Roman" w:cs="Times New Roman"/>
          <w:color w:val="0D0D0D" w:themeColor="text1" w:themeTint="F2"/>
        </w:rPr>
        <w:t xml:space="preserve"> Bay Massacre</w:t>
      </w:r>
      <w:r w:rsidR="006F0BC2" w:rsidRPr="00C57C3D">
        <w:rPr>
          <w:rFonts w:ascii="Times New Roman" w:eastAsia="Times New Roman" w:hAnsi="Times New Roman" w:cs="Times New Roman"/>
          <w:color w:val="0D0D0D" w:themeColor="text1" w:themeTint="F2"/>
        </w:rPr>
        <w:t xml:space="preserve"> </w:t>
      </w:r>
      <w:r w:rsidR="000C405D" w:rsidRPr="00C57C3D">
        <w:rPr>
          <w:rFonts w:ascii="Times New Roman" w:eastAsia="Times New Roman" w:hAnsi="Times New Roman" w:cs="Times New Roman"/>
          <w:color w:val="0D0D0D" w:themeColor="text1" w:themeTint="F2"/>
        </w:rPr>
        <w:t xml:space="preserve">that took place during the </w:t>
      </w:r>
      <w:r w:rsidR="00F662E2" w:rsidRPr="00C57C3D">
        <w:rPr>
          <w:rFonts w:ascii="Times New Roman" w:eastAsia="Times New Roman" w:hAnsi="Times New Roman" w:cs="Times New Roman"/>
          <w:color w:val="0D0D0D" w:themeColor="text1" w:themeTint="F2"/>
        </w:rPr>
        <w:t>rebellion</w:t>
      </w:r>
      <w:r w:rsidR="000C405D" w:rsidRPr="00C57C3D">
        <w:rPr>
          <w:rFonts w:ascii="Times New Roman" w:eastAsia="Times New Roman" w:hAnsi="Times New Roman" w:cs="Times New Roman"/>
          <w:color w:val="0D0D0D" w:themeColor="text1" w:themeTint="F2"/>
        </w:rPr>
        <w:t xml:space="preserve"> </w:t>
      </w:r>
      <w:r w:rsidR="00F662E2" w:rsidRPr="00C57C3D">
        <w:rPr>
          <w:rFonts w:ascii="Times New Roman" w:eastAsia="Times New Roman" w:hAnsi="Times New Roman" w:cs="Times New Roman"/>
          <w:color w:val="0D0D0D" w:themeColor="text1" w:themeTint="F2"/>
        </w:rPr>
        <w:t xml:space="preserve">in </w:t>
      </w:r>
      <w:r w:rsidR="000C405D" w:rsidRPr="00C57C3D">
        <w:rPr>
          <w:rFonts w:ascii="Times New Roman" w:eastAsia="Times New Roman" w:hAnsi="Times New Roman" w:cs="Times New Roman"/>
          <w:color w:val="0D0D0D" w:themeColor="text1" w:themeTint="F2"/>
        </w:rPr>
        <w:t xml:space="preserve">as the </w:t>
      </w:r>
      <w:r w:rsidR="00C57C3D" w:rsidRPr="00C57C3D">
        <w:rPr>
          <w:rFonts w:ascii="Times New Roman" w:eastAsia="Times New Roman" w:hAnsi="Times New Roman" w:cs="Times New Roman"/>
          <w:color w:val="0D0D0D" w:themeColor="text1" w:themeTint="F2"/>
        </w:rPr>
        <w:t>‘</w:t>
      </w:r>
      <w:r w:rsidR="006F0BC2" w:rsidRPr="00C57C3D">
        <w:rPr>
          <w:rFonts w:ascii="Times New Roman" w:eastAsia="Times New Roman" w:hAnsi="Times New Roman" w:cs="Times New Roman"/>
          <w:color w:val="0D0D0D" w:themeColor="text1" w:themeTint="F2"/>
        </w:rPr>
        <w:t>moral end</w:t>
      </w:r>
      <w:r w:rsidR="00C57C3D" w:rsidRPr="00C57C3D">
        <w:rPr>
          <w:rFonts w:ascii="Times New Roman" w:eastAsia="Times New Roman" w:hAnsi="Times New Roman" w:cs="Times New Roman"/>
          <w:color w:val="0D0D0D" w:themeColor="text1" w:themeTint="F2"/>
        </w:rPr>
        <w:t>’</w:t>
      </w:r>
      <w:r w:rsidR="006F0BC2" w:rsidRPr="00C57C3D">
        <w:rPr>
          <w:rFonts w:ascii="Times New Roman" w:eastAsia="Times New Roman" w:hAnsi="Times New Roman" w:cs="Times New Roman"/>
          <w:color w:val="0D0D0D" w:themeColor="text1" w:themeTint="F2"/>
        </w:rPr>
        <w:t xml:space="preserve"> of empire.</w:t>
      </w:r>
      <w:r w:rsidR="000C405D" w:rsidRPr="00C57C3D">
        <w:rPr>
          <w:rStyle w:val="FootnoteReference"/>
          <w:rFonts w:ascii="Times New Roman" w:eastAsia="Times New Roman" w:hAnsi="Times New Roman" w:cs="Times New Roman"/>
          <w:color w:val="0D0D0D" w:themeColor="text1" w:themeTint="F2"/>
        </w:rPr>
        <w:footnoteReference w:id="33"/>
      </w:r>
      <w:r w:rsidR="00F662E2" w:rsidRPr="00C57C3D">
        <w:rPr>
          <w:rFonts w:ascii="Times New Roman" w:eastAsia="Times New Roman" w:hAnsi="Times New Roman" w:cs="Times New Roman"/>
          <w:color w:val="0D0D0D" w:themeColor="text1" w:themeTint="F2"/>
        </w:rPr>
        <w:t xml:space="preserve"> As a result, it became costly to justify continued British presence in the region. </w:t>
      </w:r>
      <w:r w:rsidR="006F0BC2" w:rsidRPr="00C57C3D">
        <w:rPr>
          <w:rFonts w:ascii="Times New Roman" w:eastAsia="Times New Roman" w:hAnsi="Times New Roman" w:cs="Times New Roman"/>
          <w:color w:val="0D0D0D" w:themeColor="text1" w:themeTint="F2"/>
        </w:rPr>
        <w:t xml:space="preserve">Afterwards, Macmillan’s </w:t>
      </w:r>
      <w:r w:rsidR="006F0BC2" w:rsidRPr="00C57C3D">
        <w:rPr>
          <w:rFonts w:ascii="Times New Roman" w:eastAsia="Times New Roman" w:hAnsi="Times New Roman" w:cs="Times New Roman"/>
          <w:i/>
          <w:iCs/>
          <w:color w:val="0D0D0D" w:themeColor="text1" w:themeTint="F2"/>
        </w:rPr>
        <w:t>Winds of Change</w:t>
      </w:r>
      <w:r w:rsidR="006F0BC2" w:rsidRPr="00C57C3D">
        <w:rPr>
          <w:rFonts w:ascii="Times New Roman" w:eastAsia="Times New Roman" w:hAnsi="Times New Roman" w:cs="Times New Roman"/>
          <w:color w:val="0D0D0D" w:themeColor="text1" w:themeTint="F2"/>
        </w:rPr>
        <w:t xml:space="preserve"> speech to the Parliament of South Africa in 1960 served to solidify the rapid need for decolonization; the process could not be delayed any longer. Macmillan stated, </w:t>
      </w:r>
      <w:r w:rsidR="00C57C3D" w:rsidRPr="00C57C3D">
        <w:rPr>
          <w:rFonts w:ascii="Times New Roman" w:eastAsia="Times New Roman" w:hAnsi="Times New Roman" w:cs="Times New Roman"/>
          <w:color w:val="0D0D0D" w:themeColor="text1" w:themeTint="F2"/>
        </w:rPr>
        <w:t>‘</w:t>
      </w:r>
      <w:r w:rsidR="006F0BC2" w:rsidRPr="00C57C3D">
        <w:rPr>
          <w:rFonts w:ascii="Times New Roman" w:eastAsia="Times New Roman" w:hAnsi="Times New Roman" w:cs="Times New Roman"/>
          <w:color w:val="0D0D0D" w:themeColor="text1" w:themeTint="F2"/>
        </w:rPr>
        <w:t>The wind of change is blowing through the continent…Whether we like it or not, this growth of national consciousness is a political fact. We must all accept it as fact.</w:t>
      </w:r>
      <w:r w:rsidR="00C57C3D" w:rsidRPr="00C57C3D">
        <w:rPr>
          <w:rFonts w:ascii="Times New Roman" w:eastAsia="Times New Roman" w:hAnsi="Times New Roman" w:cs="Times New Roman"/>
          <w:color w:val="0D0D0D" w:themeColor="text1" w:themeTint="F2"/>
        </w:rPr>
        <w:t>’</w:t>
      </w:r>
      <w:r w:rsidR="006F0BC2" w:rsidRPr="00C57C3D">
        <w:rPr>
          <w:rStyle w:val="FootnoteReference"/>
          <w:rFonts w:ascii="Times New Roman" w:eastAsia="Times New Roman" w:hAnsi="Times New Roman" w:cs="Times New Roman"/>
          <w:color w:val="0D0D0D" w:themeColor="text1" w:themeTint="F2"/>
        </w:rPr>
        <w:footnoteReference w:id="34"/>
      </w:r>
      <w:r w:rsidRPr="00C57C3D">
        <w:rPr>
          <w:rFonts w:ascii="Times New Roman" w:eastAsia="Times New Roman" w:hAnsi="Times New Roman" w:cs="Times New Roman"/>
          <w:color w:val="0D0D0D" w:themeColor="text1" w:themeTint="F2"/>
        </w:rPr>
        <w:t xml:space="preserve"> </w:t>
      </w:r>
      <w:r w:rsidR="00F662E2" w:rsidRPr="00C57C3D">
        <w:rPr>
          <w:rFonts w:ascii="Times New Roman" w:eastAsia="Times New Roman" w:hAnsi="Times New Roman" w:cs="Times New Roman"/>
          <w:color w:val="0D0D0D" w:themeColor="text1" w:themeTint="F2"/>
        </w:rPr>
        <w:t>Although Britain may have already been considering decolonization of the African colonies from an economic perspective, anti-colonial resistance that resulted in violence provided an additional political and moral need to grant independence.</w:t>
      </w:r>
    </w:p>
    <w:p w14:paraId="73CC448E" w14:textId="77777777" w:rsidR="00C57C3D" w:rsidRPr="00C57C3D" w:rsidRDefault="00C57C3D" w:rsidP="000E39BF">
      <w:pPr>
        <w:spacing w:line="480" w:lineRule="auto"/>
        <w:ind w:firstLine="720"/>
        <w:rPr>
          <w:rFonts w:ascii="Times New Roman" w:eastAsia="Times New Roman" w:hAnsi="Times New Roman" w:cs="Times New Roman"/>
          <w:b/>
          <w:bCs/>
          <w:color w:val="0D0D0D" w:themeColor="text1" w:themeTint="F2"/>
        </w:rPr>
      </w:pPr>
    </w:p>
    <w:p w14:paraId="38AFFBD5" w14:textId="77777777" w:rsidR="00C57C3D" w:rsidRPr="00C57C3D" w:rsidRDefault="009B446D" w:rsidP="00C57C3D">
      <w:pPr>
        <w:spacing w:line="480" w:lineRule="auto"/>
        <w:ind w:firstLine="720"/>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Decolonization is a vastly complex process</w:t>
      </w:r>
      <w:r w:rsidR="00F662E2" w:rsidRPr="00C57C3D">
        <w:rPr>
          <w:rFonts w:ascii="Times New Roman" w:hAnsi="Times New Roman" w:cs="Times New Roman"/>
          <w:color w:val="0D0D0D" w:themeColor="text1" w:themeTint="F2"/>
        </w:rPr>
        <w:t xml:space="preserve"> and one </w:t>
      </w:r>
      <w:r w:rsidRPr="00C57C3D">
        <w:rPr>
          <w:rFonts w:ascii="Times New Roman" w:hAnsi="Times New Roman" w:cs="Times New Roman"/>
          <w:color w:val="0D0D0D" w:themeColor="text1" w:themeTint="F2"/>
        </w:rPr>
        <w:t xml:space="preserve">that </w:t>
      </w:r>
      <w:r w:rsidR="00F662E2" w:rsidRPr="00C57C3D">
        <w:rPr>
          <w:rFonts w:ascii="Times New Roman" w:hAnsi="Times New Roman" w:cs="Times New Roman"/>
          <w:color w:val="0D0D0D" w:themeColor="text1" w:themeTint="F2"/>
        </w:rPr>
        <w:t>is</w:t>
      </w:r>
      <w:r w:rsidRPr="00C57C3D">
        <w:rPr>
          <w:rFonts w:ascii="Times New Roman" w:hAnsi="Times New Roman" w:cs="Times New Roman"/>
          <w:color w:val="0D0D0D" w:themeColor="text1" w:themeTint="F2"/>
        </w:rPr>
        <w:t xml:space="preserve"> influenced by a multitude of factors both internal and external, and shaped by people in </w:t>
      </w:r>
      <w:r w:rsidR="00F662E2" w:rsidRPr="00C57C3D">
        <w:rPr>
          <w:rFonts w:ascii="Times New Roman" w:hAnsi="Times New Roman" w:cs="Times New Roman"/>
          <w:color w:val="0D0D0D" w:themeColor="text1" w:themeTint="F2"/>
        </w:rPr>
        <w:t>center of the empire as well as those in</w:t>
      </w:r>
      <w:r w:rsidRPr="00C57C3D">
        <w:rPr>
          <w:rFonts w:ascii="Times New Roman" w:hAnsi="Times New Roman" w:cs="Times New Roman"/>
          <w:color w:val="0D0D0D" w:themeColor="text1" w:themeTint="F2"/>
        </w:rPr>
        <w:t xml:space="preserve"> </w:t>
      </w:r>
      <w:r w:rsidR="00F662E2" w:rsidRPr="00C57C3D">
        <w:rPr>
          <w:rFonts w:ascii="Times New Roman" w:hAnsi="Times New Roman" w:cs="Times New Roman"/>
          <w:color w:val="0D0D0D" w:themeColor="text1" w:themeTint="F2"/>
        </w:rPr>
        <w:t>the territories being ruled</w:t>
      </w:r>
      <w:r w:rsidRPr="00C57C3D">
        <w:rPr>
          <w:rFonts w:ascii="Times New Roman" w:hAnsi="Times New Roman" w:cs="Times New Roman"/>
          <w:color w:val="0D0D0D" w:themeColor="text1" w:themeTint="F2"/>
        </w:rPr>
        <w:t>.</w:t>
      </w:r>
      <w:r w:rsidR="00F662E2" w:rsidRPr="00C57C3D">
        <w:rPr>
          <w:rFonts w:ascii="Times New Roman" w:hAnsi="Times New Roman" w:cs="Times New Roman"/>
          <w:color w:val="0D0D0D" w:themeColor="text1" w:themeTint="F2"/>
        </w:rPr>
        <w:t xml:space="preserve"> Historian Michael</w:t>
      </w:r>
      <w:r w:rsidRPr="00C57C3D">
        <w:rPr>
          <w:rFonts w:ascii="Times New Roman" w:hAnsi="Times New Roman" w:cs="Times New Roman"/>
          <w:color w:val="0D0D0D" w:themeColor="text1" w:themeTint="F2"/>
        </w:rPr>
        <w:t xml:space="preserve"> </w:t>
      </w:r>
      <w:r w:rsidR="00F662E2" w:rsidRPr="00C57C3D">
        <w:rPr>
          <w:rFonts w:ascii="Times New Roman" w:hAnsi="Times New Roman" w:cs="Times New Roman"/>
          <w:color w:val="0D0D0D" w:themeColor="text1" w:themeTint="F2"/>
        </w:rPr>
        <w:t xml:space="preserve">Collins sums up that the changes that occurred were </w:t>
      </w:r>
      <w:r w:rsidR="00C57C3D" w:rsidRPr="00C57C3D">
        <w:rPr>
          <w:rFonts w:ascii="Times New Roman" w:hAnsi="Times New Roman" w:cs="Times New Roman"/>
          <w:color w:val="0D0D0D" w:themeColor="text1" w:themeTint="F2"/>
        </w:rPr>
        <w:t>‘</w:t>
      </w:r>
      <w:r w:rsidR="00F662E2" w:rsidRPr="00C57C3D">
        <w:rPr>
          <w:rFonts w:ascii="Times New Roman" w:hAnsi="Times New Roman" w:cs="Times New Roman"/>
          <w:color w:val="0D0D0D" w:themeColor="text1" w:themeTint="F2"/>
        </w:rPr>
        <w:t>largely responses to political pressure from the periphery of empire, though they involved calculated concessions at the center.</w:t>
      </w:r>
      <w:r w:rsidR="00C57C3D" w:rsidRPr="00C57C3D">
        <w:rPr>
          <w:rFonts w:ascii="Times New Roman" w:hAnsi="Times New Roman" w:cs="Times New Roman"/>
          <w:color w:val="0D0D0D" w:themeColor="text1" w:themeTint="F2"/>
        </w:rPr>
        <w:t>’</w:t>
      </w:r>
      <w:r w:rsidR="00F662E2" w:rsidRPr="00C57C3D">
        <w:rPr>
          <w:rStyle w:val="FootnoteReference"/>
          <w:rFonts w:ascii="Times New Roman" w:hAnsi="Times New Roman" w:cs="Times New Roman"/>
          <w:color w:val="0D0D0D" w:themeColor="text1" w:themeTint="F2"/>
        </w:rPr>
        <w:footnoteReference w:id="35"/>
      </w:r>
      <w:r w:rsidR="00F662E2" w:rsidRPr="00C57C3D">
        <w:rPr>
          <w:rFonts w:ascii="Times New Roman" w:hAnsi="Times New Roman" w:cs="Times New Roman"/>
          <w:color w:val="0D0D0D" w:themeColor="text1" w:themeTint="F2"/>
        </w:rPr>
        <w:t xml:space="preserve"> And it was indeed anti-colonial resistance coupled with changing international opinion that generated the necessary pressure for Britain to make those concessions.</w:t>
      </w:r>
      <w:r w:rsidR="00C57C3D" w:rsidRPr="00C57C3D">
        <w:rPr>
          <w:rFonts w:ascii="Times New Roman" w:hAnsi="Times New Roman" w:cs="Times New Roman"/>
          <w:color w:val="0D0D0D" w:themeColor="text1" w:themeTint="F2"/>
        </w:rPr>
        <w:t xml:space="preserve"> </w:t>
      </w:r>
    </w:p>
    <w:p w14:paraId="126F37AA" w14:textId="65EC6372" w:rsidR="00047EB2" w:rsidRPr="00C57C3D" w:rsidRDefault="000E39BF" w:rsidP="00C57C3D">
      <w:pPr>
        <w:spacing w:line="480" w:lineRule="auto"/>
        <w:ind w:firstLine="720"/>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lastRenderedPageBreak/>
        <w:t xml:space="preserve">Just a year after his speech at the Lord Mayor’s Luncheon, Churchill gave a speech in 1943 at Harvard University. He stated, </w:t>
      </w:r>
      <w:r w:rsidR="00C57C3D" w:rsidRPr="00C57C3D">
        <w:rPr>
          <w:rFonts w:ascii="Times New Roman" w:hAnsi="Times New Roman" w:cs="Times New Roman"/>
          <w:color w:val="0D0D0D" w:themeColor="text1" w:themeTint="F2"/>
        </w:rPr>
        <w:t>‘</w:t>
      </w:r>
      <w:r w:rsidRPr="00C57C3D">
        <w:rPr>
          <w:rFonts w:ascii="Times New Roman" w:hAnsi="Times New Roman" w:cs="Times New Roman"/>
          <w:color w:val="0D0D0D" w:themeColor="text1" w:themeTint="F2"/>
        </w:rPr>
        <w:t>The empires of the future are the empires of the mind.</w:t>
      </w:r>
      <w:r w:rsidR="00C57C3D" w:rsidRPr="00C57C3D">
        <w:rPr>
          <w:rFonts w:ascii="Times New Roman" w:hAnsi="Times New Roman" w:cs="Times New Roman"/>
          <w:color w:val="0D0D0D" w:themeColor="text1" w:themeTint="F2"/>
        </w:rPr>
        <w:t>’</w:t>
      </w:r>
      <w:r w:rsidRPr="00C57C3D">
        <w:rPr>
          <w:rStyle w:val="FootnoteReference"/>
          <w:rFonts w:ascii="Times New Roman" w:hAnsi="Times New Roman" w:cs="Times New Roman"/>
          <w:color w:val="0D0D0D" w:themeColor="text1" w:themeTint="F2"/>
        </w:rPr>
        <w:footnoteReference w:id="36"/>
      </w:r>
      <w:r w:rsidRPr="00C57C3D">
        <w:rPr>
          <w:rFonts w:ascii="Times New Roman" w:hAnsi="Times New Roman" w:cs="Times New Roman"/>
          <w:color w:val="0D0D0D" w:themeColor="text1" w:themeTint="F2"/>
        </w:rPr>
        <w:t xml:space="preserve"> This idea was that</w:t>
      </w:r>
      <w:r w:rsidR="00B02DD5" w:rsidRPr="00C57C3D">
        <w:rPr>
          <w:rFonts w:ascii="Times New Roman" w:hAnsi="Times New Roman" w:cs="Times New Roman"/>
          <w:color w:val="0D0D0D" w:themeColor="text1" w:themeTint="F2"/>
        </w:rPr>
        <w:t>,</w:t>
      </w:r>
      <w:r w:rsidRPr="00C57C3D">
        <w:rPr>
          <w:rFonts w:ascii="Times New Roman" w:hAnsi="Times New Roman" w:cs="Times New Roman"/>
          <w:color w:val="0D0D0D" w:themeColor="text1" w:themeTint="F2"/>
        </w:rPr>
        <w:t xml:space="preserve"> in the future, the concept of empire would no longer only refer to </w:t>
      </w:r>
      <w:r w:rsidR="00B02DD5" w:rsidRPr="00C57C3D">
        <w:rPr>
          <w:rFonts w:ascii="Times New Roman" w:hAnsi="Times New Roman" w:cs="Times New Roman"/>
          <w:color w:val="0D0D0D" w:themeColor="text1" w:themeTint="F2"/>
        </w:rPr>
        <w:t xml:space="preserve">the </w:t>
      </w:r>
      <w:r w:rsidRPr="00C57C3D">
        <w:rPr>
          <w:rFonts w:ascii="Times New Roman" w:hAnsi="Times New Roman" w:cs="Times New Roman"/>
          <w:color w:val="0D0D0D" w:themeColor="text1" w:themeTint="F2"/>
        </w:rPr>
        <w:t>physical domination of land and space, but rather, an intangible force. It highlights the power of ideas an</w:t>
      </w:r>
      <w:r w:rsidR="0076695E" w:rsidRPr="00C57C3D">
        <w:rPr>
          <w:rFonts w:ascii="Times New Roman" w:hAnsi="Times New Roman" w:cs="Times New Roman"/>
          <w:color w:val="0D0D0D" w:themeColor="text1" w:themeTint="F2"/>
        </w:rPr>
        <w:t>d</w:t>
      </w:r>
      <w:r w:rsidRPr="00C57C3D">
        <w:rPr>
          <w:rFonts w:ascii="Times New Roman" w:hAnsi="Times New Roman" w:cs="Times New Roman"/>
          <w:color w:val="0D0D0D" w:themeColor="text1" w:themeTint="F2"/>
        </w:rPr>
        <w:t xml:space="preserve"> innovation. With the United Nations’ Universal Declaration in 1948, nationality was asserted as a human right and the </w:t>
      </w:r>
      <w:r w:rsidR="00C57C3D" w:rsidRPr="00C57C3D">
        <w:rPr>
          <w:rFonts w:ascii="Times New Roman" w:hAnsi="Times New Roman" w:cs="Times New Roman"/>
          <w:color w:val="0D0D0D" w:themeColor="text1" w:themeTint="F2"/>
        </w:rPr>
        <w:t>‘</w:t>
      </w:r>
      <w:r w:rsidRPr="00C57C3D">
        <w:rPr>
          <w:rFonts w:ascii="Times New Roman" w:hAnsi="Times New Roman" w:cs="Times New Roman"/>
          <w:color w:val="0D0D0D" w:themeColor="text1" w:themeTint="F2"/>
        </w:rPr>
        <w:t>political potency</w:t>
      </w:r>
      <w:r w:rsidR="00C57C3D" w:rsidRPr="00C57C3D">
        <w:rPr>
          <w:rFonts w:ascii="Times New Roman" w:hAnsi="Times New Roman" w:cs="Times New Roman"/>
          <w:color w:val="0D0D0D" w:themeColor="text1" w:themeTint="F2"/>
        </w:rPr>
        <w:t xml:space="preserve"> </w:t>
      </w:r>
      <w:r w:rsidRPr="00C57C3D">
        <w:rPr>
          <w:rFonts w:ascii="Times New Roman" w:hAnsi="Times New Roman" w:cs="Times New Roman"/>
          <w:color w:val="0D0D0D" w:themeColor="text1" w:themeTint="F2"/>
        </w:rPr>
        <w:t>of nation as the antidote</w:t>
      </w:r>
      <w:r w:rsidR="00C57C3D" w:rsidRPr="00C57C3D">
        <w:rPr>
          <w:rFonts w:ascii="Times New Roman" w:hAnsi="Times New Roman" w:cs="Times New Roman"/>
          <w:color w:val="0D0D0D" w:themeColor="text1" w:themeTint="F2"/>
        </w:rPr>
        <w:t xml:space="preserve"> </w:t>
      </w:r>
      <w:r w:rsidRPr="00C57C3D">
        <w:rPr>
          <w:rFonts w:ascii="Times New Roman" w:hAnsi="Times New Roman" w:cs="Times New Roman"/>
          <w:color w:val="0D0D0D" w:themeColor="text1" w:themeTint="F2"/>
        </w:rPr>
        <w:t>to empire grew.</w:t>
      </w:r>
      <w:r w:rsidR="00C57C3D" w:rsidRPr="00C57C3D">
        <w:rPr>
          <w:rFonts w:ascii="Times New Roman" w:hAnsi="Times New Roman" w:cs="Times New Roman"/>
          <w:color w:val="0D0D0D" w:themeColor="text1" w:themeTint="F2"/>
        </w:rPr>
        <w:t>’</w:t>
      </w:r>
      <w:r w:rsidRPr="00C57C3D">
        <w:rPr>
          <w:rFonts w:ascii="Times New Roman" w:hAnsi="Times New Roman" w:cs="Times New Roman"/>
          <w:color w:val="0D0D0D" w:themeColor="text1" w:themeTint="F2"/>
        </w:rPr>
        <w:t xml:space="preserve"> </w:t>
      </w:r>
      <w:r w:rsidRPr="00C57C3D">
        <w:rPr>
          <w:rStyle w:val="FootnoteReference"/>
          <w:rFonts w:ascii="Times New Roman" w:hAnsi="Times New Roman" w:cs="Times New Roman"/>
          <w:color w:val="0D0D0D" w:themeColor="text1" w:themeTint="F2"/>
        </w:rPr>
        <w:footnoteReference w:id="37"/>
      </w:r>
      <w:r w:rsidRPr="00C57C3D">
        <w:rPr>
          <w:rFonts w:ascii="Times New Roman" w:hAnsi="Times New Roman" w:cs="Times New Roman"/>
          <w:color w:val="0D0D0D" w:themeColor="text1" w:themeTint="F2"/>
        </w:rPr>
        <w:t xml:space="preserve"> In this sense, </w:t>
      </w:r>
      <w:r w:rsidR="0076695E" w:rsidRPr="00C57C3D">
        <w:rPr>
          <w:rFonts w:ascii="Times New Roman" w:hAnsi="Times New Roman" w:cs="Times New Roman"/>
          <w:color w:val="0D0D0D" w:themeColor="text1" w:themeTint="F2"/>
        </w:rPr>
        <w:t xml:space="preserve">it may have been the </w:t>
      </w:r>
      <w:r w:rsidR="00C57C3D" w:rsidRPr="00C57C3D">
        <w:rPr>
          <w:rFonts w:ascii="Times New Roman" w:hAnsi="Times New Roman" w:cs="Times New Roman"/>
          <w:color w:val="0D0D0D" w:themeColor="text1" w:themeTint="F2"/>
        </w:rPr>
        <w:t xml:space="preserve">surge in support for the </w:t>
      </w:r>
      <w:r w:rsidR="0076695E" w:rsidRPr="00C57C3D">
        <w:rPr>
          <w:rFonts w:ascii="Times New Roman" w:hAnsi="Times New Roman" w:cs="Times New Roman"/>
          <w:color w:val="0D0D0D" w:themeColor="text1" w:themeTint="F2"/>
        </w:rPr>
        <w:t>abstract idea of nationhood and the undermining of the idea of empire that initiated and accelerated this process of decolonization.</w:t>
      </w:r>
    </w:p>
    <w:p w14:paraId="2CEB1926" w14:textId="52308C6A" w:rsidR="00D82DA3" w:rsidRDefault="00D82DA3" w:rsidP="00072BC9">
      <w:pPr>
        <w:rPr>
          <w:rFonts w:ascii="Times" w:hAnsi="Times" w:cs="Calibri"/>
          <w:color w:val="0D0D0D" w:themeColor="text1" w:themeTint="F2"/>
          <w:sz w:val="22"/>
          <w:szCs w:val="22"/>
        </w:rPr>
      </w:pPr>
    </w:p>
    <w:p w14:paraId="0016F2CE" w14:textId="77777777" w:rsidR="00072BC9" w:rsidRDefault="00072BC9" w:rsidP="00072BC9">
      <w:pPr>
        <w:rPr>
          <w:rFonts w:ascii="Times" w:hAnsi="Times" w:cs="Calibri"/>
          <w:b/>
          <w:bCs/>
          <w:color w:val="0D0D0D" w:themeColor="text1" w:themeTint="F2"/>
          <w:sz w:val="22"/>
          <w:szCs w:val="22"/>
          <w:u w:val="single"/>
        </w:rPr>
      </w:pPr>
    </w:p>
    <w:p w14:paraId="2B878E88" w14:textId="35EA7F00" w:rsidR="00D82DA3" w:rsidRPr="00C57C3D" w:rsidRDefault="00D82DA3" w:rsidP="00072BC9">
      <w:pPr>
        <w:rPr>
          <w:rFonts w:ascii="Times New Roman" w:hAnsi="Times New Roman" w:cs="Times New Roman"/>
          <w:b/>
          <w:bCs/>
          <w:color w:val="0D0D0D" w:themeColor="text1" w:themeTint="F2"/>
          <w:u w:val="single"/>
        </w:rPr>
      </w:pPr>
      <w:r w:rsidRPr="00C57C3D">
        <w:rPr>
          <w:rFonts w:ascii="Times New Roman" w:hAnsi="Times New Roman" w:cs="Times New Roman"/>
          <w:b/>
          <w:bCs/>
          <w:color w:val="0D0D0D" w:themeColor="text1" w:themeTint="F2"/>
          <w:u w:val="single"/>
        </w:rPr>
        <w:t>Bibliography</w:t>
      </w:r>
    </w:p>
    <w:p w14:paraId="1C3FB364" w14:textId="77777777" w:rsidR="00C93A63" w:rsidRPr="00C57C3D" w:rsidRDefault="00C93A63" w:rsidP="00072BC9">
      <w:pPr>
        <w:rPr>
          <w:rFonts w:ascii="Times New Roman" w:hAnsi="Times New Roman" w:cs="Times New Roman"/>
          <w:b/>
          <w:bCs/>
          <w:color w:val="0D0D0D" w:themeColor="text1" w:themeTint="F2"/>
          <w:u w:val="single"/>
        </w:rPr>
      </w:pPr>
    </w:p>
    <w:p w14:paraId="5C865CD2" w14:textId="446DD057" w:rsidR="00D82DA3" w:rsidRPr="00C57C3D" w:rsidRDefault="00D82DA3" w:rsidP="00072BC9">
      <w:pPr>
        <w:spacing w:line="200" w:lineRule="exact"/>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Winston Churchill, ‘The End of the Beginning’, (1942).</w:t>
      </w:r>
    </w:p>
    <w:p w14:paraId="56BFDC12" w14:textId="77777777" w:rsidR="00C93A63" w:rsidRPr="00C57C3D" w:rsidRDefault="00C93A63" w:rsidP="00072BC9">
      <w:pPr>
        <w:pStyle w:val="FootnoteText"/>
        <w:spacing w:line="200" w:lineRule="exact"/>
        <w:rPr>
          <w:rFonts w:ascii="Times New Roman" w:hAnsi="Times New Roman" w:cs="Times New Roman"/>
          <w:color w:val="0D0D0D" w:themeColor="text1" w:themeTint="F2"/>
          <w:sz w:val="24"/>
          <w:szCs w:val="24"/>
        </w:rPr>
      </w:pPr>
    </w:p>
    <w:p w14:paraId="564107BC" w14:textId="52D1D406" w:rsidR="00D82DA3" w:rsidRPr="00C57C3D" w:rsidRDefault="00D82DA3" w:rsidP="00072BC9">
      <w:pPr>
        <w:pStyle w:val="FootnoteText"/>
        <w:spacing w:line="200" w:lineRule="exact"/>
        <w:rPr>
          <w:rFonts w:ascii="Times New Roman" w:hAnsi="Times New Roman" w:cs="Times New Roman"/>
          <w:color w:val="0D0D0D" w:themeColor="text1" w:themeTint="F2"/>
          <w:sz w:val="24"/>
          <w:szCs w:val="24"/>
        </w:rPr>
      </w:pPr>
      <w:r w:rsidRPr="00C57C3D">
        <w:rPr>
          <w:rFonts w:ascii="Times New Roman" w:hAnsi="Times New Roman" w:cs="Times New Roman"/>
          <w:color w:val="0D0D0D" w:themeColor="text1" w:themeTint="F2"/>
          <w:sz w:val="24"/>
          <w:szCs w:val="24"/>
        </w:rPr>
        <w:t>Harold Macmillan, ‘Winds of Change’, (1960).</w:t>
      </w:r>
    </w:p>
    <w:p w14:paraId="2522ECB4" w14:textId="77777777" w:rsidR="00C93A63" w:rsidRPr="00C57C3D" w:rsidRDefault="00C93A63" w:rsidP="00072BC9">
      <w:pPr>
        <w:spacing w:line="200" w:lineRule="exact"/>
        <w:rPr>
          <w:rFonts w:ascii="Times New Roman" w:hAnsi="Times New Roman" w:cs="Times New Roman"/>
          <w:color w:val="0D0D0D" w:themeColor="text1" w:themeTint="F2"/>
        </w:rPr>
      </w:pPr>
    </w:p>
    <w:p w14:paraId="32F403C2" w14:textId="196A7BFA" w:rsidR="00D82DA3" w:rsidRPr="00C57C3D" w:rsidRDefault="00D82DA3" w:rsidP="00072BC9">
      <w:pPr>
        <w:spacing w:line="200" w:lineRule="exact"/>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OSPA, ‘Future Constitutional Development in the Colonies Review’, (1957).</w:t>
      </w:r>
    </w:p>
    <w:p w14:paraId="658F673A" w14:textId="77777777" w:rsidR="00C93A63" w:rsidRPr="00C57C3D" w:rsidRDefault="00C93A63" w:rsidP="00072BC9">
      <w:pPr>
        <w:spacing w:line="200" w:lineRule="exact"/>
        <w:rPr>
          <w:rFonts w:ascii="Times New Roman" w:hAnsi="Times New Roman" w:cs="Times New Roman"/>
          <w:color w:val="0D0D0D" w:themeColor="text1" w:themeTint="F2"/>
        </w:rPr>
      </w:pPr>
    </w:p>
    <w:p w14:paraId="0DBB7446" w14:textId="7A453370" w:rsidR="00D82DA3" w:rsidRPr="00C57C3D" w:rsidRDefault="00D82DA3" w:rsidP="00072BC9">
      <w:pPr>
        <w:spacing w:line="200" w:lineRule="exact"/>
        <w:rPr>
          <w:rFonts w:ascii="Times New Roman" w:hAnsi="Times New Roman" w:cs="Times New Roman"/>
          <w:color w:val="0D0D0D" w:themeColor="text1" w:themeTint="F2"/>
        </w:rPr>
      </w:pPr>
      <w:proofErr w:type="spellStart"/>
      <w:r w:rsidRPr="00C57C3D">
        <w:rPr>
          <w:rFonts w:ascii="Times New Roman" w:hAnsi="Times New Roman" w:cs="Times New Roman"/>
          <w:color w:val="0D0D0D" w:themeColor="text1" w:themeTint="F2"/>
        </w:rPr>
        <w:t>Jonjo</w:t>
      </w:r>
      <w:proofErr w:type="spellEnd"/>
      <w:r w:rsidRPr="00C57C3D">
        <w:rPr>
          <w:rFonts w:ascii="Times New Roman" w:hAnsi="Times New Roman" w:cs="Times New Roman"/>
          <w:color w:val="0D0D0D" w:themeColor="text1" w:themeTint="F2"/>
        </w:rPr>
        <w:t xml:space="preserve"> Robb, ‘Was British Decolonization after 1945 a Voluntary Process?’, (2015)</w:t>
      </w:r>
      <w:r w:rsidR="00072BC9" w:rsidRPr="00C57C3D">
        <w:rPr>
          <w:rFonts w:ascii="Times New Roman" w:hAnsi="Times New Roman" w:cs="Times New Roman"/>
          <w:color w:val="0D0D0D" w:themeColor="text1" w:themeTint="F2"/>
        </w:rPr>
        <w:t>.</w:t>
      </w:r>
    </w:p>
    <w:p w14:paraId="1B6F2E51" w14:textId="77777777" w:rsidR="00C93A63" w:rsidRPr="00C57C3D" w:rsidRDefault="00C93A63" w:rsidP="00072BC9">
      <w:pPr>
        <w:spacing w:line="200" w:lineRule="exact"/>
        <w:rPr>
          <w:rFonts w:ascii="Times New Roman" w:hAnsi="Times New Roman" w:cs="Times New Roman"/>
          <w:color w:val="0D0D0D" w:themeColor="text1" w:themeTint="F2"/>
        </w:rPr>
      </w:pPr>
    </w:p>
    <w:p w14:paraId="11D99290" w14:textId="4977FE9A" w:rsidR="00D82DA3" w:rsidRPr="00C57C3D" w:rsidRDefault="00D82DA3" w:rsidP="00072BC9">
      <w:pPr>
        <w:spacing w:line="200" w:lineRule="exact"/>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 xml:space="preserve">David Pierce, ‘Decolonization and the Collapse of the British Empire’, </w:t>
      </w:r>
      <w:r w:rsidRPr="00C57C3D">
        <w:rPr>
          <w:rFonts w:ascii="Times New Roman" w:hAnsi="Times New Roman" w:cs="Times New Roman"/>
          <w:i/>
          <w:iCs/>
          <w:color w:val="0D0D0D" w:themeColor="text1" w:themeTint="F2"/>
        </w:rPr>
        <w:t>Inquiries Journal,</w:t>
      </w:r>
      <w:r w:rsidRPr="00C57C3D">
        <w:rPr>
          <w:rFonts w:ascii="Times New Roman" w:hAnsi="Times New Roman" w:cs="Times New Roman"/>
          <w:color w:val="0D0D0D" w:themeColor="text1" w:themeTint="F2"/>
        </w:rPr>
        <w:t xml:space="preserve"> (2009).</w:t>
      </w:r>
    </w:p>
    <w:p w14:paraId="174268AD" w14:textId="77777777" w:rsidR="00C93A63" w:rsidRPr="00C57C3D" w:rsidRDefault="00C93A63" w:rsidP="00072BC9">
      <w:pPr>
        <w:spacing w:line="200" w:lineRule="exact"/>
        <w:rPr>
          <w:rFonts w:ascii="Times New Roman" w:hAnsi="Times New Roman" w:cs="Times New Roman"/>
          <w:color w:val="0D0D0D" w:themeColor="text1" w:themeTint="F2"/>
        </w:rPr>
      </w:pPr>
    </w:p>
    <w:p w14:paraId="3F0930E7" w14:textId="1350A123" w:rsidR="00D82DA3" w:rsidRPr="00C57C3D" w:rsidRDefault="00D82DA3" w:rsidP="00072BC9">
      <w:pPr>
        <w:spacing w:line="200" w:lineRule="exact"/>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 xml:space="preserve">Michael Collins, ‘Decolonization’, </w:t>
      </w:r>
      <w:r w:rsidRPr="00C57C3D">
        <w:rPr>
          <w:rFonts w:ascii="Times New Roman" w:hAnsi="Times New Roman" w:cs="Times New Roman"/>
          <w:i/>
          <w:iCs/>
          <w:color w:val="0D0D0D" w:themeColor="text1" w:themeTint="F2"/>
        </w:rPr>
        <w:t xml:space="preserve">Wiley Online Library, </w:t>
      </w:r>
      <w:r w:rsidRPr="00C57C3D">
        <w:rPr>
          <w:rFonts w:ascii="Times New Roman" w:hAnsi="Times New Roman" w:cs="Times New Roman"/>
          <w:color w:val="0D0D0D" w:themeColor="text1" w:themeTint="F2"/>
        </w:rPr>
        <w:t>(2015).</w:t>
      </w:r>
    </w:p>
    <w:p w14:paraId="15B60ADD" w14:textId="77777777" w:rsidR="00C93A63" w:rsidRPr="00C57C3D" w:rsidRDefault="00C93A63" w:rsidP="00072BC9">
      <w:pPr>
        <w:spacing w:line="200" w:lineRule="exact"/>
        <w:rPr>
          <w:rFonts w:ascii="Times New Roman" w:eastAsia="Times New Roman" w:hAnsi="Times New Roman" w:cs="Times New Roman"/>
          <w:color w:val="0D0D0D" w:themeColor="text1" w:themeTint="F2"/>
          <w:shd w:val="clear" w:color="auto" w:fill="FFFFFF"/>
        </w:rPr>
      </w:pPr>
    </w:p>
    <w:p w14:paraId="6C37A358" w14:textId="69B667B9" w:rsidR="00D82DA3" w:rsidRPr="00C57C3D" w:rsidRDefault="00D82DA3" w:rsidP="00072BC9">
      <w:pPr>
        <w:spacing w:line="200" w:lineRule="exact"/>
        <w:rPr>
          <w:rFonts w:ascii="Times New Roman" w:eastAsia="Times New Roman" w:hAnsi="Times New Roman" w:cs="Times New Roman"/>
          <w:color w:val="0D0D0D" w:themeColor="text1" w:themeTint="F2"/>
        </w:rPr>
      </w:pPr>
      <w:r w:rsidRPr="00C57C3D">
        <w:rPr>
          <w:rFonts w:ascii="Times New Roman" w:eastAsia="Times New Roman" w:hAnsi="Times New Roman" w:cs="Times New Roman"/>
          <w:color w:val="0D0D0D" w:themeColor="text1" w:themeTint="F2"/>
          <w:shd w:val="clear" w:color="auto" w:fill="FFFFFF"/>
        </w:rPr>
        <w:t>Clement Attlee, ‘Address given by Clement Attlee to the House of Commons,’ (1946).</w:t>
      </w:r>
    </w:p>
    <w:p w14:paraId="2E449B9A" w14:textId="77777777" w:rsidR="00C93A63" w:rsidRPr="00C57C3D" w:rsidRDefault="00C93A63" w:rsidP="00072BC9">
      <w:pPr>
        <w:spacing w:line="200" w:lineRule="exact"/>
        <w:rPr>
          <w:rFonts w:ascii="Times New Roman" w:eastAsia="Times New Roman" w:hAnsi="Times New Roman" w:cs="Times New Roman"/>
          <w:color w:val="0D0D0D" w:themeColor="text1" w:themeTint="F2"/>
          <w:shd w:val="clear" w:color="auto" w:fill="FFFFFF"/>
        </w:rPr>
      </w:pPr>
    </w:p>
    <w:p w14:paraId="2B22C234" w14:textId="03CB6DEC" w:rsidR="00D82DA3" w:rsidRPr="00C57C3D" w:rsidRDefault="00D82DA3" w:rsidP="00072BC9">
      <w:pPr>
        <w:spacing w:line="200" w:lineRule="exact"/>
        <w:rPr>
          <w:rFonts w:ascii="Times New Roman" w:eastAsia="Times New Roman" w:hAnsi="Times New Roman" w:cs="Times New Roman"/>
          <w:color w:val="0D0D0D" w:themeColor="text1" w:themeTint="F2"/>
          <w:shd w:val="clear" w:color="auto" w:fill="FFFFFF"/>
        </w:rPr>
      </w:pPr>
      <w:proofErr w:type="spellStart"/>
      <w:r w:rsidRPr="00C57C3D">
        <w:rPr>
          <w:rFonts w:ascii="Times New Roman" w:eastAsia="Times New Roman" w:hAnsi="Times New Roman" w:cs="Times New Roman"/>
          <w:color w:val="0D0D0D" w:themeColor="text1" w:themeTint="F2"/>
          <w:shd w:val="clear" w:color="auto" w:fill="FFFFFF"/>
        </w:rPr>
        <w:t>Hyam</w:t>
      </w:r>
      <w:proofErr w:type="spellEnd"/>
      <w:r w:rsidRPr="00C57C3D">
        <w:rPr>
          <w:rFonts w:ascii="Times New Roman" w:eastAsia="Times New Roman" w:hAnsi="Times New Roman" w:cs="Times New Roman"/>
          <w:color w:val="0D0D0D" w:themeColor="text1" w:themeTint="F2"/>
          <w:shd w:val="clear" w:color="auto" w:fill="FFFFFF"/>
        </w:rPr>
        <w:t xml:space="preserve">, R., </w:t>
      </w:r>
      <w:r w:rsidRPr="00C57C3D">
        <w:rPr>
          <w:rFonts w:ascii="Times New Roman" w:eastAsia="Times New Roman" w:hAnsi="Times New Roman" w:cs="Times New Roman"/>
          <w:i/>
          <w:iCs/>
          <w:color w:val="0D0D0D" w:themeColor="text1" w:themeTint="F2"/>
          <w:shd w:val="clear" w:color="auto" w:fill="FFFFFF"/>
        </w:rPr>
        <w:t>Britain’s Declining Empire: The Road to Decolonisation, 1918-1968 </w:t>
      </w:r>
      <w:r w:rsidRPr="00C57C3D">
        <w:rPr>
          <w:rFonts w:ascii="Times New Roman" w:eastAsia="Times New Roman" w:hAnsi="Times New Roman" w:cs="Times New Roman"/>
          <w:color w:val="0D0D0D" w:themeColor="text1" w:themeTint="F2"/>
          <w:shd w:val="clear" w:color="auto" w:fill="FFFFFF"/>
        </w:rPr>
        <w:t>(2006), 159.</w:t>
      </w:r>
    </w:p>
    <w:p w14:paraId="680F6697" w14:textId="77777777" w:rsidR="00C93A63" w:rsidRPr="00C57C3D" w:rsidRDefault="00C93A63" w:rsidP="00072BC9">
      <w:pPr>
        <w:spacing w:line="200" w:lineRule="exact"/>
        <w:rPr>
          <w:rFonts w:ascii="Times New Roman" w:hAnsi="Times New Roman" w:cs="Times New Roman"/>
          <w:color w:val="0D0D0D" w:themeColor="text1" w:themeTint="F2"/>
          <w:shd w:val="clear" w:color="auto" w:fill="FFFFFF"/>
        </w:rPr>
      </w:pPr>
    </w:p>
    <w:p w14:paraId="4294B939" w14:textId="19122483" w:rsidR="00D82DA3" w:rsidRPr="00C57C3D" w:rsidRDefault="00D82DA3" w:rsidP="00072BC9">
      <w:pPr>
        <w:spacing w:line="200" w:lineRule="exact"/>
        <w:ind w:left="720" w:hanging="720"/>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shd w:val="clear" w:color="auto" w:fill="FFFFFF"/>
        </w:rPr>
        <w:t xml:space="preserve">Darwin, J., </w:t>
      </w:r>
      <w:r w:rsidRPr="00C57C3D">
        <w:rPr>
          <w:rStyle w:val="Emphasis"/>
          <w:rFonts w:ascii="Times New Roman" w:hAnsi="Times New Roman" w:cs="Times New Roman"/>
          <w:color w:val="0D0D0D" w:themeColor="text1" w:themeTint="F2"/>
          <w:shd w:val="clear" w:color="auto" w:fill="FFFFFF"/>
        </w:rPr>
        <w:t>The Empire Project: The Rise and Fall of the British World-System, 1830-1970, (</w:t>
      </w:r>
      <w:r w:rsidRPr="00C57C3D">
        <w:rPr>
          <w:rFonts w:ascii="Times New Roman" w:hAnsi="Times New Roman" w:cs="Times New Roman"/>
          <w:color w:val="0D0D0D" w:themeColor="text1" w:themeTint="F2"/>
          <w:shd w:val="clear" w:color="auto" w:fill="FFFFFF"/>
        </w:rPr>
        <w:t>2009), 560.</w:t>
      </w:r>
    </w:p>
    <w:p w14:paraId="5E92A2D6" w14:textId="4BD34806" w:rsidR="00D82DA3" w:rsidRPr="00C57C3D" w:rsidRDefault="00D82DA3" w:rsidP="00072BC9">
      <w:pPr>
        <w:pStyle w:val="FootnoteText"/>
        <w:spacing w:line="200" w:lineRule="exact"/>
        <w:rPr>
          <w:rFonts w:ascii="Times New Roman" w:hAnsi="Times New Roman" w:cs="Times New Roman"/>
          <w:color w:val="0D0D0D" w:themeColor="text1" w:themeTint="F2"/>
          <w:sz w:val="24"/>
          <w:szCs w:val="24"/>
        </w:rPr>
      </w:pPr>
      <w:r w:rsidRPr="00C57C3D">
        <w:rPr>
          <w:rFonts w:ascii="Times New Roman" w:hAnsi="Times New Roman" w:cs="Times New Roman"/>
          <w:color w:val="0D0D0D" w:themeColor="text1" w:themeTint="F2"/>
          <w:sz w:val="24"/>
          <w:szCs w:val="24"/>
        </w:rPr>
        <w:t xml:space="preserve">AJ </w:t>
      </w:r>
      <w:proofErr w:type="spellStart"/>
      <w:r w:rsidRPr="00C57C3D">
        <w:rPr>
          <w:rFonts w:ascii="Times New Roman" w:hAnsi="Times New Roman" w:cs="Times New Roman"/>
          <w:color w:val="0D0D0D" w:themeColor="text1" w:themeTint="F2"/>
          <w:sz w:val="24"/>
          <w:szCs w:val="24"/>
        </w:rPr>
        <w:t>Stockwell</w:t>
      </w:r>
      <w:proofErr w:type="spellEnd"/>
      <w:r w:rsidRPr="00C57C3D">
        <w:rPr>
          <w:rFonts w:ascii="Times New Roman" w:hAnsi="Times New Roman" w:cs="Times New Roman"/>
          <w:color w:val="0D0D0D" w:themeColor="text1" w:themeTint="F2"/>
          <w:sz w:val="24"/>
          <w:szCs w:val="24"/>
        </w:rPr>
        <w:t xml:space="preserve">, </w:t>
      </w:r>
      <w:r w:rsidRPr="00C57C3D">
        <w:rPr>
          <w:rFonts w:ascii="Times New Roman" w:hAnsi="Times New Roman" w:cs="Times New Roman"/>
          <w:i/>
          <w:iCs/>
          <w:color w:val="0D0D0D" w:themeColor="text1" w:themeTint="F2"/>
          <w:sz w:val="24"/>
          <w:szCs w:val="24"/>
        </w:rPr>
        <w:t xml:space="preserve">British Documents on the End of Empire, Series B, Volume 3: Malaya, </w:t>
      </w:r>
      <w:r w:rsidRPr="00C57C3D">
        <w:rPr>
          <w:rFonts w:ascii="Times New Roman" w:hAnsi="Times New Roman" w:cs="Times New Roman"/>
          <w:color w:val="0D0D0D" w:themeColor="text1" w:themeTint="F2"/>
          <w:sz w:val="24"/>
          <w:szCs w:val="24"/>
        </w:rPr>
        <w:t>(2004), 38.</w:t>
      </w:r>
    </w:p>
    <w:p w14:paraId="037EE89F" w14:textId="77777777" w:rsidR="00072BC9" w:rsidRPr="00C57C3D" w:rsidRDefault="00072BC9" w:rsidP="00072BC9">
      <w:pPr>
        <w:pStyle w:val="FootnoteText"/>
        <w:spacing w:line="200" w:lineRule="exact"/>
        <w:rPr>
          <w:rFonts w:ascii="Times New Roman" w:hAnsi="Times New Roman" w:cs="Times New Roman"/>
          <w:color w:val="0D0D0D" w:themeColor="text1" w:themeTint="F2"/>
          <w:sz w:val="24"/>
          <w:szCs w:val="24"/>
        </w:rPr>
      </w:pPr>
    </w:p>
    <w:p w14:paraId="6CB2B8EC" w14:textId="1305A440" w:rsidR="00072BC9" w:rsidRPr="00C57C3D" w:rsidRDefault="00D82DA3" w:rsidP="00072BC9">
      <w:pPr>
        <w:spacing w:line="200" w:lineRule="exact"/>
        <w:ind w:left="720" w:hanging="720"/>
        <w:rPr>
          <w:rFonts w:ascii="Times New Roman" w:hAnsi="Times New Roman" w:cs="Times New Roman"/>
          <w:color w:val="0D0D0D" w:themeColor="text1" w:themeTint="F2"/>
          <w:shd w:val="clear" w:color="auto" w:fill="FFFFFF"/>
        </w:rPr>
      </w:pPr>
      <w:r w:rsidRPr="00C57C3D">
        <w:rPr>
          <w:rFonts w:ascii="Times New Roman" w:hAnsi="Times New Roman" w:cs="Times New Roman"/>
          <w:color w:val="0D0D0D" w:themeColor="text1" w:themeTint="F2"/>
          <w:shd w:val="clear" w:color="auto" w:fill="FFFFFF"/>
        </w:rPr>
        <w:t>Jeffery, K., ‘The Second World War’, in </w:t>
      </w:r>
      <w:r w:rsidRPr="00C57C3D">
        <w:rPr>
          <w:rStyle w:val="Emphasis"/>
          <w:rFonts w:ascii="Times New Roman" w:hAnsi="Times New Roman" w:cs="Times New Roman"/>
          <w:color w:val="0D0D0D" w:themeColor="text1" w:themeTint="F2"/>
          <w:shd w:val="clear" w:color="auto" w:fill="FFFFFF"/>
        </w:rPr>
        <w:t xml:space="preserve">The Oxford History of the British Empire, Volume IV: The Twentieth Century, </w:t>
      </w:r>
      <w:r w:rsidRPr="00C57C3D">
        <w:rPr>
          <w:rStyle w:val="Emphasis"/>
          <w:rFonts w:ascii="Times New Roman" w:hAnsi="Times New Roman" w:cs="Times New Roman"/>
          <w:i w:val="0"/>
          <w:iCs w:val="0"/>
          <w:color w:val="0D0D0D" w:themeColor="text1" w:themeTint="F2"/>
          <w:shd w:val="clear" w:color="auto" w:fill="FFFFFF"/>
        </w:rPr>
        <w:t>(</w:t>
      </w:r>
      <w:r w:rsidRPr="00C57C3D">
        <w:rPr>
          <w:rFonts w:ascii="Times New Roman" w:hAnsi="Times New Roman" w:cs="Times New Roman"/>
          <w:color w:val="0D0D0D" w:themeColor="text1" w:themeTint="F2"/>
          <w:shd w:val="clear" w:color="auto" w:fill="FFFFFF"/>
        </w:rPr>
        <w:t>1999), 319.</w:t>
      </w:r>
    </w:p>
    <w:p w14:paraId="5A7AF979" w14:textId="77777777" w:rsidR="00072BC9" w:rsidRPr="00C57C3D" w:rsidRDefault="00072BC9" w:rsidP="00072BC9">
      <w:pPr>
        <w:spacing w:line="200" w:lineRule="exact"/>
        <w:ind w:left="720" w:hanging="720"/>
        <w:rPr>
          <w:rFonts w:ascii="Times New Roman" w:hAnsi="Times New Roman" w:cs="Times New Roman"/>
          <w:color w:val="0D0D0D" w:themeColor="text1" w:themeTint="F2"/>
          <w:shd w:val="clear" w:color="auto" w:fill="FFFFFF"/>
        </w:rPr>
      </w:pPr>
    </w:p>
    <w:p w14:paraId="07DAC23E" w14:textId="3AC18913" w:rsidR="00D82DA3" w:rsidRPr="00C57C3D" w:rsidRDefault="00D82DA3" w:rsidP="00072BC9">
      <w:pPr>
        <w:pStyle w:val="Heading1"/>
        <w:spacing w:before="0" w:beforeAutospacing="0" w:after="0" w:afterAutospacing="0" w:line="200" w:lineRule="exact"/>
        <w:ind w:left="720" w:hanging="720"/>
        <w:rPr>
          <w:rFonts w:eastAsiaTheme="minorEastAsia"/>
          <w:b w:val="0"/>
          <w:bCs w:val="0"/>
          <w:color w:val="0D0D0D" w:themeColor="text1" w:themeTint="F2"/>
          <w:kern w:val="0"/>
          <w:sz w:val="24"/>
          <w:szCs w:val="24"/>
        </w:rPr>
      </w:pPr>
      <w:r w:rsidRPr="00C57C3D">
        <w:rPr>
          <w:rFonts w:eastAsiaTheme="minorEastAsia"/>
          <w:b w:val="0"/>
          <w:bCs w:val="0"/>
          <w:color w:val="0D0D0D" w:themeColor="text1" w:themeTint="F2"/>
          <w:kern w:val="0"/>
          <w:sz w:val="24"/>
          <w:szCs w:val="24"/>
        </w:rPr>
        <w:t xml:space="preserve">Ahmad </w:t>
      </w:r>
      <w:proofErr w:type="spellStart"/>
      <w:r w:rsidRPr="00C57C3D">
        <w:rPr>
          <w:rFonts w:eastAsiaTheme="minorEastAsia"/>
          <w:b w:val="0"/>
          <w:bCs w:val="0"/>
          <w:color w:val="0D0D0D" w:themeColor="text1" w:themeTint="F2"/>
          <w:kern w:val="0"/>
          <w:sz w:val="24"/>
          <w:szCs w:val="24"/>
        </w:rPr>
        <w:t>Fauzi</w:t>
      </w:r>
      <w:proofErr w:type="spellEnd"/>
      <w:r w:rsidRPr="00C57C3D">
        <w:rPr>
          <w:rFonts w:eastAsiaTheme="minorEastAsia"/>
          <w:b w:val="0"/>
          <w:bCs w:val="0"/>
          <w:color w:val="0D0D0D" w:themeColor="text1" w:themeTint="F2"/>
          <w:kern w:val="0"/>
          <w:sz w:val="24"/>
          <w:szCs w:val="24"/>
        </w:rPr>
        <w:t xml:space="preserve"> Abdul Hamid, ‘Malay Anti-Colonialism in British Malaya: A Re-appraisal of Independence Fighters of Peninsular Malaysia’, </w:t>
      </w:r>
      <w:r w:rsidRPr="00C57C3D">
        <w:rPr>
          <w:rFonts w:eastAsiaTheme="minorEastAsia"/>
          <w:b w:val="0"/>
          <w:bCs w:val="0"/>
          <w:i/>
          <w:iCs/>
          <w:color w:val="0D0D0D" w:themeColor="text1" w:themeTint="F2"/>
          <w:kern w:val="0"/>
          <w:sz w:val="24"/>
          <w:szCs w:val="24"/>
        </w:rPr>
        <w:t>Journal of Asian and African Studies</w:t>
      </w:r>
      <w:r w:rsidRPr="00C57C3D">
        <w:rPr>
          <w:rFonts w:eastAsiaTheme="minorEastAsia"/>
          <w:b w:val="0"/>
          <w:bCs w:val="0"/>
          <w:color w:val="0D0D0D" w:themeColor="text1" w:themeTint="F2"/>
          <w:kern w:val="0"/>
          <w:sz w:val="24"/>
          <w:szCs w:val="24"/>
        </w:rPr>
        <w:t>, (2007), 384.</w:t>
      </w:r>
    </w:p>
    <w:p w14:paraId="2DB469E2" w14:textId="77777777" w:rsidR="00072BC9" w:rsidRPr="00C57C3D" w:rsidRDefault="00072BC9" w:rsidP="00072BC9">
      <w:pPr>
        <w:pStyle w:val="Heading1"/>
        <w:spacing w:before="0" w:beforeAutospacing="0" w:after="0" w:afterAutospacing="0" w:line="200" w:lineRule="exact"/>
        <w:ind w:left="720" w:hanging="720"/>
        <w:rPr>
          <w:rFonts w:eastAsiaTheme="minorEastAsia"/>
          <w:b w:val="0"/>
          <w:bCs w:val="0"/>
          <w:color w:val="0D0D0D" w:themeColor="text1" w:themeTint="F2"/>
          <w:kern w:val="0"/>
          <w:sz w:val="24"/>
          <w:szCs w:val="24"/>
        </w:rPr>
      </w:pPr>
    </w:p>
    <w:p w14:paraId="74ADFAFE" w14:textId="483DE9B8" w:rsidR="00072BC9" w:rsidRPr="00C57C3D" w:rsidRDefault="00072BC9" w:rsidP="00072BC9">
      <w:pPr>
        <w:spacing w:line="200" w:lineRule="exact"/>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 xml:space="preserve">J.A. </w:t>
      </w:r>
      <w:proofErr w:type="spellStart"/>
      <w:r w:rsidRPr="00C57C3D">
        <w:rPr>
          <w:rFonts w:ascii="Times New Roman" w:hAnsi="Times New Roman" w:cs="Times New Roman"/>
          <w:color w:val="0D0D0D" w:themeColor="text1" w:themeTint="F2"/>
        </w:rPr>
        <w:t>Kechichian</w:t>
      </w:r>
      <w:proofErr w:type="spellEnd"/>
      <w:r w:rsidRPr="00C57C3D">
        <w:rPr>
          <w:rFonts w:ascii="Times New Roman" w:hAnsi="Times New Roman" w:cs="Times New Roman"/>
          <w:color w:val="0D0D0D" w:themeColor="text1" w:themeTint="F2"/>
        </w:rPr>
        <w:t>, ‘Baghdad Pact’</w:t>
      </w:r>
      <w:r w:rsidRPr="00C57C3D">
        <w:rPr>
          <w:rFonts w:ascii="Times New Roman" w:hAnsi="Times New Roman" w:cs="Times New Roman"/>
          <w:i/>
          <w:iCs/>
          <w:color w:val="0D0D0D" w:themeColor="text1" w:themeTint="F2"/>
        </w:rPr>
        <w:t xml:space="preserve">, Encyclopedia </w:t>
      </w:r>
      <w:proofErr w:type="spellStart"/>
      <w:r w:rsidRPr="00C57C3D">
        <w:rPr>
          <w:rFonts w:ascii="Times New Roman" w:hAnsi="Times New Roman" w:cs="Times New Roman"/>
          <w:i/>
          <w:iCs/>
          <w:color w:val="0D0D0D" w:themeColor="text1" w:themeTint="F2"/>
        </w:rPr>
        <w:t>Iranica</w:t>
      </w:r>
      <w:proofErr w:type="spellEnd"/>
      <w:r w:rsidRPr="00C57C3D">
        <w:rPr>
          <w:rFonts w:ascii="Times New Roman" w:hAnsi="Times New Roman" w:cs="Times New Roman"/>
          <w:i/>
          <w:iCs/>
          <w:color w:val="0D0D0D" w:themeColor="text1" w:themeTint="F2"/>
        </w:rPr>
        <w:t xml:space="preserve">, </w:t>
      </w:r>
      <w:r w:rsidRPr="00C57C3D">
        <w:rPr>
          <w:rFonts w:ascii="Times New Roman" w:hAnsi="Times New Roman" w:cs="Times New Roman"/>
          <w:color w:val="0D0D0D" w:themeColor="text1" w:themeTint="F2"/>
        </w:rPr>
        <w:t>(2011).</w:t>
      </w:r>
    </w:p>
    <w:p w14:paraId="6836AE43" w14:textId="77777777" w:rsidR="00072BC9" w:rsidRPr="00C57C3D" w:rsidRDefault="00072BC9" w:rsidP="00072BC9">
      <w:pPr>
        <w:spacing w:line="200" w:lineRule="exact"/>
        <w:rPr>
          <w:rFonts w:ascii="Times New Roman" w:hAnsi="Times New Roman" w:cs="Times New Roman"/>
          <w:color w:val="0D0D0D" w:themeColor="text1" w:themeTint="F2"/>
        </w:rPr>
      </w:pPr>
    </w:p>
    <w:p w14:paraId="5182DBCE" w14:textId="27B8663B" w:rsidR="00072BC9" w:rsidRPr="00C57C3D" w:rsidRDefault="00072BC9" w:rsidP="00072BC9">
      <w:pPr>
        <w:spacing w:line="200" w:lineRule="exact"/>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 xml:space="preserve">Simon S. Smith, </w:t>
      </w:r>
      <w:r w:rsidRPr="00C57C3D">
        <w:rPr>
          <w:rFonts w:ascii="Times New Roman" w:hAnsi="Times New Roman" w:cs="Times New Roman"/>
          <w:i/>
          <w:iCs/>
          <w:color w:val="0D0D0D" w:themeColor="text1" w:themeTint="F2"/>
        </w:rPr>
        <w:t>Ending Empire in the Middle East</w:t>
      </w:r>
      <w:r w:rsidRPr="00C57C3D">
        <w:rPr>
          <w:rFonts w:ascii="Times New Roman" w:hAnsi="Times New Roman" w:cs="Times New Roman"/>
          <w:color w:val="0D0D0D" w:themeColor="text1" w:themeTint="F2"/>
        </w:rPr>
        <w:t xml:space="preserve"> (London, 2012).</w:t>
      </w:r>
    </w:p>
    <w:p w14:paraId="0FDC681F" w14:textId="77777777" w:rsidR="00072BC9" w:rsidRPr="00C57C3D" w:rsidRDefault="00072BC9" w:rsidP="00072BC9">
      <w:pPr>
        <w:spacing w:line="200" w:lineRule="exact"/>
        <w:rPr>
          <w:rFonts w:ascii="Times New Roman" w:hAnsi="Times New Roman" w:cs="Times New Roman"/>
          <w:color w:val="0D0D0D" w:themeColor="text1" w:themeTint="F2"/>
        </w:rPr>
      </w:pPr>
    </w:p>
    <w:p w14:paraId="24375FA7" w14:textId="58AE646F" w:rsidR="00072BC9" w:rsidRPr="00C57C3D" w:rsidRDefault="00072BC9" w:rsidP="00072BC9">
      <w:pPr>
        <w:spacing w:line="200" w:lineRule="exact"/>
        <w:ind w:left="720" w:hanging="720"/>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lastRenderedPageBreak/>
        <w:t xml:space="preserve">Simon S. Smith, ‘Britain’s Decision to Withdraw from the Persian Gulf: A Pattern not a Puzzle’, </w:t>
      </w:r>
      <w:r w:rsidRPr="00C57C3D">
        <w:rPr>
          <w:rFonts w:ascii="Times New Roman" w:hAnsi="Times New Roman" w:cs="Times New Roman"/>
          <w:i/>
          <w:iCs/>
          <w:color w:val="0D0D0D" w:themeColor="text1" w:themeTint="F2"/>
        </w:rPr>
        <w:t>The Journal of Imperial and Commonwealth History</w:t>
      </w:r>
      <w:r w:rsidRPr="00C57C3D">
        <w:rPr>
          <w:rFonts w:ascii="Times New Roman" w:hAnsi="Times New Roman" w:cs="Times New Roman"/>
          <w:color w:val="0D0D0D" w:themeColor="text1" w:themeTint="F2"/>
        </w:rPr>
        <w:t>, (2016).</w:t>
      </w:r>
    </w:p>
    <w:p w14:paraId="4750705C" w14:textId="77777777" w:rsidR="00072BC9" w:rsidRPr="00C57C3D" w:rsidRDefault="00072BC9" w:rsidP="00072BC9">
      <w:pPr>
        <w:spacing w:line="200" w:lineRule="exact"/>
        <w:ind w:left="180" w:hanging="180"/>
        <w:rPr>
          <w:rFonts w:ascii="Times New Roman" w:hAnsi="Times New Roman" w:cs="Times New Roman"/>
          <w:color w:val="0D0D0D" w:themeColor="text1" w:themeTint="F2"/>
        </w:rPr>
      </w:pPr>
    </w:p>
    <w:p w14:paraId="7B5D6022" w14:textId="5ED183A7" w:rsidR="00072BC9" w:rsidRPr="00C57C3D" w:rsidRDefault="00072BC9" w:rsidP="00072BC9">
      <w:pPr>
        <w:spacing w:line="200" w:lineRule="exact"/>
        <w:ind w:left="720" w:hanging="720"/>
        <w:rPr>
          <w:rFonts w:ascii="Times New Roman" w:hAnsi="Times New Roman" w:cs="Times New Roman"/>
          <w:color w:val="0D0D0D" w:themeColor="text1" w:themeTint="F2"/>
        </w:rPr>
      </w:pPr>
      <w:r w:rsidRPr="00C57C3D">
        <w:rPr>
          <w:rFonts w:ascii="Times New Roman" w:hAnsi="Times New Roman" w:cs="Times New Roman"/>
          <w:color w:val="0D0D0D" w:themeColor="text1" w:themeTint="F2"/>
        </w:rPr>
        <w:t xml:space="preserve">Youssef </w:t>
      </w:r>
      <w:proofErr w:type="spellStart"/>
      <w:r w:rsidRPr="00C57C3D">
        <w:rPr>
          <w:rFonts w:ascii="Times New Roman" w:hAnsi="Times New Roman" w:cs="Times New Roman"/>
          <w:color w:val="0D0D0D" w:themeColor="text1" w:themeTint="F2"/>
        </w:rPr>
        <w:t>Kodsy</w:t>
      </w:r>
      <w:proofErr w:type="spellEnd"/>
      <w:r w:rsidRPr="00C57C3D">
        <w:rPr>
          <w:rFonts w:ascii="Times New Roman" w:hAnsi="Times New Roman" w:cs="Times New Roman"/>
          <w:color w:val="0D0D0D" w:themeColor="text1" w:themeTint="F2"/>
        </w:rPr>
        <w:t xml:space="preserve">, ‘Anti-colonialism, grassroots nationalism and their impacts on international relations in Egypt’, </w:t>
      </w:r>
      <w:proofErr w:type="spellStart"/>
      <w:r w:rsidRPr="00C57C3D">
        <w:rPr>
          <w:rFonts w:ascii="Times New Roman" w:hAnsi="Times New Roman" w:cs="Times New Roman"/>
          <w:i/>
          <w:iCs/>
          <w:color w:val="0D0D0D" w:themeColor="text1" w:themeTint="F2"/>
        </w:rPr>
        <w:t>openDemocracy</w:t>
      </w:r>
      <w:proofErr w:type="spellEnd"/>
      <w:r w:rsidRPr="00C57C3D">
        <w:rPr>
          <w:rFonts w:ascii="Times New Roman" w:hAnsi="Times New Roman" w:cs="Times New Roman"/>
          <w:color w:val="0D0D0D" w:themeColor="text1" w:themeTint="F2"/>
        </w:rPr>
        <w:t>, (2015).</w:t>
      </w:r>
    </w:p>
    <w:p w14:paraId="76DACA6D" w14:textId="588C3318" w:rsidR="00D82DA3" w:rsidRPr="00C57C3D" w:rsidRDefault="00D82DA3" w:rsidP="00072BC9">
      <w:pPr>
        <w:spacing w:line="200" w:lineRule="exact"/>
        <w:rPr>
          <w:rFonts w:ascii="Times New Roman" w:eastAsia="Times New Roman" w:hAnsi="Times New Roman" w:cs="Times New Roman"/>
          <w:color w:val="0D0D0D" w:themeColor="text1" w:themeTint="F2"/>
        </w:rPr>
      </w:pPr>
    </w:p>
    <w:p w14:paraId="7718C53A" w14:textId="77777777" w:rsidR="00072BC9" w:rsidRPr="00C57C3D" w:rsidRDefault="00072BC9" w:rsidP="00072BC9">
      <w:pPr>
        <w:pStyle w:val="FootnoteText"/>
        <w:spacing w:line="200" w:lineRule="exact"/>
        <w:ind w:left="180" w:hanging="180"/>
        <w:rPr>
          <w:rFonts w:ascii="Times New Roman" w:hAnsi="Times New Roman" w:cs="Times New Roman"/>
          <w:color w:val="0D0D0D" w:themeColor="text1" w:themeTint="F2"/>
          <w:sz w:val="24"/>
          <w:szCs w:val="24"/>
        </w:rPr>
      </w:pPr>
      <w:r w:rsidRPr="00C57C3D">
        <w:rPr>
          <w:rFonts w:ascii="Times New Roman" w:hAnsi="Times New Roman" w:cs="Times New Roman"/>
          <w:color w:val="0D0D0D" w:themeColor="text1" w:themeTint="F2"/>
          <w:sz w:val="24"/>
          <w:szCs w:val="24"/>
        </w:rPr>
        <w:t xml:space="preserve">Ronald </w:t>
      </w:r>
      <w:proofErr w:type="spellStart"/>
      <w:r w:rsidRPr="00C57C3D">
        <w:rPr>
          <w:rFonts w:ascii="Times New Roman" w:hAnsi="Times New Roman" w:cs="Times New Roman"/>
          <w:color w:val="0D0D0D" w:themeColor="text1" w:themeTint="F2"/>
          <w:sz w:val="24"/>
          <w:szCs w:val="24"/>
        </w:rPr>
        <w:t>Hyam</w:t>
      </w:r>
      <w:proofErr w:type="spellEnd"/>
      <w:r w:rsidRPr="00C57C3D">
        <w:rPr>
          <w:rFonts w:ascii="Times New Roman" w:hAnsi="Times New Roman" w:cs="Times New Roman"/>
          <w:color w:val="0D0D0D" w:themeColor="text1" w:themeTint="F2"/>
          <w:sz w:val="24"/>
          <w:szCs w:val="24"/>
        </w:rPr>
        <w:t xml:space="preserve"> and Wm Rodger Louis, ‘British Documents on the End of Empire: The Conservative Government and the End of Empire 1957-1964’, (2000), 38.</w:t>
      </w:r>
    </w:p>
    <w:p w14:paraId="1591027A" w14:textId="63B5A955" w:rsidR="00072BC9" w:rsidRPr="00C57C3D" w:rsidRDefault="00072BC9" w:rsidP="00072BC9">
      <w:pPr>
        <w:spacing w:line="200" w:lineRule="exact"/>
        <w:rPr>
          <w:rFonts w:ascii="Times New Roman" w:eastAsia="Times New Roman" w:hAnsi="Times New Roman" w:cs="Times New Roman"/>
          <w:color w:val="0D0D0D" w:themeColor="text1" w:themeTint="F2"/>
        </w:rPr>
      </w:pPr>
    </w:p>
    <w:p w14:paraId="3E46D1B5" w14:textId="7D4EBD9E" w:rsidR="00072BC9" w:rsidRPr="00C57C3D" w:rsidRDefault="00072BC9" w:rsidP="00072BC9">
      <w:pPr>
        <w:pStyle w:val="FootnoteText"/>
        <w:spacing w:line="200" w:lineRule="exact"/>
        <w:rPr>
          <w:rFonts w:ascii="Times New Roman" w:hAnsi="Times New Roman" w:cs="Times New Roman"/>
          <w:color w:val="0D0D0D" w:themeColor="text1" w:themeTint="F2"/>
          <w:sz w:val="24"/>
          <w:szCs w:val="24"/>
        </w:rPr>
      </w:pPr>
      <w:r w:rsidRPr="00C57C3D">
        <w:rPr>
          <w:rFonts w:ascii="Times New Roman" w:hAnsi="Times New Roman" w:cs="Times New Roman"/>
          <w:color w:val="0D0D0D" w:themeColor="text1" w:themeTint="F2"/>
          <w:sz w:val="24"/>
          <w:szCs w:val="24"/>
        </w:rPr>
        <w:t xml:space="preserve">South African History Online, ‘The Mau </w:t>
      </w:r>
      <w:proofErr w:type="spellStart"/>
      <w:r w:rsidRPr="00C57C3D">
        <w:rPr>
          <w:rFonts w:ascii="Times New Roman" w:hAnsi="Times New Roman" w:cs="Times New Roman"/>
          <w:color w:val="0D0D0D" w:themeColor="text1" w:themeTint="F2"/>
          <w:sz w:val="24"/>
          <w:szCs w:val="24"/>
        </w:rPr>
        <w:t>Mau</w:t>
      </w:r>
      <w:proofErr w:type="spellEnd"/>
      <w:r w:rsidRPr="00C57C3D">
        <w:rPr>
          <w:rFonts w:ascii="Times New Roman" w:hAnsi="Times New Roman" w:cs="Times New Roman"/>
          <w:color w:val="0D0D0D" w:themeColor="text1" w:themeTint="F2"/>
          <w:sz w:val="24"/>
          <w:szCs w:val="24"/>
        </w:rPr>
        <w:t xml:space="preserve"> Uprising’, (2016).</w:t>
      </w:r>
    </w:p>
    <w:p w14:paraId="50CD5148" w14:textId="77777777" w:rsidR="00072BC9" w:rsidRPr="00C57C3D" w:rsidRDefault="00072BC9" w:rsidP="00072BC9">
      <w:pPr>
        <w:pStyle w:val="FootnoteText"/>
        <w:spacing w:line="200" w:lineRule="exact"/>
        <w:rPr>
          <w:rFonts w:ascii="Times New Roman" w:hAnsi="Times New Roman" w:cs="Times New Roman"/>
          <w:color w:val="0D0D0D" w:themeColor="text1" w:themeTint="F2"/>
          <w:sz w:val="24"/>
          <w:szCs w:val="24"/>
        </w:rPr>
      </w:pPr>
    </w:p>
    <w:p w14:paraId="3DE7D2D0" w14:textId="78C1A2F9" w:rsidR="00072BC9" w:rsidRPr="00C57C3D" w:rsidRDefault="00072BC9" w:rsidP="00072BC9">
      <w:pPr>
        <w:spacing w:line="200" w:lineRule="exact"/>
        <w:ind w:left="720" w:hanging="720"/>
        <w:rPr>
          <w:rFonts w:ascii="Times New Roman" w:eastAsia="Times New Roman" w:hAnsi="Times New Roman" w:cs="Times New Roman"/>
          <w:color w:val="0D0D0D" w:themeColor="text1" w:themeTint="F2"/>
        </w:rPr>
      </w:pPr>
      <w:r w:rsidRPr="00C57C3D">
        <w:rPr>
          <w:rFonts w:ascii="Times New Roman" w:eastAsia="Times New Roman" w:hAnsi="Times New Roman" w:cs="Times New Roman"/>
          <w:color w:val="0D0D0D" w:themeColor="text1" w:themeTint="F2"/>
          <w:shd w:val="clear" w:color="auto" w:fill="FFFFFF"/>
        </w:rPr>
        <w:t>David Anderson, </w:t>
      </w:r>
      <w:r w:rsidRPr="00C57C3D">
        <w:rPr>
          <w:rFonts w:ascii="Times New Roman" w:eastAsia="Times New Roman" w:hAnsi="Times New Roman" w:cs="Times New Roman"/>
          <w:i/>
          <w:iCs/>
          <w:color w:val="0D0D0D" w:themeColor="text1" w:themeTint="F2"/>
          <w:shd w:val="clear" w:color="auto" w:fill="FFFFFF"/>
        </w:rPr>
        <w:t>Histories of the Hanged: Britain’s Dirty War in Kenya and the End of Empire</w:t>
      </w:r>
      <w:r w:rsidRPr="00C57C3D">
        <w:rPr>
          <w:rFonts w:ascii="Times New Roman" w:eastAsia="Times New Roman" w:hAnsi="Times New Roman" w:cs="Times New Roman"/>
          <w:color w:val="0D0D0D" w:themeColor="text1" w:themeTint="F2"/>
          <w:shd w:val="clear" w:color="auto" w:fill="FFFFFF"/>
        </w:rPr>
        <w:t xml:space="preserve"> (London, 2005), 326.</w:t>
      </w:r>
    </w:p>
    <w:p w14:paraId="4B2DFCC4" w14:textId="77777777" w:rsidR="00072BC9" w:rsidRPr="00C57C3D" w:rsidRDefault="00072BC9" w:rsidP="00072BC9">
      <w:pPr>
        <w:spacing w:line="200" w:lineRule="exact"/>
        <w:rPr>
          <w:rFonts w:ascii="Times New Roman" w:eastAsia="Times New Roman" w:hAnsi="Times New Roman" w:cs="Times New Roman"/>
          <w:color w:val="0D0D0D" w:themeColor="text1" w:themeTint="F2"/>
        </w:rPr>
      </w:pPr>
    </w:p>
    <w:p w14:paraId="03C2A025" w14:textId="19546297" w:rsidR="00D82DA3" w:rsidRPr="00C57C3D" w:rsidRDefault="00072BC9" w:rsidP="00072BC9">
      <w:pPr>
        <w:pStyle w:val="FootnoteText"/>
        <w:spacing w:line="200" w:lineRule="exact"/>
        <w:rPr>
          <w:rFonts w:ascii="Times New Roman" w:hAnsi="Times New Roman" w:cs="Times New Roman"/>
          <w:color w:val="0D0D0D" w:themeColor="text1" w:themeTint="F2"/>
          <w:sz w:val="24"/>
          <w:szCs w:val="24"/>
        </w:rPr>
      </w:pPr>
      <w:r w:rsidRPr="00C57C3D">
        <w:rPr>
          <w:rFonts w:ascii="Times New Roman" w:hAnsi="Times New Roman" w:cs="Times New Roman"/>
          <w:color w:val="0D0D0D" w:themeColor="text1" w:themeTint="F2"/>
          <w:sz w:val="24"/>
          <w:szCs w:val="24"/>
        </w:rPr>
        <w:t>Winston Churchill, ‘The Gift of a Common Tongue’, (1943).</w:t>
      </w:r>
    </w:p>
    <w:sectPr w:rsidR="00D82DA3" w:rsidRPr="00C57C3D" w:rsidSect="00AA7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43D3F" w14:textId="77777777" w:rsidR="00530AE9" w:rsidRDefault="00530AE9" w:rsidP="00BD67DD">
      <w:r>
        <w:separator/>
      </w:r>
    </w:p>
  </w:endnote>
  <w:endnote w:type="continuationSeparator" w:id="0">
    <w:p w14:paraId="6E83E0D9" w14:textId="77777777" w:rsidR="00530AE9" w:rsidRDefault="00530AE9" w:rsidP="00BD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811553334"/>
      <w:docPartObj>
        <w:docPartGallery w:val="Page Numbers (Bottom of Page)"/>
        <w:docPartUnique/>
      </w:docPartObj>
    </w:sdtPr>
    <w:sdtEndPr>
      <w:rPr>
        <w:noProof/>
      </w:rPr>
    </w:sdtEndPr>
    <w:sdtContent>
      <w:p w14:paraId="5583573B" w14:textId="77777777" w:rsidR="00D82DA3" w:rsidRPr="00D60EE2" w:rsidRDefault="00D82DA3">
        <w:pPr>
          <w:pStyle w:val="Footer"/>
          <w:jc w:val="center"/>
          <w:rPr>
            <w:sz w:val="20"/>
            <w:szCs w:val="20"/>
          </w:rPr>
        </w:pPr>
        <w:r w:rsidRPr="00D60EE2">
          <w:rPr>
            <w:sz w:val="20"/>
            <w:szCs w:val="20"/>
          </w:rPr>
          <w:fldChar w:fldCharType="begin"/>
        </w:r>
        <w:r w:rsidRPr="00D60EE2">
          <w:rPr>
            <w:sz w:val="20"/>
            <w:szCs w:val="20"/>
          </w:rPr>
          <w:instrText xml:space="preserve"> PAGE   \* MERGEFORMAT </w:instrText>
        </w:r>
        <w:r w:rsidRPr="00D60EE2">
          <w:rPr>
            <w:sz w:val="20"/>
            <w:szCs w:val="20"/>
          </w:rPr>
          <w:fldChar w:fldCharType="separate"/>
        </w:r>
        <w:r>
          <w:rPr>
            <w:noProof/>
            <w:sz w:val="20"/>
            <w:szCs w:val="20"/>
          </w:rPr>
          <w:t>1</w:t>
        </w:r>
        <w:r w:rsidRPr="00D60EE2">
          <w:rPr>
            <w:noProof/>
            <w:sz w:val="20"/>
            <w:szCs w:val="20"/>
          </w:rPr>
          <w:fldChar w:fldCharType="end"/>
        </w:r>
      </w:p>
    </w:sdtContent>
  </w:sdt>
  <w:p w14:paraId="2AB6503F" w14:textId="77777777" w:rsidR="00D82DA3" w:rsidRPr="00D60EE2" w:rsidRDefault="00D82DA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E21A8" w14:textId="77777777" w:rsidR="00530AE9" w:rsidRDefault="00530AE9" w:rsidP="00BD67DD">
      <w:r>
        <w:separator/>
      </w:r>
    </w:p>
  </w:footnote>
  <w:footnote w:type="continuationSeparator" w:id="0">
    <w:p w14:paraId="03006FAE" w14:textId="77777777" w:rsidR="00530AE9" w:rsidRDefault="00530AE9" w:rsidP="00BD67DD">
      <w:r>
        <w:continuationSeparator/>
      </w:r>
    </w:p>
  </w:footnote>
  <w:footnote w:id="1">
    <w:p w14:paraId="536ABD91" w14:textId="251C57D4" w:rsidR="000C405D" w:rsidRPr="00C93A63" w:rsidRDefault="000C405D" w:rsidP="00A5222D">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A5222D" w:rsidRPr="00C93A63">
        <w:rPr>
          <w:rFonts w:ascii="Times New Roman" w:hAnsi="Times New Roman" w:cs="Times New Roman"/>
          <w:color w:val="0D0D0D" w:themeColor="text1" w:themeTint="F2"/>
          <w:sz w:val="22"/>
          <w:szCs w:val="22"/>
        </w:rPr>
        <w:t>Winston Churchill, ‘The End of the Beginning’, (1942).</w:t>
      </w:r>
    </w:p>
  </w:footnote>
  <w:footnote w:id="2">
    <w:p w14:paraId="6087A70A" w14:textId="4A2E2824" w:rsidR="000C405D" w:rsidRPr="00C93A63" w:rsidRDefault="000C405D">
      <w:pPr>
        <w:pStyle w:val="FootnoteText"/>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A5222D" w:rsidRPr="00C93A63">
        <w:rPr>
          <w:rFonts w:ascii="Times New Roman" w:hAnsi="Times New Roman" w:cs="Times New Roman"/>
          <w:color w:val="0D0D0D" w:themeColor="text1" w:themeTint="F2"/>
          <w:sz w:val="22"/>
          <w:szCs w:val="22"/>
        </w:rPr>
        <w:t>Harold Macmillan, ‘Winds of Change’, (1960).</w:t>
      </w:r>
    </w:p>
  </w:footnote>
  <w:footnote w:id="3">
    <w:p w14:paraId="470F3C40" w14:textId="4DA0FAF2" w:rsidR="000C405D" w:rsidRPr="00C93A63" w:rsidRDefault="000C405D">
      <w:pPr>
        <w:pStyle w:val="FootnoteText"/>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A5222D" w:rsidRPr="00C93A63">
        <w:rPr>
          <w:rFonts w:ascii="Times New Roman" w:hAnsi="Times New Roman" w:cs="Times New Roman"/>
          <w:color w:val="0D0D0D" w:themeColor="text1" w:themeTint="F2"/>
          <w:sz w:val="22"/>
          <w:szCs w:val="22"/>
        </w:rPr>
        <w:t>OSPA, ‘Future Constitutional Development in the Colonies Review’, (1957).</w:t>
      </w:r>
    </w:p>
  </w:footnote>
  <w:footnote w:id="4">
    <w:p w14:paraId="0F0FC975" w14:textId="182F688A" w:rsidR="000C405D" w:rsidRPr="00C93A63" w:rsidRDefault="000C405D" w:rsidP="00BF3F50">
      <w:pPr>
        <w:pStyle w:val="FootnoteText"/>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proofErr w:type="spellStart"/>
      <w:r w:rsidR="00A5222D" w:rsidRPr="00C93A63">
        <w:rPr>
          <w:rFonts w:ascii="Times New Roman" w:hAnsi="Times New Roman" w:cs="Times New Roman"/>
          <w:color w:val="0D0D0D" w:themeColor="text1" w:themeTint="F2"/>
          <w:sz w:val="22"/>
          <w:szCs w:val="22"/>
        </w:rPr>
        <w:t>Jonjo</w:t>
      </w:r>
      <w:proofErr w:type="spellEnd"/>
      <w:r w:rsidR="00A5222D" w:rsidRPr="00C93A63">
        <w:rPr>
          <w:rFonts w:ascii="Times New Roman" w:hAnsi="Times New Roman" w:cs="Times New Roman"/>
          <w:color w:val="0D0D0D" w:themeColor="text1" w:themeTint="F2"/>
          <w:sz w:val="22"/>
          <w:szCs w:val="22"/>
        </w:rPr>
        <w:t xml:space="preserve"> Robb, ‘Was British Decolonization after 1945 a Voluntary Process?’</w:t>
      </w:r>
      <w:r w:rsidR="00A5222D" w:rsidRPr="00C93A63">
        <w:rPr>
          <w:rFonts w:ascii="Times New Roman" w:hAnsi="Times New Roman" w:cs="Times New Roman"/>
          <w:color w:val="0D0D0D" w:themeColor="text1" w:themeTint="F2"/>
          <w:sz w:val="22"/>
          <w:szCs w:val="22"/>
        </w:rPr>
        <w:t>, (2015), 1.</w:t>
      </w:r>
    </w:p>
  </w:footnote>
  <w:footnote w:id="5">
    <w:p w14:paraId="6E94F91B" w14:textId="6692A131" w:rsidR="000C405D" w:rsidRPr="00C93A63" w:rsidRDefault="000C405D" w:rsidP="00B15D16">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A5222D" w:rsidRPr="00C93A63">
        <w:rPr>
          <w:rFonts w:ascii="Times New Roman" w:hAnsi="Times New Roman" w:cs="Times New Roman"/>
          <w:color w:val="0D0D0D" w:themeColor="text1" w:themeTint="F2"/>
          <w:sz w:val="22"/>
          <w:szCs w:val="22"/>
        </w:rPr>
        <w:t xml:space="preserve">David Pierce, </w:t>
      </w:r>
      <w:r w:rsidR="00C90224" w:rsidRPr="00C93A63">
        <w:rPr>
          <w:rFonts w:ascii="Times New Roman" w:hAnsi="Times New Roman" w:cs="Times New Roman"/>
          <w:color w:val="0D0D0D" w:themeColor="text1" w:themeTint="F2"/>
          <w:sz w:val="22"/>
          <w:szCs w:val="22"/>
        </w:rPr>
        <w:t>‘</w:t>
      </w:r>
      <w:r w:rsidR="00A5222D" w:rsidRPr="00C93A63">
        <w:rPr>
          <w:rFonts w:ascii="Times New Roman" w:hAnsi="Times New Roman" w:cs="Times New Roman"/>
          <w:color w:val="0D0D0D" w:themeColor="text1" w:themeTint="F2"/>
          <w:sz w:val="22"/>
          <w:szCs w:val="22"/>
        </w:rPr>
        <w:t>Decolonization and the Collapse of the British Empire</w:t>
      </w:r>
      <w:r w:rsidR="00C90224" w:rsidRPr="00C93A63">
        <w:rPr>
          <w:rFonts w:ascii="Times New Roman" w:hAnsi="Times New Roman" w:cs="Times New Roman"/>
          <w:color w:val="0D0D0D" w:themeColor="text1" w:themeTint="F2"/>
          <w:sz w:val="22"/>
          <w:szCs w:val="22"/>
        </w:rPr>
        <w:t>’</w:t>
      </w:r>
      <w:r w:rsidR="00A5222D" w:rsidRPr="00C93A63">
        <w:rPr>
          <w:rFonts w:ascii="Times New Roman" w:hAnsi="Times New Roman" w:cs="Times New Roman"/>
          <w:color w:val="0D0D0D" w:themeColor="text1" w:themeTint="F2"/>
          <w:sz w:val="22"/>
          <w:szCs w:val="22"/>
        </w:rPr>
        <w:t xml:space="preserve">, </w:t>
      </w:r>
      <w:r w:rsidR="00A5222D" w:rsidRPr="00C93A63">
        <w:rPr>
          <w:rFonts w:ascii="Times New Roman" w:hAnsi="Times New Roman" w:cs="Times New Roman"/>
          <w:i/>
          <w:iCs/>
          <w:color w:val="0D0D0D" w:themeColor="text1" w:themeTint="F2"/>
          <w:sz w:val="22"/>
          <w:szCs w:val="22"/>
        </w:rPr>
        <w:t>Inquiries Journal</w:t>
      </w:r>
      <w:r w:rsidR="00C90224" w:rsidRPr="00C93A63">
        <w:rPr>
          <w:rFonts w:ascii="Times New Roman" w:hAnsi="Times New Roman" w:cs="Times New Roman"/>
          <w:i/>
          <w:iCs/>
          <w:color w:val="0D0D0D" w:themeColor="text1" w:themeTint="F2"/>
          <w:sz w:val="22"/>
          <w:szCs w:val="22"/>
        </w:rPr>
        <w:t>,</w:t>
      </w:r>
      <w:r w:rsidR="00C93A63">
        <w:rPr>
          <w:rFonts w:ascii="Times New Roman" w:hAnsi="Times New Roman" w:cs="Times New Roman"/>
          <w:i/>
          <w:iCs/>
          <w:color w:val="0D0D0D" w:themeColor="text1" w:themeTint="F2"/>
          <w:sz w:val="22"/>
          <w:szCs w:val="22"/>
        </w:rPr>
        <w:t xml:space="preserve"> </w:t>
      </w:r>
      <w:proofErr w:type="spellStart"/>
      <w:r w:rsidR="00C93A63">
        <w:rPr>
          <w:rFonts w:ascii="Times New Roman" w:hAnsi="Times New Roman" w:cs="Times New Roman"/>
          <w:color w:val="0D0D0D" w:themeColor="text1" w:themeTint="F2"/>
          <w:sz w:val="22"/>
          <w:szCs w:val="22"/>
        </w:rPr>
        <w:t>i</w:t>
      </w:r>
      <w:proofErr w:type="spellEnd"/>
      <w:r w:rsidR="00C90224" w:rsidRPr="00C93A63">
        <w:rPr>
          <w:rFonts w:ascii="Times New Roman" w:hAnsi="Times New Roman" w:cs="Times New Roman"/>
          <w:color w:val="0D0D0D" w:themeColor="text1" w:themeTint="F2"/>
          <w:sz w:val="22"/>
          <w:szCs w:val="22"/>
        </w:rPr>
        <w:t xml:space="preserve"> (2009)</w:t>
      </w:r>
      <w:r w:rsidR="00C93A63">
        <w:rPr>
          <w:rFonts w:ascii="Times New Roman" w:hAnsi="Times New Roman" w:cs="Times New Roman"/>
          <w:color w:val="0D0D0D" w:themeColor="text1" w:themeTint="F2"/>
          <w:sz w:val="22"/>
          <w:szCs w:val="22"/>
        </w:rPr>
        <w:t>, 1.</w:t>
      </w:r>
    </w:p>
  </w:footnote>
  <w:footnote w:id="6">
    <w:p w14:paraId="176DA210" w14:textId="6B284289" w:rsidR="000C405D" w:rsidRPr="00C93A63" w:rsidRDefault="000C405D" w:rsidP="00B15D16">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C90224" w:rsidRPr="00C93A63">
        <w:rPr>
          <w:rFonts w:ascii="Times New Roman" w:hAnsi="Times New Roman" w:cs="Times New Roman"/>
          <w:color w:val="0D0D0D" w:themeColor="text1" w:themeTint="F2"/>
          <w:sz w:val="22"/>
          <w:szCs w:val="22"/>
        </w:rPr>
        <w:t xml:space="preserve">Michael Collins, ‘Decolonization’, </w:t>
      </w:r>
      <w:r w:rsidR="00C90224" w:rsidRPr="00C93A63">
        <w:rPr>
          <w:rFonts w:ascii="Times New Roman" w:hAnsi="Times New Roman" w:cs="Times New Roman"/>
          <w:i/>
          <w:iCs/>
          <w:color w:val="0D0D0D" w:themeColor="text1" w:themeTint="F2"/>
          <w:sz w:val="22"/>
          <w:szCs w:val="22"/>
        </w:rPr>
        <w:t xml:space="preserve">Wiley Online Library, </w:t>
      </w:r>
      <w:r w:rsidR="00C90224" w:rsidRPr="00C93A63">
        <w:rPr>
          <w:rFonts w:ascii="Times New Roman" w:hAnsi="Times New Roman" w:cs="Times New Roman"/>
          <w:color w:val="0D0D0D" w:themeColor="text1" w:themeTint="F2"/>
          <w:sz w:val="22"/>
          <w:szCs w:val="22"/>
        </w:rPr>
        <w:t>(2015).</w:t>
      </w:r>
    </w:p>
  </w:footnote>
  <w:footnote w:id="7">
    <w:p w14:paraId="4E57791A" w14:textId="6ADE4EC9" w:rsidR="000C405D" w:rsidRPr="00C93A63" w:rsidRDefault="000C405D" w:rsidP="00B15D16">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C90224" w:rsidRPr="00C93A63">
        <w:rPr>
          <w:rFonts w:ascii="Times New Roman" w:hAnsi="Times New Roman" w:cs="Times New Roman"/>
          <w:color w:val="0D0D0D" w:themeColor="text1" w:themeTint="F2"/>
          <w:sz w:val="22"/>
          <w:szCs w:val="22"/>
        </w:rPr>
        <w:t>Pierce, ‘Decolonization’</w:t>
      </w:r>
      <w:r w:rsidR="00072BC9">
        <w:rPr>
          <w:rFonts w:ascii="Times New Roman" w:hAnsi="Times New Roman" w:cs="Times New Roman"/>
          <w:color w:val="0D0D0D" w:themeColor="text1" w:themeTint="F2"/>
          <w:sz w:val="22"/>
          <w:szCs w:val="22"/>
        </w:rPr>
        <w:t>.</w:t>
      </w:r>
    </w:p>
  </w:footnote>
  <w:footnote w:id="8">
    <w:p w14:paraId="348BD7A3" w14:textId="07F9D3A4" w:rsidR="000C405D" w:rsidRPr="00C93A63" w:rsidRDefault="000C405D" w:rsidP="00B15D16">
      <w:pPr>
        <w:rPr>
          <w:rFonts w:ascii="Times New Roman" w:eastAsia="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Pr="00C93A63">
        <w:rPr>
          <w:rFonts w:ascii="Times New Roman" w:eastAsia="Times New Roman" w:hAnsi="Times New Roman" w:cs="Times New Roman"/>
          <w:color w:val="0D0D0D" w:themeColor="text1" w:themeTint="F2"/>
          <w:sz w:val="22"/>
          <w:szCs w:val="22"/>
          <w:shd w:val="clear" w:color="auto" w:fill="FFFFFF"/>
        </w:rPr>
        <w:t xml:space="preserve">Clement Attlee, </w:t>
      </w:r>
      <w:r w:rsidR="00C90224" w:rsidRPr="00C93A63">
        <w:rPr>
          <w:rFonts w:ascii="Times New Roman" w:eastAsia="Times New Roman" w:hAnsi="Times New Roman" w:cs="Times New Roman"/>
          <w:color w:val="0D0D0D" w:themeColor="text1" w:themeTint="F2"/>
          <w:sz w:val="22"/>
          <w:szCs w:val="22"/>
          <w:shd w:val="clear" w:color="auto" w:fill="FFFFFF"/>
        </w:rPr>
        <w:t>‘</w:t>
      </w:r>
      <w:r w:rsidRPr="00C93A63">
        <w:rPr>
          <w:rFonts w:ascii="Times New Roman" w:eastAsia="Times New Roman" w:hAnsi="Times New Roman" w:cs="Times New Roman"/>
          <w:color w:val="0D0D0D" w:themeColor="text1" w:themeTint="F2"/>
          <w:sz w:val="22"/>
          <w:szCs w:val="22"/>
          <w:shd w:val="clear" w:color="auto" w:fill="FFFFFF"/>
        </w:rPr>
        <w:t>Address given by Clement Attlee to the House of Commons,</w:t>
      </w:r>
      <w:r w:rsidR="00C90224" w:rsidRPr="00C93A63">
        <w:rPr>
          <w:rFonts w:ascii="Times New Roman" w:eastAsia="Times New Roman" w:hAnsi="Times New Roman" w:cs="Times New Roman"/>
          <w:color w:val="0D0D0D" w:themeColor="text1" w:themeTint="F2"/>
          <w:sz w:val="22"/>
          <w:szCs w:val="22"/>
          <w:shd w:val="clear" w:color="auto" w:fill="FFFFFF"/>
        </w:rPr>
        <w:t>’ (</w:t>
      </w:r>
      <w:r w:rsidRPr="00C93A63">
        <w:rPr>
          <w:rFonts w:ascii="Times New Roman" w:eastAsia="Times New Roman" w:hAnsi="Times New Roman" w:cs="Times New Roman"/>
          <w:color w:val="0D0D0D" w:themeColor="text1" w:themeTint="F2"/>
          <w:sz w:val="22"/>
          <w:szCs w:val="22"/>
          <w:shd w:val="clear" w:color="auto" w:fill="FFFFFF"/>
        </w:rPr>
        <w:t>1946</w:t>
      </w:r>
      <w:r w:rsidR="00C90224" w:rsidRPr="00C93A63">
        <w:rPr>
          <w:rFonts w:ascii="Times New Roman" w:eastAsia="Times New Roman" w:hAnsi="Times New Roman" w:cs="Times New Roman"/>
          <w:color w:val="0D0D0D" w:themeColor="text1" w:themeTint="F2"/>
          <w:sz w:val="22"/>
          <w:szCs w:val="22"/>
          <w:shd w:val="clear" w:color="auto" w:fill="FFFFFF"/>
        </w:rPr>
        <w:t>)</w:t>
      </w:r>
      <w:r w:rsidRPr="00C93A63">
        <w:rPr>
          <w:rFonts w:ascii="Times New Roman" w:eastAsia="Times New Roman" w:hAnsi="Times New Roman" w:cs="Times New Roman"/>
          <w:color w:val="0D0D0D" w:themeColor="text1" w:themeTint="F2"/>
          <w:sz w:val="22"/>
          <w:szCs w:val="22"/>
          <w:shd w:val="clear" w:color="auto" w:fill="FFFFFF"/>
        </w:rPr>
        <w:t>.</w:t>
      </w:r>
    </w:p>
  </w:footnote>
  <w:footnote w:id="9">
    <w:p w14:paraId="396A2496" w14:textId="03B5573B" w:rsidR="000C405D" w:rsidRPr="00C93A63" w:rsidRDefault="000C405D" w:rsidP="00B15D16">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C90224" w:rsidRPr="00C93A63">
        <w:rPr>
          <w:rFonts w:ascii="Times New Roman" w:hAnsi="Times New Roman" w:cs="Times New Roman"/>
          <w:color w:val="0D0D0D" w:themeColor="text1" w:themeTint="F2"/>
          <w:sz w:val="22"/>
          <w:szCs w:val="22"/>
        </w:rPr>
        <w:t xml:space="preserve">Robb, </w:t>
      </w:r>
      <w:r w:rsidR="00072BC9">
        <w:rPr>
          <w:rFonts w:ascii="Times New Roman" w:hAnsi="Times New Roman" w:cs="Times New Roman"/>
          <w:color w:val="0D0D0D" w:themeColor="text1" w:themeTint="F2"/>
          <w:sz w:val="22"/>
          <w:szCs w:val="22"/>
        </w:rPr>
        <w:t>‘</w:t>
      </w:r>
      <w:r w:rsidR="00C90224" w:rsidRPr="00072BC9">
        <w:rPr>
          <w:rFonts w:ascii="Times New Roman" w:hAnsi="Times New Roman" w:cs="Times New Roman"/>
          <w:color w:val="0D0D0D" w:themeColor="text1" w:themeTint="F2"/>
          <w:sz w:val="22"/>
          <w:szCs w:val="22"/>
        </w:rPr>
        <w:t>Was British Decolonization</w:t>
      </w:r>
      <w:r w:rsidR="00072BC9">
        <w:rPr>
          <w:rFonts w:ascii="Times New Roman" w:hAnsi="Times New Roman" w:cs="Times New Roman"/>
          <w:color w:val="0D0D0D" w:themeColor="text1" w:themeTint="F2"/>
          <w:sz w:val="22"/>
          <w:szCs w:val="22"/>
        </w:rPr>
        <w:t>’</w:t>
      </w:r>
      <w:r w:rsidR="00C90224" w:rsidRPr="00C93A63">
        <w:rPr>
          <w:rFonts w:ascii="Times New Roman" w:hAnsi="Times New Roman" w:cs="Times New Roman"/>
          <w:i/>
          <w:iCs/>
          <w:color w:val="0D0D0D" w:themeColor="text1" w:themeTint="F2"/>
          <w:sz w:val="22"/>
          <w:szCs w:val="22"/>
        </w:rPr>
        <w:t>,</w:t>
      </w:r>
      <w:r w:rsidR="00C90224" w:rsidRPr="00C93A63">
        <w:rPr>
          <w:rFonts w:ascii="Times New Roman" w:hAnsi="Times New Roman" w:cs="Times New Roman"/>
          <w:color w:val="0D0D0D" w:themeColor="text1" w:themeTint="F2"/>
          <w:sz w:val="22"/>
          <w:szCs w:val="22"/>
        </w:rPr>
        <w:t xml:space="preserve"> 1-2.</w:t>
      </w:r>
    </w:p>
  </w:footnote>
  <w:footnote w:id="10">
    <w:p w14:paraId="49998676" w14:textId="23BD79F8" w:rsidR="000C405D" w:rsidRPr="00C93A63" w:rsidRDefault="000C405D">
      <w:pPr>
        <w:pStyle w:val="FootnoteText"/>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C90224" w:rsidRPr="00072BC9">
        <w:rPr>
          <w:rFonts w:ascii="Times New Roman" w:hAnsi="Times New Roman" w:cs="Times New Roman"/>
          <w:i/>
          <w:iCs/>
          <w:color w:val="0D0D0D" w:themeColor="text1" w:themeTint="F2"/>
          <w:sz w:val="22"/>
          <w:szCs w:val="22"/>
        </w:rPr>
        <w:t>Ibid.</w:t>
      </w:r>
    </w:p>
  </w:footnote>
  <w:footnote w:id="11">
    <w:p w14:paraId="3862D642" w14:textId="0C109FB0" w:rsidR="000C405D" w:rsidRPr="00C93A63" w:rsidRDefault="000C405D" w:rsidP="00D82DA3">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C90224" w:rsidRPr="00072BC9">
        <w:rPr>
          <w:rFonts w:ascii="Times New Roman" w:hAnsi="Times New Roman" w:cs="Times New Roman"/>
          <w:i/>
          <w:iCs/>
          <w:color w:val="0D0D0D" w:themeColor="text1" w:themeTint="F2"/>
          <w:sz w:val="22"/>
          <w:szCs w:val="22"/>
        </w:rPr>
        <w:t>Ibid.</w:t>
      </w:r>
    </w:p>
  </w:footnote>
  <w:footnote w:id="12">
    <w:p w14:paraId="4AB6B681" w14:textId="272B8103" w:rsidR="000C405D" w:rsidRPr="00C93A63" w:rsidRDefault="000C405D" w:rsidP="00C90224">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C90224" w:rsidRPr="00C93A63">
        <w:rPr>
          <w:rFonts w:ascii="Times New Roman" w:hAnsi="Times New Roman" w:cs="Times New Roman"/>
          <w:color w:val="0D0D0D" w:themeColor="text1" w:themeTint="F2"/>
          <w:sz w:val="22"/>
          <w:szCs w:val="22"/>
        </w:rPr>
        <w:t xml:space="preserve">Robb, </w:t>
      </w:r>
      <w:r w:rsidR="00072BC9">
        <w:rPr>
          <w:rFonts w:ascii="Times New Roman" w:hAnsi="Times New Roman" w:cs="Times New Roman"/>
          <w:color w:val="0D0D0D" w:themeColor="text1" w:themeTint="F2"/>
          <w:sz w:val="22"/>
          <w:szCs w:val="22"/>
        </w:rPr>
        <w:t>‘</w:t>
      </w:r>
      <w:r w:rsidR="00C90224" w:rsidRPr="00072BC9">
        <w:rPr>
          <w:rFonts w:ascii="Times New Roman" w:hAnsi="Times New Roman" w:cs="Times New Roman"/>
          <w:color w:val="0D0D0D" w:themeColor="text1" w:themeTint="F2"/>
          <w:sz w:val="22"/>
          <w:szCs w:val="22"/>
        </w:rPr>
        <w:t>Was British Decolonization</w:t>
      </w:r>
      <w:r w:rsidR="00072BC9">
        <w:rPr>
          <w:rFonts w:ascii="Times New Roman" w:hAnsi="Times New Roman" w:cs="Times New Roman"/>
          <w:color w:val="0D0D0D" w:themeColor="text1" w:themeTint="F2"/>
          <w:sz w:val="22"/>
          <w:szCs w:val="22"/>
        </w:rPr>
        <w:t>’</w:t>
      </w:r>
      <w:r w:rsidR="00C90224" w:rsidRPr="00C93A63">
        <w:rPr>
          <w:rFonts w:ascii="Times New Roman" w:hAnsi="Times New Roman" w:cs="Times New Roman"/>
          <w:i/>
          <w:iCs/>
          <w:color w:val="0D0D0D" w:themeColor="text1" w:themeTint="F2"/>
          <w:sz w:val="22"/>
          <w:szCs w:val="22"/>
        </w:rPr>
        <w:t xml:space="preserve">, </w:t>
      </w:r>
      <w:r w:rsidR="00C90224" w:rsidRPr="00C93A63">
        <w:rPr>
          <w:rFonts w:ascii="Times New Roman" w:hAnsi="Times New Roman" w:cs="Times New Roman"/>
          <w:color w:val="0D0D0D" w:themeColor="text1" w:themeTint="F2"/>
          <w:sz w:val="22"/>
          <w:szCs w:val="22"/>
        </w:rPr>
        <w:t>3.</w:t>
      </w:r>
    </w:p>
  </w:footnote>
  <w:footnote w:id="13">
    <w:p w14:paraId="15844E9C" w14:textId="5DF08D55" w:rsidR="000C405D" w:rsidRPr="00C93A63" w:rsidRDefault="000C405D" w:rsidP="00C90224">
      <w:pPr>
        <w:rPr>
          <w:rFonts w:ascii="Times New Roman" w:eastAsia="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proofErr w:type="spellStart"/>
      <w:r w:rsidRPr="00C93A63">
        <w:rPr>
          <w:rFonts w:ascii="Times New Roman" w:eastAsia="Times New Roman" w:hAnsi="Times New Roman" w:cs="Times New Roman"/>
          <w:color w:val="0D0D0D" w:themeColor="text1" w:themeTint="F2"/>
          <w:sz w:val="22"/>
          <w:szCs w:val="22"/>
          <w:shd w:val="clear" w:color="auto" w:fill="FFFFFF"/>
        </w:rPr>
        <w:t>Hyam</w:t>
      </w:r>
      <w:proofErr w:type="spellEnd"/>
      <w:r w:rsidRPr="00C93A63">
        <w:rPr>
          <w:rFonts w:ascii="Times New Roman" w:eastAsia="Times New Roman" w:hAnsi="Times New Roman" w:cs="Times New Roman"/>
          <w:color w:val="0D0D0D" w:themeColor="text1" w:themeTint="F2"/>
          <w:sz w:val="22"/>
          <w:szCs w:val="22"/>
          <w:shd w:val="clear" w:color="auto" w:fill="FFFFFF"/>
        </w:rPr>
        <w:t>, R.</w:t>
      </w:r>
      <w:r w:rsidR="00C90224" w:rsidRPr="00C93A63">
        <w:rPr>
          <w:rFonts w:ascii="Times New Roman" w:eastAsia="Times New Roman" w:hAnsi="Times New Roman" w:cs="Times New Roman"/>
          <w:color w:val="0D0D0D" w:themeColor="text1" w:themeTint="F2"/>
          <w:sz w:val="22"/>
          <w:szCs w:val="22"/>
          <w:shd w:val="clear" w:color="auto" w:fill="FFFFFF"/>
        </w:rPr>
        <w:t xml:space="preserve">, </w:t>
      </w:r>
      <w:r w:rsidRPr="00C93A63">
        <w:rPr>
          <w:rFonts w:ascii="Times New Roman" w:eastAsia="Times New Roman" w:hAnsi="Times New Roman" w:cs="Times New Roman"/>
          <w:i/>
          <w:iCs/>
          <w:color w:val="0D0D0D" w:themeColor="text1" w:themeTint="F2"/>
          <w:sz w:val="22"/>
          <w:szCs w:val="22"/>
          <w:shd w:val="clear" w:color="auto" w:fill="FFFFFF"/>
        </w:rPr>
        <w:t>Britain’s Declining Empire: The Road to Decolonisation, 1918-1968 </w:t>
      </w:r>
      <w:r w:rsidRPr="00C93A63">
        <w:rPr>
          <w:rFonts w:ascii="Times New Roman" w:eastAsia="Times New Roman" w:hAnsi="Times New Roman" w:cs="Times New Roman"/>
          <w:color w:val="0D0D0D" w:themeColor="text1" w:themeTint="F2"/>
          <w:sz w:val="22"/>
          <w:szCs w:val="22"/>
          <w:shd w:val="clear" w:color="auto" w:fill="FFFFFF"/>
        </w:rPr>
        <w:t>(2006),</w:t>
      </w:r>
      <w:r w:rsidR="00C90224" w:rsidRPr="00C93A63">
        <w:rPr>
          <w:rFonts w:ascii="Times New Roman" w:eastAsia="Times New Roman" w:hAnsi="Times New Roman" w:cs="Times New Roman"/>
          <w:color w:val="0D0D0D" w:themeColor="text1" w:themeTint="F2"/>
          <w:sz w:val="22"/>
          <w:szCs w:val="22"/>
          <w:shd w:val="clear" w:color="auto" w:fill="FFFFFF"/>
        </w:rPr>
        <w:t xml:space="preserve"> </w:t>
      </w:r>
      <w:r w:rsidRPr="00C93A63">
        <w:rPr>
          <w:rFonts w:ascii="Times New Roman" w:eastAsia="Times New Roman" w:hAnsi="Times New Roman" w:cs="Times New Roman"/>
          <w:color w:val="0D0D0D" w:themeColor="text1" w:themeTint="F2"/>
          <w:sz w:val="22"/>
          <w:szCs w:val="22"/>
          <w:shd w:val="clear" w:color="auto" w:fill="FFFFFF"/>
        </w:rPr>
        <w:t>159.</w:t>
      </w:r>
    </w:p>
  </w:footnote>
  <w:footnote w:id="14">
    <w:p w14:paraId="2D9CE89E" w14:textId="4CDD42FA" w:rsidR="000C405D" w:rsidRPr="00C93A63" w:rsidRDefault="000C405D">
      <w:pPr>
        <w:pStyle w:val="FootnoteText"/>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Pr="00072BC9">
        <w:rPr>
          <w:rFonts w:ascii="Times New Roman" w:hAnsi="Times New Roman" w:cs="Times New Roman"/>
          <w:i/>
          <w:iCs/>
          <w:color w:val="0D0D0D" w:themeColor="text1" w:themeTint="F2"/>
          <w:sz w:val="22"/>
          <w:szCs w:val="22"/>
        </w:rPr>
        <w:t>Ibid.</w:t>
      </w:r>
    </w:p>
  </w:footnote>
  <w:footnote w:id="15">
    <w:p w14:paraId="3C173ECD" w14:textId="199A894B" w:rsidR="000C405D" w:rsidRPr="00C93A63" w:rsidRDefault="000C405D" w:rsidP="00072BC9">
      <w:pPr>
        <w:ind w:left="180" w:hanging="180"/>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Pr="00C93A63">
        <w:rPr>
          <w:rFonts w:ascii="Times New Roman" w:hAnsi="Times New Roman" w:cs="Times New Roman"/>
          <w:color w:val="0D0D0D" w:themeColor="text1" w:themeTint="F2"/>
          <w:sz w:val="22"/>
          <w:szCs w:val="22"/>
          <w:shd w:val="clear" w:color="auto" w:fill="FFFFFF"/>
        </w:rPr>
        <w:t>Darwin, J.</w:t>
      </w:r>
      <w:r w:rsidR="00C90224" w:rsidRPr="00C93A63">
        <w:rPr>
          <w:rFonts w:ascii="Times New Roman" w:hAnsi="Times New Roman" w:cs="Times New Roman"/>
          <w:color w:val="0D0D0D" w:themeColor="text1" w:themeTint="F2"/>
          <w:sz w:val="22"/>
          <w:szCs w:val="22"/>
          <w:shd w:val="clear" w:color="auto" w:fill="FFFFFF"/>
        </w:rPr>
        <w:t xml:space="preserve">, </w:t>
      </w:r>
      <w:r w:rsidRPr="00C93A63">
        <w:rPr>
          <w:rStyle w:val="Emphasis"/>
          <w:rFonts w:ascii="Times New Roman" w:hAnsi="Times New Roman" w:cs="Times New Roman"/>
          <w:color w:val="0D0D0D" w:themeColor="text1" w:themeTint="F2"/>
          <w:sz w:val="22"/>
          <w:szCs w:val="22"/>
          <w:shd w:val="clear" w:color="auto" w:fill="FFFFFF"/>
        </w:rPr>
        <w:t>The Empire Project: The Rise and Fall of the British World-System, 1830-1970</w:t>
      </w:r>
      <w:r w:rsidR="00C90224" w:rsidRPr="00C93A63">
        <w:rPr>
          <w:rStyle w:val="Emphasis"/>
          <w:rFonts w:ascii="Times New Roman" w:hAnsi="Times New Roman" w:cs="Times New Roman"/>
          <w:color w:val="0D0D0D" w:themeColor="text1" w:themeTint="F2"/>
          <w:sz w:val="22"/>
          <w:szCs w:val="22"/>
          <w:shd w:val="clear" w:color="auto" w:fill="FFFFFF"/>
        </w:rPr>
        <w:t>, (</w:t>
      </w:r>
      <w:r w:rsidRPr="00C93A63">
        <w:rPr>
          <w:rFonts w:ascii="Times New Roman" w:hAnsi="Times New Roman" w:cs="Times New Roman"/>
          <w:color w:val="0D0D0D" w:themeColor="text1" w:themeTint="F2"/>
          <w:sz w:val="22"/>
          <w:szCs w:val="22"/>
          <w:shd w:val="clear" w:color="auto" w:fill="FFFFFF"/>
        </w:rPr>
        <w:t>2009), 560.</w:t>
      </w:r>
    </w:p>
  </w:footnote>
  <w:footnote w:id="16">
    <w:p w14:paraId="3FB39679" w14:textId="4C1AA907" w:rsidR="000C405D" w:rsidRPr="00C93A63" w:rsidRDefault="000C405D" w:rsidP="006443F5">
      <w:pPr>
        <w:pStyle w:val="FootnoteText"/>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00C90224" w:rsidRPr="00C93A63">
        <w:rPr>
          <w:rFonts w:ascii="Times New Roman" w:hAnsi="Times New Roman" w:cs="Times New Roman"/>
          <w:color w:val="0D0D0D" w:themeColor="text1" w:themeTint="F2"/>
          <w:sz w:val="22"/>
          <w:szCs w:val="22"/>
        </w:rPr>
        <w:t xml:space="preserve"> AJ </w:t>
      </w:r>
      <w:proofErr w:type="spellStart"/>
      <w:r w:rsidR="00C90224" w:rsidRPr="00C93A63">
        <w:rPr>
          <w:rFonts w:ascii="Times New Roman" w:hAnsi="Times New Roman" w:cs="Times New Roman"/>
          <w:color w:val="0D0D0D" w:themeColor="text1" w:themeTint="F2"/>
          <w:sz w:val="22"/>
          <w:szCs w:val="22"/>
        </w:rPr>
        <w:t>Stockwell</w:t>
      </w:r>
      <w:proofErr w:type="spellEnd"/>
      <w:r w:rsidR="00C90224" w:rsidRPr="00C93A63">
        <w:rPr>
          <w:rFonts w:ascii="Times New Roman" w:hAnsi="Times New Roman" w:cs="Times New Roman"/>
          <w:color w:val="0D0D0D" w:themeColor="text1" w:themeTint="F2"/>
          <w:sz w:val="22"/>
          <w:szCs w:val="22"/>
        </w:rPr>
        <w:t xml:space="preserve">, </w:t>
      </w:r>
      <w:r w:rsidR="00C90224" w:rsidRPr="00C93A63">
        <w:rPr>
          <w:rFonts w:ascii="Times New Roman" w:hAnsi="Times New Roman" w:cs="Times New Roman"/>
          <w:i/>
          <w:iCs/>
          <w:color w:val="0D0D0D" w:themeColor="text1" w:themeTint="F2"/>
          <w:sz w:val="22"/>
          <w:szCs w:val="22"/>
        </w:rPr>
        <w:t xml:space="preserve">British Documents on the End of Empire, Series B, Volume 3: Malaya, </w:t>
      </w:r>
      <w:r w:rsidR="00C90224" w:rsidRPr="00C93A63">
        <w:rPr>
          <w:rFonts w:ascii="Times New Roman" w:hAnsi="Times New Roman" w:cs="Times New Roman"/>
          <w:color w:val="0D0D0D" w:themeColor="text1" w:themeTint="F2"/>
          <w:sz w:val="22"/>
          <w:szCs w:val="22"/>
        </w:rPr>
        <w:t>(2004),</w:t>
      </w:r>
      <w:r w:rsidRPr="00C93A63">
        <w:rPr>
          <w:rFonts w:ascii="Times New Roman" w:hAnsi="Times New Roman" w:cs="Times New Roman"/>
          <w:color w:val="0D0D0D" w:themeColor="text1" w:themeTint="F2"/>
          <w:sz w:val="22"/>
          <w:szCs w:val="22"/>
        </w:rPr>
        <w:t xml:space="preserve"> 38</w:t>
      </w:r>
      <w:r w:rsidR="00C90224" w:rsidRPr="00C93A63">
        <w:rPr>
          <w:rFonts w:ascii="Times New Roman" w:hAnsi="Times New Roman" w:cs="Times New Roman"/>
          <w:color w:val="0D0D0D" w:themeColor="text1" w:themeTint="F2"/>
          <w:sz w:val="22"/>
          <w:szCs w:val="22"/>
        </w:rPr>
        <w:t>.</w:t>
      </w:r>
    </w:p>
  </w:footnote>
  <w:footnote w:id="17">
    <w:p w14:paraId="64C244A7" w14:textId="21E34E50" w:rsidR="000C405D" w:rsidRPr="00C93A63" w:rsidRDefault="000C405D" w:rsidP="00072BC9">
      <w:pPr>
        <w:ind w:left="180" w:hanging="180"/>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Pr="00C93A63">
        <w:rPr>
          <w:rFonts w:ascii="Times New Roman" w:hAnsi="Times New Roman" w:cs="Times New Roman"/>
          <w:color w:val="0D0D0D" w:themeColor="text1" w:themeTint="F2"/>
          <w:sz w:val="22"/>
          <w:szCs w:val="22"/>
          <w:shd w:val="clear" w:color="auto" w:fill="FFFFFF"/>
        </w:rPr>
        <w:t>Jeffery, K.</w:t>
      </w:r>
      <w:r w:rsidR="00C90224" w:rsidRPr="00C93A63">
        <w:rPr>
          <w:rFonts w:ascii="Times New Roman" w:hAnsi="Times New Roman" w:cs="Times New Roman"/>
          <w:color w:val="0D0D0D" w:themeColor="text1" w:themeTint="F2"/>
          <w:sz w:val="22"/>
          <w:szCs w:val="22"/>
          <w:shd w:val="clear" w:color="auto" w:fill="FFFFFF"/>
        </w:rPr>
        <w:t xml:space="preserve">, </w:t>
      </w:r>
      <w:r w:rsidRPr="00C93A63">
        <w:rPr>
          <w:rFonts w:ascii="Times New Roman" w:hAnsi="Times New Roman" w:cs="Times New Roman"/>
          <w:color w:val="0D0D0D" w:themeColor="text1" w:themeTint="F2"/>
          <w:sz w:val="22"/>
          <w:szCs w:val="22"/>
          <w:shd w:val="clear" w:color="auto" w:fill="FFFFFF"/>
        </w:rPr>
        <w:t>‘The Second World War’, in </w:t>
      </w:r>
      <w:r w:rsidRPr="00C93A63">
        <w:rPr>
          <w:rStyle w:val="Emphasis"/>
          <w:rFonts w:ascii="Times New Roman" w:hAnsi="Times New Roman" w:cs="Times New Roman"/>
          <w:color w:val="0D0D0D" w:themeColor="text1" w:themeTint="F2"/>
          <w:sz w:val="22"/>
          <w:szCs w:val="22"/>
          <w:shd w:val="clear" w:color="auto" w:fill="FFFFFF"/>
        </w:rPr>
        <w:t>The Oxford History of the British Empire, Volume IV: The Twentieth Century</w:t>
      </w:r>
      <w:r w:rsidR="00C90224" w:rsidRPr="00C93A63">
        <w:rPr>
          <w:rStyle w:val="Emphasis"/>
          <w:rFonts w:ascii="Times New Roman" w:hAnsi="Times New Roman" w:cs="Times New Roman"/>
          <w:color w:val="0D0D0D" w:themeColor="text1" w:themeTint="F2"/>
          <w:sz w:val="22"/>
          <w:szCs w:val="22"/>
          <w:shd w:val="clear" w:color="auto" w:fill="FFFFFF"/>
        </w:rPr>
        <w:t xml:space="preserve">, </w:t>
      </w:r>
      <w:r w:rsidR="00C90224" w:rsidRPr="00C93A63">
        <w:rPr>
          <w:rStyle w:val="Emphasis"/>
          <w:rFonts w:ascii="Times New Roman" w:hAnsi="Times New Roman" w:cs="Times New Roman"/>
          <w:i w:val="0"/>
          <w:iCs w:val="0"/>
          <w:color w:val="0D0D0D" w:themeColor="text1" w:themeTint="F2"/>
          <w:sz w:val="22"/>
          <w:szCs w:val="22"/>
          <w:shd w:val="clear" w:color="auto" w:fill="FFFFFF"/>
        </w:rPr>
        <w:t>(</w:t>
      </w:r>
      <w:r w:rsidRPr="00C93A63">
        <w:rPr>
          <w:rFonts w:ascii="Times New Roman" w:hAnsi="Times New Roman" w:cs="Times New Roman"/>
          <w:color w:val="0D0D0D" w:themeColor="text1" w:themeTint="F2"/>
          <w:sz w:val="22"/>
          <w:szCs w:val="22"/>
          <w:shd w:val="clear" w:color="auto" w:fill="FFFFFF"/>
        </w:rPr>
        <w:t>1999), 319.</w:t>
      </w:r>
    </w:p>
  </w:footnote>
  <w:footnote w:id="18">
    <w:p w14:paraId="0C7F39EC" w14:textId="6728AA7F" w:rsidR="000C405D" w:rsidRPr="00C93A63" w:rsidRDefault="000C405D" w:rsidP="00072BC9">
      <w:pPr>
        <w:pStyle w:val="Heading1"/>
        <w:spacing w:before="0" w:beforeAutospacing="0" w:after="0" w:afterAutospacing="0"/>
        <w:ind w:left="180" w:hanging="180"/>
        <w:rPr>
          <w:rFonts w:eastAsiaTheme="minorEastAsia"/>
          <w:b w:val="0"/>
          <w:bCs w:val="0"/>
          <w:color w:val="0D0D0D" w:themeColor="text1" w:themeTint="F2"/>
          <w:kern w:val="0"/>
          <w:sz w:val="22"/>
          <w:szCs w:val="22"/>
        </w:rPr>
      </w:pPr>
      <w:r w:rsidRPr="00C93A63">
        <w:rPr>
          <w:rStyle w:val="FootnoteReference"/>
          <w:b w:val="0"/>
          <w:bCs w:val="0"/>
          <w:color w:val="0D0D0D" w:themeColor="text1" w:themeTint="F2"/>
          <w:sz w:val="22"/>
          <w:szCs w:val="22"/>
        </w:rPr>
        <w:footnoteRef/>
      </w:r>
      <w:r w:rsidRPr="00C93A63">
        <w:rPr>
          <w:color w:val="0D0D0D" w:themeColor="text1" w:themeTint="F2"/>
          <w:sz w:val="22"/>
          <w:szCs w:val="22"/>
        </w:rPr>
        <w:t xml:space="preserve"> </w:t>
      </w:r>
      <w:r w:rsidR="00C90224" w:rsidRPr="00C93A63">
        <w:rPr>
          <w:rFonts w:eastAsiaTheme="minorEastAsia"/>
          <w:b w:val="0"/>
          <w:bCs w:val="0"/>
          <w:color w:val="0D0D0D" w:themeColor="text1" w:themeTint="F2"/>
          <w:kern w:val="0"/>
          <w:sz w:val="22"/>
          <w:szCs w:val="22"/>
        </w:rPr>
        <w:t xml:space="preserve">Ahmad </w:t>
      </w:r>
      <w:proofErr w:type="spellStart"/>
      <w:r w:rsidR="00C90224" w:rsidRPr="00C93A63">
        <w:rPr>
          <w:rFonts w:eastAsiaTheme="minorEastAsia"/>
          <w:b w:val="0"/>
          <w:bCs w:val="0"/>
          <w:color w:val="0D0D0D" w:themeColor="text1" w:themeTint="F2"/>
          <w:kern w:val="0"/>
          <w:sz w:val="22"/>
          <w:szCs w:val="22"/>
        </w:rPr>
        <w:t>Fauzi</w:t>
      </w:r>
      <w:proofErr w:type="spellEnd"/>
      <w:r w:rsidR="00C90224" w:rsidRPr="00C93A63">
        <w:rPr>
          <w:rFonts w:eastAsiaTheme="minorEastAsia"/>
          <w:b w:val="0"/>
          <w:bCs w:val="0"/>
          <w:color w:val="0D0D0D" w:themeColor="text1" w:themeTint="F2"/>
          <w:kern w:val="0"/>
          <w:sz w:val="22"/>
          <w:szCs w:val="22"/>
        </w:rPr>
        <w:t xml:space="preserve"> Abdul Hamid, </w:t>
      </w:r>
      <w:r w:rsidR="008F05FC" w:rsidRPr="00C93A63">
        <w:rPr>
          <w:rFonts w:eastAsiaTheme="minorEastAsia"/>
          <w:b w:val="0"/>
          <w:bCs w:val="0"/>
          <w:color w:val="0D0D0D" w:themeColor="text1" w:themeTint="F2"/>
          <w:kern w:val="0"/>
          <w:sz w:val="22"/>
          <w:szCs w:val="22"/>
        </w:rPr>
        <w:t>‘</w:t>
      </w:r>
      <w:r w:rsidR="00C90224" w:rsidRPr="00C93A63">
        <w:rPr>
          <w:rFonts w:eastAsiaTheme="minorEastAsia"/>
          <w:b w:val="0"/>
          <w:bCs w:val="0"/>
          <w:color w:val="0D0D0D" w:themeColor="text1" w:themeTint="F2"/>
          <w:kern w:val="0"/>
          <w:sz w:val="22"/>
          <w:szCs w:val="22"/>
        </w:rPr>
        <w:t>Malay Anti</w:t>
      </w:r>
      <w:r w:rsidR="00C90224" w:rsidRPr="00C93A63">
        <w:rPr>
          <w:rFonts w:eastAsiaTheme="minorEastAsia"/>
          <w:b w:val="0"/>
          <w:bCs w:val="0"/>
          <w:color w:val="0D0D0D" w:themeColor="text1" w:themeTint="F2"/>
          <w:kern w:val="0"/>
          <w:sz w:val="22"/>
          <w:szCs w:val="22"/>
        </w:rPr>
        <w:t>-</w:t>
      </w:r>
      <w:r w:rsidR="00C90224" w:rsidRPr="00C93A63">
        <w:rPr>
          <w:rFonts w:eastAsiaTheme="minorEastAsia"/>
          <w:b w:val="0"/>
          <w:bCs w:val="0"/>
          <w:color w:val="0D0D0D" w:themeColor="text1" w:themeTint="F2"/>
          <w:kern w:val="0"/>
          <w:sz w:val="22"/>
          <w:szCs w:val="22"/>
        </w:rPr>
        <w:t>Colonialism in British Malaya</w:t>
      </w:r>
      <w:r w:rsidR="008F05FC" w:rsidRPr="00C93A63">
        <w:rPr>
          <w:rFonts w:eastAsiaTheme="minorEastAsia"/>
          <w:b w:val="0"/>
          <w:bCs w:val="0"/>
          <w:color w:val="0D0D0D" w:themeColor="text1" w:themeTint="F2"/>
          <w:kern w:val="0"/>
          <w:sz w:val="22"/>
          <w:szCs w:val="22"/>
        </w:rPr>
        <w:t xml:space="preserve">: </w:t>
      </w:r>
      <w:r w:rsidR="00C90224" w:rsidRPr="00C93A63">
        <w:rPr>
          <w:rFonts w:eastAsiaTheme="minorEastAsia"/>
          <w:b w:val="0"/>
          <w:bCs w:val="0"/>
          <w:color w:val="0D0D0D" w:themeColor="text1" w:themeTint="F2"/>
          <w:kern w:val="0"/>
          <w:sz w:val="22"/>
          <w:szCs w:val="22"/>
        </w:rPr>
        <w:t>A Re</w:t>
      </w:r>
      <w:r w:rsidR="008F05FC" w:rsidRPr="00C93A63">
        <w:rPr>
          <w:rFonts w:eastAsiaTheme="minorEastAsia"/>
          <w:b w:val="0"/>
          <w:bCs w:val="0"/>
          <w:color w:val="0D0D0D" w:themeColor="text1" w:themeTint="F2"/>
          <w:kern w:val="0"/>
          <w:sz w:val="22"/>
          <w:szCs w:val="22"/>
        </w:rPr>
        <w:t>-</w:t>
      </w:r>
      <w:r w:rsidR="00C90224" w:rsidRPr="00C93A63">
        <w:rPr>
          <w:rFonts w:eastAsiaTheme="minorEastAsia"/>
          <w:b w:val="0"/>
          <w:bCs w:val="0"/>
          <w:color w:val="0D0D0D" w:themeColor="text1" w:themeTint="F2"/>
          <w:kern w:val="0"/>
          <w:sz w:val="22"/>
          <w:szCs w:val="22"/>
        </w:rPr>
        <w:t>appraisal of Independence Fighters of Peninsular Malaysia</w:t>
      </w:r>
      <w:r w:rsidR="008F05FC" w:rsidRPr="00C93A63">
        <w:rPr>
          <w:rFonts w:eastAsiaTheme="minorEastAsia"/>
          <w:b w:val="0"/>
          <w:bCs w:val="0"/>
          <w:color w:val="0D0D0D" w:themeColor="text1" w:themeTint="F2"/>
          <w:kern w:val="0"/>
          <w:sz w:val="22"/>
          <w:szCs w:val="22"/>
        </w:rPr>
        <w:t xml:space="preserve">’, </w:t>
      </w:r>
      <w:r w:rsidR="008F05FC" w:rsidRPr="00C93A63">
        <w:rPr>
          <w:rFonts w:eastAsiaTheme="minorEastAsia"/>
          <w:b w:val="0"/>
          <w:bCs w:val="0"/>
          <w:i/>
          <w:iCs/>
          <w:color w:val="0D0D0D" w:themeColor="text1" w:themeTint="F2"/>
          <w:kern w:val="0"/>
          <w:sz w:val="22"/>
          <w:szCs w:val="22"/>
        </w:rPr>
        <w:t>Journal of Asian and African Studies</w:t>
      </w:r>
      <w:r w:rsidR="008F05FC" w:rsidRPr="00C93A63">
        <w:rPr>
          <w:rFonts w:eastAsiaTheme="minorEastAsia"/>
          <w:b w:val="0"/>
          <w:bCs w:val="0"/>
          <w:color w:val="0D0D0D" w:themeColor="text1" w:themeTint="F2"/>
          <w:kern w:val="0"/>
          <w:sz w:val="22"/>
          <w:szCs w:val="22"/>
        </w:rPr>
        <w:t>, (2007), 384.</w:t>
      </w:r>
    </w:p>
  </w:footnote>
  <w:footnote w:id="19">
    <w:p w14:paraId="1AFDFF2F" w14:textId="3502A4E7" w:rsidR="000C405D" w:rsidRPr="00C93A63" w:rsidRDefault="000C405D" w:rsidP="008F05FC">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8F05FC" w:rsidRPr="00C93A63">
        <w:rPr>
          <w:rFonts w:ascii="Times New Roman" w:hAnsi="Times New Roman" w:cs="Times New Roman"/>
          <w:color w:val="0D0D0D" w:themeColor="text1" w:themeTint="F2"/>
          <w:sz w:val="22"/>
          <w:szCs w:val="22"/>
        </w:rPr>
        <w:t>Robb, ‘Was British Decolonizati</w:t>
      </w:r>
      <w:r w:rsidR="00072BC9">
        <w:rPr>
          <w:rFonts w:ascii="Times New Roman" w:hAnsi="Times New Roman" w:cs="Times New Roman"/>
          <w:color w:val="0D0D0D" w:themeColor="text1" w:themeTint="F2"/>
          <w:sz w:val="22"/>
          <w:szCs w:val="22"/>
        </w:rPr>
        <w:t>on</w:t>
      </w:r>
      <w:r w:rsidR="008F05FC" w:rsidRPr="00C93A63">
        <w:rPr>
          <w:rFonts w:ascii="Times New Roman" w:hAnsi="Times New Roman" w:cs="Times New Roman"/>
          <w:i/>
          <w:iCs/>
          <w:color w:val="0D0D0D" w:themeColor="text1" w:themeTint="F2"/>
          <w:sz w:val="22"/>
          <w:szCs w:val="22"/>
        </w:rPr>
        <w:t xml:space="preserve">’, </w:t>
      </w:r>
      <w:r w:rsidR="008F05FC" w:rsidRPr="00C93A63">
        <w:rPr>
          <w:rFonts w:ascii="Times New Roman" w:hAnsi="Times New Roman" w:cs="Times New Roman"/>
          <w:color w:val="0D0D0D" w:themeColor="text1" w:themeTint="F2"/>
          <w:sz w:val="22"/>
          <w:szCs w:val="22"/>
        </w:rPr>
        <w:t>4.</w:t>
      </w:r>
    </w:p>
  </w:footnote>
  <w:footnote w:id="20">
    <w:p w14:paraId="47A1501F" w14:textId="14F39CE6" w:rsidR="000C405D" w:rsidRPr="00C93A63" w:rsidRDefault="000C405D" w:rsidP="008F05FC">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8F05FC" w:rsidRPr="00C93A63">
        <w:rPr>
          <w:rFonts w:ascii="Times New Roman" w:hAnsi="Times New Roman" w:cs="Times New Roman"/>
          <w:color w:val="0D0D0D" w:themeColor="text1" w:themeTint="F2"/>
          <w:sz w:val="22"/>
          <w:szCs w:val="22"/>
        </w:rPr>
        <w:t xml:space="preserve">J.A. </w:t>
      </w:r>
      <w:proofErr w:type="spellStart"/>
      <w:r w:rsidR="008F05FC" w:rsidRPr="00C93A63">
        <w:rPr>
          <w:rFonts w:ascii="Times New Roman" w:hAnsi="Times New Roman" w:cs="Times New Roman"/>
          <w:color w:val="0D0D0D" w:themeColor="text1" w:themeTint="F2"/>
          <w:sz w:val="22"/>
          <w:szCs w:val="22"/>
        </w:rPr>
        <w:t>Kechichian</w:t>
      </w:r>
      <w:proofErr w:type="spellEnd"/>
      <w:r w:rsidR="008F05FC" w:rsidRPr="00C93A63">
        <w:rPr>
          <w:rFonts w:ascii="Times New Roman" w:hAnsi="Times New Roman" w:cs="Times New Roman"/>
          <w:color w:val="0D0D0D" w:themeColor="text1" w:themeTint="F2"/>
          <w:sz w:val="22"/>
          <w:szCs w:val="22"/>
        </w:rPr>
        <w:t>, ‘Baghdad Pact’</w:t>
      </w:r>
      <w:r w:rsidR="008F05FC" w:rsidRPr="00C93A63">
        <w:rPr>
          <w:rFonts w:ascii="Times New Roman" w:hAnsi="Times New Roman" w:cs="Times New Roman"/>
          <w:i/>
          <w:iCs/>
          <w:color w:val="0D0D0D" w:themeColor="text1" w:themeTint="F2"/>
          <w:sz w:val="22"/>
          <w:szCs w:val="22"/>
        </w:rPr>
        <w:t xml:space="preserve">, Encyclopedia </w:t>
      </w:r>
      <w:proofErr w:type="spellStart"/>
      <w:r w:rsidR="008F05FC" w:rsidRPr="00C93A63">
        <w:rPr>
          <w:rFonts w:ascii="Times New Roman" w:hAnsi="Times New Roman" w:cs="Times New Roman"/>
          <w:i/>
          <w:iCs/>
          <w:color w:val="0D0D0D" w:themeColor="text1" w:themeTint="F2"/>
          <w:sz w:val="22"/>
          <w:szCs w:val="22"/>
        </w:rPr>
        <w:t>Iranica</w:t>
      </w:r>
      <w:proofErr w:type="spellEnd"/>
      <w:r w:rsidR="008F05FC" w:rsidRPr="00C93A63">
        <w:rPr>
          <w:rFonts w:ascii="Times New Roman" w:hAnsi="Times New Roman" w:cs="Times New Roman"/>
          <w:i/>
          <w:iCs/>
          <w:color w:val="0D0D0D" w:themeColor="text1" w:themeTint="F2"/>
          <w:sz w:val="22"/>
          <w:szCs w:val="22"/>
        </w:rPr>
        <w:t xml:space="preserve">, </w:t>
      </w:r>
      <w:r w:rsidR="008F05FC" w:rsidRPr="00C93A63">
        <w:rPr>
          <w:rFonts w:ascii="Times New Roman" w:hAnsi="Times New Roman" w:cs="Times New Roman"/>
          <w:color w:val="0D0D0D" w:themeColor="text1" w:themeTint="F2"/>
          <w:sz w:val="22"/>
          <w:szCs w:val="22"/>
        </w:rPr>
        <w:t>(2011).</w:t>
      </w:r>
    </w:p>
  </w:footnote>
  <w:footnote w:id="21">
    <w:p w14:paraId="4F06CBBB" w14:textId="17CD07AA" w:rsidR="000C405D" w:rsidRPr="00C93A63" w:rsidRDefault="000C405D" w:rsidP="008F05FC">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8F05FC" w:rsidRPr="00C93A63">
        <w:rPr>
          <w:rFonts w:ascii="Times New Roman" w:hAnsi="Times New Roman" w:cs="Times New Roman"/>
          <w:color w:val="0D0D0D" w:themeColor="text1" w:themeTint="F2"/>
          <w:sz w:val="22"/>
          <w:szCs w:val="22"/>
        </w:rPr>
        <w:t xml:space="preserve">Simon S. Smith, </w:t>
      </w:r>
      <w:r w:rsidR="008F05FC" w:rsidRPr="00C93A63">
        <w:rPr>
          <w:rFonts w:ascii="Times New Roman" w:hAnsi="Times New Roman" w:cs="Times New Roman"/>
          <w:i/>
          <w:iCs/>
          <w:color w:val="0D0D0D" w:themeColor="text1" w:themeTint="F2"/>
          <w:sz w:val="22"/>
          <w:szCs w:val="22"/>
        </w:rPr>
        <w:t>Ending Empire in the Middle East</w:t>
      </w:r>
      <w:r w:rsidR="008F05FC" w:rsidRPr="00C93A63">
        <w:rPr>
          <w:rFonts w:ascii="Times New Roman" w:hAnsi="Times New Roman" w:cs="Times New Roman"/>
          <w:color w:val="0D0D0D" w:themeColor="text1" w:themeTint="F2"/>
          <w:sz w:val="22"/>
          <w:szCs w:val="22"/>
        </w:rPr>
        <w:t xml:space="preserve"> (London, 2012).</w:t>
      </w:r>
    </w:p>
  </w:footnote>
  <w:footnote w:id="22">
    <w:p w14:paraId="485CE5C3" w14:textId="4B768F02" w:rsidR="000C405D" w:rsidRPr="00C93A63" w:rsidRDefault="000C405D" w:rsidP="00072BC9">
      <w:pPr>
        <w:ind w:left="180" w:hanging="180"/>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8F05FC" w:rsidRPr="00C93A63">
        <w:rPr>
          <w:rFonts w:ascii="Times New Roman" w:hAnsi="Times New Roman" w:cs="Times New Roman"/>
          <w:color w:val="0D0D0D" w:themeColor="text1" w:themeTint="F2"/>
          <w:sz w:val="22"/>
          <w:szCs w:val="22"/>
        </w:rPr>
        <w:t xml:space="preserve">Simon S. Smith, ‘Britain’s Decision to Withdraw from the Persian Gulf: A Pattern not a Puzzle’, </w:t>
      </w:r>
      <w:r w:rsidR="008F05FC" w:rsidRPr="00C93A63">
        <w:rPr>
          <w:rFonts w:ascii="Times New Roman" w:hAnsi="Times New Roman" w:cs="Times New Roman"/>
          <w:i/>
          <w:iCs/>
          <w:color w:val="0D0D0D" w:themeColor="text1" w:themeTint="F2"/>
          <w:sz w:val="22"/>
          <w:szCs w:val="22"/>
        </w:rPr>
        <w:t>The Journal of Imperial and Commonwealth History</w:t>
      </w:r>
      <w:r w:rsidR="008F05FC" w:rsidRPr="00C93A63">
        <w:rPr>
          <w:rFonts w:ascii="Times New Roman" w:hAnsi="Times New Roman" w:cs="Times New Roman"/>
          <w:color w:val="0D0D0D" w:themeColor="text1" w:themeTint="F2"/>
          <w:sz w:val="22"/>
          <w:szCs w:val="22"/>
        </w:rPr>
        <w:t>, (2016).</w:t>
      </w:r>
    </w:p>
  </w:footnote>
  <w:footnote w:id="23">
    <w:p w14:paraId="5DD67718" w14:textId="17B3811F" w:rsidR="000C405D" w:rsidRPr="00C93A63" w:rsidRDefault="000C405D" w:rsidP="00072BC9">
      <w:pPr>
        <w:ind w:left="180" w:hanging="180"/>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8F05FC" w:rsidRPr="00C93A63">
        <w:rPr>
          <w:rFonts w:ascii="Times New Roman" w:hAnsi="Times New Roman" w:cs="Times New Roman"/>
          <w:color w:val="0D0D0D" w:themeColor="text1" w:themeTint="F2"/>
          <w:sz w:val="22"/>
          <w:szCs w:val="22"/>
        </w:rPr>
        <w:t xml:space="preserve">Youssef </w:t>
      </w:r>
      <w:proofErr w:type="spellStart"/>
      <w:r w:rsidR="008F05FC" w:rsidRPr="00C93A63">
        <w:rPr>
          <w:rFonts w:ascii="Times New Roman" w:hAnsi="Times New Roman" w:cs="Times New Roman"/>
          <w:color w:val="0D0D0D" w:themeColor="text1" w:themeTint="F2"/>
          <w:sz w:val="22"/>
          <w:szCs w:val="22"/>
        </w:rPr>
        <w:t>Kodsy</w:t>
      </w:r>
      <w:proofErr w:type="spellEnd"/>
      <w:r w:rsidR="008F05FC" w:rsidRPr="00C93A63">
        <w:rPr>
          <w:rFonts w:ascii="Times New Roman" w:hAnsi="Times New Roman" w:cs="Times New Roman"/>
          <w:color w:val="0D0D0D" w:themeColor="text1" w:themeTint="F2"/>
          <w:sz w:val="22"/>
          <w:szCs w:val="22"/>
        </w:rPr>
        <w:t xml:space="preserve">, ‘Anti-colonialism, grassroots nationalism and their impacts on international relations in Egypt’, </w:t>
      </w:r>
      <w:proofErr w:type="spellStart"/>
      <w:r w:rsidR="008F05FC" w:rsidRPr="00C93A63">
        <w:rPr>
          <w:rFonts w:ascii="Times New Roman" w:hAnsi="Times New Roman" w:cs="Times New Roman"/>
          <w:i/>
          <w:iCs/>
          <w:color w:val="0D0D0D" w:themeColor="text1" w:themeTint="F2"/>
          <w:sz w:val="22"/>
          <w:szCs w:val="22"/>
        </w:rPr>
        <w:t>openDemocracy</w:t>
      </w:r>
      <w:proofErr w:type="spellEnd"/>
      <w:r w:rsidR="008F05FC" w:rsidRPr="00C93A63">
        <w:rPr>
          <w:rFonts w:ascii="Times New Roman" w:hAnsi="Times New Roman" w:cs="Times New Roman"/>
          <w:color w:val="0D0D0D" w:themeColor="text1" w:themeTint="F2"/>
          <w:sz w:val="22"/>
          <w:szCs w:val="22"/>
        </w:rPr>
        <w:t>, (2015).</w:t>
      </w:r>
    </w:p>
  </w:footnote>
  <w:footnote w:id="24">
    <w:p w14:paraId="5ED47A72" w14:textId="4DECBA2A" w:rsidR="000C405D" w:rsidRPr="00072BC9" w:rsidRDefault="000C405D">
      <w:pPr>
        <w:pStyle w:val="FootnoteText"/>
        <w:rPr>
          <w:rFonts w:ascii="Times New Roman" w:hAnsi="Times New Roman" w:cs="Times New Roman"/>
          <w:i/>
          <w:iCs/>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Pr="00072BC9">
        <w:rPr>
          <w:rFonts w:ascii="Times New Roman" w:hAnsi="Times New Roman" w:cs="Times New Roman"/>
          <w:i/>
          <w:iCs/>
          <w:color w:val="0D0D0D" w:themeColor="text1" w:themeTint="F2"/>
          <w:sz w:val="22"/>
          <w:szCs w:val="22"/>
        </w:rPr>
        <w:t>Ibid.</w:t>
      </w:r>
    </w:p>
  </w:footnote>
  <w:footnote w:id="25">
    <w:p w14:paraId="3793DC05" w14:textId="106EBA40" w:rsidR="000C405D" w:rsidRPr="00C93A63" w:rsidRDefault="000C405D">
      <w:pPr>
        <w:pStyle w:val="FootnoteText"/>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Pr="00072BC9">
        <w:rPr>
          <w:rFonts w:ascii="Times New Roman" w:hAnsi="Times New Roman" w:cs="Times New Roman"/>
          <w:i/>
          <w:iCs/>
          <w:color w:val="0D0D0D" w:themeColor="text1" w:themeTint="F2"/>
          <w:sz w:val="22"/>
          <w:szCs w:val="22"/>
        </w:rPr>
        <w:t>Ibid.</w:t>
      </w:r>
    </w:p>
  </w:footnote>
  <w:footnote w:id="26">
    <w:p w14:paraId="33182B03" w14:textId="109B2DC8" w:rsidR="000C405D" w:rsidRPr="00C93A63" w:rsidRDefault="000C405D" w:rsidP="008F05FC">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8F05FC" w:rsidRPr="00C93A63">
        <w:rPr>
          <w:rFonts w:ascii="Times New Roman" w:hAnsi="Times New Roman" w:cs="Times New Roman"/>
          <w:color w:val="0D0D0D" w:themeColor="text1" w:themeTint="F2"/>
          <w:sz w:val="22"/>
          <w:szCs w:val="22"/>
        </w:rPr>
        <w:t>Robb, ‘Was British Decolonizatio</w:t>
      </w:r>
      <w:r w:rsidR="00072BC9">
        <w:rPr>
          <w:rFonts w:ascii="Times New Roman" w:hAnsi="Times New Roman" w:cs="Times New Roman"/>
          <w:color w:val="0D0D0D" w:themeColor="text1" w:themeTint="F2"/>
          <w:sz w:val="22"/>
          <w:szCs w:val="22"/>
        </w:rPr>
        <w:t>n’</w:t>
      </w:r>
      <w:r w:rsidR="008F05FC" w:rsidRPr="00C93A63">
        <w:rPr>
          <w:rFonts w:ascii="Times New Roman" w:hAnsi="Times New Roman" w:cs="Times New Roman"/>
          <w:color w:val="0D0D0D" w:themeColor="text1" w:themeTint="F2"/>
          <w:sz w:val="22"/>
          <w:szCs w:val="22"/>
        </w:rPr>
        <w:t>, 5.</w:t>
      </w:r>
    </w:p>
  </w:footnote>
  <w:footnote w:id="27">
    <w:p w14:paraId="09C41BB3" w14:textId="5EDB93AE" w:rsidR="000C405D" w:rsidRPr="00C93A63" w:rsidRDefault="000C405D" w:rsidP="008F05FC">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00072BC9">
        <w:rPr>
          <w:rFonts w:ascii="Times New Roman" w:hAnsi="Times New Roman" w:cs="Times New Roman"/>
          <w:color w:val="0D0D0D" w:themeColor="text1" w:themeTint="F2"/>
          <w:sz w:val="22"/>
          <w:szCs w:val="22"/>
        </w:rPr>
        <w:t xml:space="preserve"> </w:t>
      </w:r>
      <w:r w:rsidR="008F05FC" w:rsidRPr="00C93A63">
        <w:rPr>
          <w:rFonts w:ascii="Times New Roman" w:hAnsi="Times New Roman" w:cs="Times New Roman"/>
          <w:color w:val="0D0D0D" w:themeColor="text1" w:themeTint="F2"/>
          <w:sz w:val="22"/>
          <w:szCs w:val="22"/>
        </w:rPr>
        <w:t>Collins, ‘Decolonization’, 2.</w:t>
      </w:r>
    </w:p>
  </w:footnote>
  <w:footnote w:id="28">
    <w:p w14:paraId="1D5BD9F4" w14:textId="1F87B999" w:rsidR="000C405D" w:rsidRPr="00C93A63" w:rsidRDefault="000C405D" w:rsidP="00072BC9">
      <w:pPr>
        <w:pStyle w:val="FootnoteText"/>
        <w:ind w:left="180" w:hanging="180"/>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8F05FC" w:rsidRPr="00C93A63">
        <w:rPr>
          <w:rFonts w:ascii="Times New Roman" w:hAnsi="Times New Roman" w:cs="Times New Roman"/>
          <w:color w:val="0D0D0D" w:themeColor="text1" w:themeTint="F2"/>
          <w:sz w:val="22"/>
          <w:szCs w:val="22"/>
        </w:rPr>
        <w:t xml:space="preserve">Ronald </w:t>
      </w:r>
      <w:proofErr w:type="spellStart"/>
      <w:r w:rsidR="008F05FC" w:rsidRPr="00C93A63">
        <w:rPr>
          <w:rFonts w:ascii="Times New Roman" w:hAnsi="Times New Roman" w:cs="Times New Roman"/>
          <w:color w:val="0D0D0D" w:themeColor="text1" w:themeTint="F2"/>
          <w:sz w:val="22"/>
          <w:szCs w:val="22"/>
        </w:rPr>
        <w:t>Hyam</w:t>
      </w:r>
      <w:proofErr w:type="spellEnd"/>
      <w:r w:rsidR="008F05FC" w:rsidRPr="00C93A63">
        <w:rPr>
          <w:rFonts w:ascii="Times New Roman" w:hAnsi="Times New Roman" w:cs="Times New Roman"/>
          <w:color w:val="0D0D0D" w:themeColor="text1" w:themeTint="F2"/>
          <w:sz w:val="22"/>
          <w:szCs w:val="22"/>
        </w:rPr>
        <w:t xml:space="preserve"> and Wm Rodger Louis</w:t>
      </w:r>
      <w:r w:rsidR="00B15D16" w:rsidRPr="00C93A63">
        <w:rPr>
          <w:rFonts w:ascii="Times New Roman" w:hAnsi="Times New Roman" w:cs="Times New Roman"/>
          <w:color w:val="0D0D0D" w:themeColor="text1" w:themeTint="F2"/>
          <w:sz w:val="22"/>
          <w:szCs w:val="22"/>
        </w:rPr>
        <w:t>, ‘</w:t>
      </w:r>
      <w:r w:rsidRPr="00C93A63">
        <w:rPr>
          <w:rFonts w:ascii="Times New Roman" w:hAnsi="Times New Roman" w:cs="Times New Roman"/>
          <w:color w:val="0D0D0D" w:themeColor="text1" w:themeTint="F2"/>
          <w:sz w:val="22"/>
          <w:szCs w:val="22"/>
        </w:rPr>
        <w:t>British Documents on the End of Empire</w:t>
      </w:r>
      <w:r w:rsidR="00B15D16" w:rsidRPr="00C93A63">
        <w:rPr>
          <w:rFonts w:ascii="Times New Roman" w:hAnsi="Times New Roman" w:cs="Times New Roman"/>
          <w:color w:val="0D0D0D" w:themeColor="text1" w:themeTint="F2"/>
          <w:sz w:val="22"/>
          <w:szCs w:val="22"/>
        </w:rPr>
        <w:t xml:space="preserve">: The Conservative Government and the End of Empire 1957-1964’, (2000), </w:t>
      </w:r>
      <w:r w:rsidRPr="00C93A63">
        <w:rPr>
          <w:rFonts w:ascii="Times New Roman" w:hAnsi="Times New Roman" w:cs="Times New Roman"/>
          <w:color w:val="0D0D0D" w:themeColor="text1" w:themeTint="F2"/>
          <w:sz w:val="22"/>
          <w:szCs w:val="22"/>
        </w:rPr>
        <w:t>38</w:t>
      </w:r>
      <w:r w:rsidR="00B15D16" w:rsidRPr="00C93A63">
        <w:rPr>
          <w:rFonts w:ascii="Times New Roman" w:hAnsi="Times New Roman" w:cs="Times New Roman"/>
          <w:color w:val="0D0D0D" w:themeColor="text1" w:themeTint="F2"/>
          <w:sz w:val="22"/>
          <w:szCs w:val="22"/>
        </w:rPr>
        <w:t>.</w:t>
      </w:r>
    </w:p>
  </w:footnote>
  <w:footnote w:id="29">
    <w:p w14:paraId="3E68846F" w14:textId="27C9837E" w:rsidR="000C405D" w:rsidRPr="00072BC9" w:rsidRDefault="000C405D" w:rsidP="00B02DD5">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072BC9">
        <w:rPr>
          <w:rFonts w:ascii="Times New Roman" w:hAnsi="Times New Roman" w:cs="Times New Roman"/>
          <w:color w:val="0D0D0D" w:themeColor="text1" w:themeTint="F2"/>
          <w:sz w:val="22"/>
          <w:szCs w:val="22"/>
        </w:rPr>
        <w:t xml:space="preserve"> </w:t>
      </w:r>
      <w:r w:rsidR="00B15D16" w:rsidRPr="00072BC9">
        <w:rPr>
          <w:rFonts w:ascii="Times New Roman" w:hAnsi="Times New Roman" w:cs="Times New Roman"/>
          <w:color w:val="0D0D0D" w:themeColor="text1" w:themeTint="F2"/>
          <w:sz w:val="22"/>
          <w:szCs w:val="22"/>
        </w:rPr>
        <w:t>OSPA, ‘Future Constitutional’</w:t>
      </w:r>
      <w:r w:rsidR="00072BC9" w:rsidRPr="00072BC9">
        <w:rPr>
          <w:rFonts w:ascii="Times New Roman" w:hAnsi="Times New Roman" w:cs="Times New Roman"/>
          <w:color w:val="0D0D0D" w:themeColor="text1" w:themeTint="F2"/>
          <w:sz w:val="22"/>
          <w:szCs w:val="22"/>
        </w:rPr>
        <w:t>.</w:t>
      </w:r>
    </w:p>
  </w:footnote>
  <w:footnote w:id="30">
    <w:p w14:paraId="2691569A" w14:textId="663A94CF" w:rsidR="000C405D" w:rsidRPr="00C93A63" w:rsidRDefault="000C405D" w:rsidP="00B15D16">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B15D16" w:rsidRPr="00C93A63">
        <w:rPr>
          <w:rFonts w:ascii="Times New Roman" w:hAnsi="Times New Roman" w:cs="Times New Roman"/>
          <w:color w:val="0D0D0D" w:themeColor="text1" w:themeTint="F2"/>
          <w:sz w:val="22"/>
          <w:szCs w:val="22"/>
        </w:rPr>
        <w:t>Pierce, ‘Decolonization and the Collapse’</w:t>
      </w:r>
      <w:r w:rsidR="00072BC9">
        <w:rPr>
          <w:rFonts w:ascii="Times New Roman" w:hAnsi="Times New Roman" w:cs="Times New Roman"/>
          <w:color w:val="0D0D0D" w:themeColor="text1" w:themeTint="F2"/>
          <w:sz w:val="22"/>
          <w:szCs w:val="22"/>
        </w:rPr>
        <w:t>.</w:t>
      </w:r>
    </w:p>
  </w:footnote>
  <w:footnote w:id="31">
    <w:p w14:paraId="3CA04661" w14:textId="6FEDD46A" w:rsidR="00B02DD5" w:rsidRPr="00C93A63" w:rsidRDefault="00B02DD5">
      <w:pPr>
        <w:pStyle w:val="FootnoteText"/>
        <w:rPr>
          <w:rFonts w:ascii="Times New Roman" w:hAnsi="Times New Roman" w:cs="Times New Roman"/>
          <w:sz w:val="22"/>
          <w:szCs w:val="22"/>
        </w:rPr>
      </w:pPr>
      <w:r w:rsidRPr="00C93A63">
        <w:rPr>
          <w:rStyle w:val="FootnoteReference"/>
          <w:rFonts w:ascii="Times New Roman" w:hAnsi="Times New Roman" w:cs="Times New Roman"/>
          <w:sz w:val="22"/>
          <w:szCs w:val="22"/>
        </w:rPr>
        <w:footnoteRef/>
      </w:r>
      <w:r w:rsidRPr="00C93A63">
        <w:rPr>
          <w:rFonts w:ascii="Times New Roman" w:hAnsi="Times New Roman" w:cs="Times New Roman"/>
          <w:sz w:val="22"/>
          <w:szCs w:val="22"/>
        </w:rPr>
        <w:t xml:space="preserve"> </w:t>
      </w:r>
      <w:r w:rsidRPr="00072BC9">
        <w:rPr>
          <w:rFonts w:ascii="Times New Roman" w:hAnsi="Times New Roman" w:cs="Times New Roman"/>
          <w:i/>
          <w:iCs/>
          <w:sz w:val="22"/>
          <w:szCs w:val="22"/>
        </w:rPr>
        <w:t>Ibid.</w:t>
      </w:r>
    </w:p>
  </w:footnote>
  <w:footnote w:id="32">
    <w:p w14:paraId="22442206" w14:textId="71D8363C" w:rsidR="00F662E2" w:rsidRPr="00C93A63" w:rsidRDefault="00F662E2">
      <w:pPr>
        <w:pStyle w:val="FootnoteText"/>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B15D16" w:rsidRPr="00C93A63">
        <w:rPr>
          <w:rFonts w:ascii="Times New Roman" w:hAnsi="Times New Roman" w:cs="Times New Roman"/>
          <w:color w:val="0D0D0D" w:themeColor="text1" w:themeTint="F2"/>
          <w:sz w:val="22"/>
          <w:szCs w:val="22"/>
        </w:rPr>
        <w:t xml:space="preserve">South African History Online, ‘The Mau </w:t>
      </w:r>
      <w:proofErr w:type="spellStart"/>
      <w:r w:rsidR="00B15D16" w:rsidRPr="00C93A63">
        <w:rPr>
          <w:rFonts w:ascii="Times New Roman" w:hAnsi="Times New Roman" w:cs="Times New Roman"/>
          <w:color w:val="0D0D0D" w:themeColor="text1" w:themeTint="F2"/>
          <w:sz w:val="22"/>
          <w:szCs w:val="22"/>
        </w:rPr>
        <w:t>Mau</w:t>
      </w:r>
      <w:proofErr w:type="spellEnd"/>
      <w:r w:rsidR="00B15D16" w:rsidRPr="00C93A63">
        <w:rPr>
          <w:rFonts w:ascii="Times New Roman" w:hAnsi="Times New Roman" w:cs="Times New Roman"/>
          <w:color w:val="0D0D0D" w:themeColor="text1" w:themeTint="F2"/>
          <w:sz w:val="22"/>
          <w:szCs w:val="22"/>
        </w:rPr>
        <w:t xml:space="preserve"> Uprising’, (2016).</w:t>
      </w:r>
    </w:p>
  </w:footnote>
  <w:footnote w:id="33">
    <w:p w14:paraId="6E7D85D7" w14:textId="1E6CA343" w:rsidR="000C405D" w:rsidRPr="00C93A63" w:rsidRDefault="000C405D" w:rsidP="00072BC9">
      <w:pPr>
        <w:ind w:left="180" w:hanging="180"/>
        <w:rPr>
          <w:rFonts w:ascii="Times New Roman" w:eastAsia="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Pr="00C93A63">
        <w:rPr>
          <w:rFonts w:ascii="Times New Roman" w:eastAsia="Times New Roman" w:hAnsi="Times New Roman" w:cs="Times New Roman"/>
          <w:color w:val="0D0D0D" w:themeColor="text1" w:themeTint="F2"/>
          <w:sz w:val="22"/>
          <w:szCs w:val="22"/>
          <w:shd w:val="clear" w:color="auto" w:fill="FFFFFF"/>
        </w:rPr>
        <w:t>David Anderson, </w:t>
      </w:r>
      <w:r w:rsidRPr="00C93A63">
        <w:rPr>
          <w:rFonts w:ascii="Times New Roman" w:eastAsia="Times New Roman" w:hAnsi="Times New Roman" w:cs="Times New Roman"/>
          <w:i/>
          <w:iCs/>
          <w:color w:val="0D0D0D" w:themeColor="text1" w:themeTint="F2"/>
          <w:sz w:val="22"/>
          <w:szCs w:val="22"/>
          <w:shd w:val="clear" w:color="auto" w:fill="FFFFFF"/>
        </w:rPr>
        <w:t>Histories of the Hanged: Britain’s Dirty War in Kenya and the End of Empire</w:t>
      </w:r>
      <w:r w:rsidR="00B15D16" w:rsidRPr="00C93A63">
        <w:rPr>
          <w:rFonts w:ascii="Times New Roman" w:eastAsia="Times New Roman" w:hAnsi="Times New Roman" w:cs="Times New Roman"/>
          <w:color w:val="0D0D0D" w:themeColor="text1" w:themeTint="F2"/>
          <w:sz w:val="22"/>
          <w:szCs w:val="22"/>
          <w:shd w:val="clear" w:color="auto" w:fill="FFFFFF"/>
        </w:rPr>
        <w:t xml:space="preserve"> (</w:t>
      </w:r>
      <w:r w:rsidRPr="00C93A63">
        <w:rPr>
          <w:rFonts w:ascii="Times New Roman" w:eastAsia="Times New Roman" w:hAnsi="Times New Roman" w:cs="Times New Roman"/>
          <w:color w:val="0D0D0D" w:themeColor="text1" w:themeTint="F2"/>
          <w:sz w:val="22"/>
          <w:szCs w:val="22"/>
          <w:shd w:val="clear" w:color="auto" w:fill="FFFFFF"/>
        </w:rPr>
        <w:t>London, 2005</w:t>
      </w:r>
      <w:r w:rsidR="00B15D16" w:rsidRPr="00C93A63">
        <w:rPr>
          <w:rFonts w:ascii="Times New Roman" w:eastAsia="Times New Roman" w:hAnsi="Times New Roman" w:cs="Times New Roman"/>
          <w:color w:val="0D0D0D" w:themeColor="text1" w:themeTint="F2"/>
          <w:sz w:val="22"/>
          <w:szCs w:val="22"/>
          <w:shd w:val="clear" w:color="auto" w:fill="FFFFFF"/>
        </w:rPr>
        <w:t>),</w:t>
      </w:r>
      <w:r w:rsidRPr="00C93A63">
        <w:rPr>
          <w:rFonts w:ascii="Times New Roman" w:eastAsia="Times New Roman" w:hAnsi="Times New Roman" w:cs="Times New Roman"/>
          <w:color w:val="0D0D0D" w:themeColor="text1" w:themeTint="F2"/>
          <w:sz w:val="22"/>
          <w:szCs w:val="22"/>
          <w:shd w:val="clear" w:color="auto" w:fill="FFFFFF"/>
        </w:rPr>
        <w:t xml:space="preserve"> 326.</w:t>
      </w:r>
    </w:p>
  </w:footnote>
  <w:footnote w:id="34">
    <w:p w14:paraId="78E45610" w14:textId="706BC368" w:rsidR="000C405D" w:rsidRPr="00C93A63" w:rsidRDefault="000C405D">
      <w:pPr>
        <w:pStyle w:val="FootnoteText"/>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00B15D16" w:rsidRPr="00C93A63">
        <w:rPr>
          <w:rFonts w:ascii="Times New Roman" w:hAnsi="Times New Roman" w:cs="Times New Roman"/>
          <w:color w:val="0D0D0D" w:themeColor="text1" w:themeTint="F2"/>
          <w:sz w:val="22"/>
          <w:szCs w:val="22"/>
        </w:rPr>
        <w:t xml:space="preserve"> Macmillan, ‘Winds of Change’</w:t>
      </w:r>
      <w:r w:rsidR="00072BC9">
        <w:rPr>
          <w:rFonts w:ascii="Times New Roman" w:hAnsi="Times New Roman" w:cs="Times New Roman"/>
          <w:color w:val="0D0D0D" w:themeColor="text1" w:themeTint="F2"/>
          <w:sz w:val="22"/>
          <w:szCs w:val="22"/>
        </w:rPr>
        <w:t>.</w:t>
      </w:r>
    </w:p>
  </w:footnote>
  <w:footnote w:id="35">
    <w:p w14:paraId="5B6F74B9" w14:textId="7134506F" w:rsidR="00F662E2" w:rsidRPr="00C93A63" w:rsidRDefault="00F662E2" w:rsidP="00B15D16">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B15D16" w:rsidRPr="00C93A63">
        <w:rPr>
          <w:rFonts w:ascii="Times New Roman" w:hAnsi="Times New Roman" w:cs="Times New Roman"/>
          <w:color w:val="0D0D0D" w:themeColor="text1" w:themeTint="F2"/>
          <w:sz w:val="22"/>
          <w:szCs w:val="22"/>
        </w:rPr>
        <w:t>Collins, ‘Decolonization’</w:t>
      </w:r>
      <w:r w:rsidR="00072BC9">
        <w:rPr>
          <w:rFonts w:ascii="Times New Roman" w:hAnsi="Times New Roman" w:cs="Times New Roman"/>
          <w:color w:val="0D0D0D" w:themeColor="text1" w:themeTint="F2"/>
          <w:sz w:val="22"/>
          <w:szCs w:val="22"/>
        </w:rPr>
        <w:t>.</w:t>
      </w:r>
    </w:p>
  </w:footnote>
  <w:footnote w:id="36">
    <w:p w14:paraId="48C41D7A" w14:textId="09B25236" w:rsidR="000C405D" w:rsidRPr="00C93A63" w:rsidRDefault="000C405D" w:rsidP="000E39BF">
      <w:pPr>
        <w:pStyle w:val="FootnoteText"/>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B15D16" w:rsidRPr="00C93A63">
        <w:rPr>
          <w:rFonts w:ascii="Times New Roman" w:hAnsi="Times New Roman" w:cs="Times New Roman"/>
          <w:color w:val="0D0D0D" w:themeColor="text1" w:themeTint="F2"/>
          <w:sz w:val="22"/>
          <w:szCs w:val="22"/>
        </w:rPr>
        <w:t xml:space="preserve">Winston Churchill, ‘The Gift of </w:t>
      </w:r>
      <w:r w:rsidR="00072BC9">
        <w:rPr>
          <w:rFonts w:ascii="Times New Roman" w:hAnsi="Times New Roman" w:cs="Times New Roman"/>
          <w:color w:val="0D0D0D" w:themeColor="text1" w:themeTint="F2"/>
          <w:sz w:val="22"/>
          <w:szCs w:val="22"/>
        </w:rPr>
        <w:t>a</w:t>
      </w:r>
      <w:r w:rsidR="00B15D16" w:rsidRPr="00C93A63">
        <w:rPr>
          <w:rFonts w:ascii="Times New Roman" w:hAnsi="Times New Roman" w:cs="Times New Roman"/>
          <w:color w:val="0D0D0D" w:themeColor="text1" w:themeTint="F2"/>
          <w:sz w:val="22"/>
          <w:szCs w:val="22"/>
        </w:rPr>
        <w:t xml:space="preserve"> Common Tongue’, (1943).</w:t>
      </w:r>
    </w:p>
  </w:footnote>
  <w:footnote w:id="37">
    <w:p w14:paraId="1670A118" w14:textId="5B0D6CCE" w:rsidR="000C405D" w:rsidRPr="00C93A63" w:rsidRDefault="000C405D" w:rsidP="000E39BF">
      <w:pPr>
        <w:rPr>
          <w:rFonts w:ascii="Times New Roman" w:hAnsi="Times New Roman" w:cs="Times New Roman"/>
          <w:color w:val="0D0D0D" w:themeColor="text1" w:themeTint="F2"/>
          <w:sz w:val="22"/>
          <w:szCs w:val="22"/>
        </w:rPr>
      </w:pPr>
      <w:r w:rsidRPr="00C93A63">
        <w:rPr>
          <w:rStyle w:val="FootnoteReference"/>
          <w:rFonts w:ascii="Times New Roman" w:hAnsi="Times New Roman" w:cs="Times New Roman"/>
          <w:color w:val="0D0D0D" w:themeColor="text1" w:themeTint="F2"/>
          <w:sz w:val="22"/>
          <w:szCs w:val="22"/>
        </w:rPr>
        <w:footnoteRef/>
      </w:r>
      <w:r w:rsidRPr="00C93A63">
        <w:rPr>
          <w:rFonts w:ascii="Times New Roman" w:hAnsi="Times New Roman" w:cs="Times New Roman"/>
          <w:color w:val="0D0D0D" w:themeColor="text1" w:themeTint="F2"/>
          <w:sz w:val="22"/>
          <w:szCs w:val="22"/>
        </w:rPr>
        <w:t xml:space="preserve"> </w:t>
      </w:r>
      <w:r w:rsidR="00B15D16" w:rsidRPr="00C93A63">
        <w:rPr>
          <w:rFonts w:ascii="Times New Roman" w:hAnsi="Times New Roman" w:cs="Times New Roman"/>
          <w:color w:val="0D0D0D" w:themeColor="text1" w:themeTint="F2"/>
          <w:sz w:val="22"/>
          <w:szCs w:val="22"/>
        </w:rPr>
        <w:t>Collins, ‘Decolonization’</w:t>
      </w:r>
    </w:p>
    <w:p w14:paraId="79E0E1FE" w14:textId="77777777" w:rsidR="000C405D" w:rsidRPr="00C93A63" w:rsidRDefault="000C405D" w:rsidP="000E39BF">
      <w:pPr>
        <w:pStyle w:val="FootnoteText"/>
        <w:rPr>
          <w:rFonts w:ascii="Times New Roman" w:hAnsi="Times New Roman" w:cs="Times New Roman"/>
          <w:color w:val="0D0D0D" w:themeColor="text1" w:themeTint="F2"/>
          <w:sz w:val="22"/>
          <w:szCs w:val="2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56C28"/>
    <w:multiLevelType w:val="hybridMultilevel"/>
    <w:tmpl w:val="37FE8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152363"/>
    <w:multiLevelType w:val="hybridMultilevel"/>
    <w:tmpl w:val="1602CE02"/>
    <w:lvl w:ilvl="0" w:tplc="57C0DD02">
      <w:start w:val="34"/>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A80FA3"/>
    <w:multiLevelType w:val="multilevel"/>
    <w:tmpl w:val="01A2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0A"/>
    <w:rsid w:val="00047EB2"/>
    <w:rsid w:val="0005630E"/>
    <w:rsid w:val="00072BC9"/>
    <w:rsid w:val="000C405D"/>
    <w:rsid w:val="000E39BF"/>
    <w:rsid w:val="0011458C"/>
    <w:rsid w:val="001731B7"/>
    <w:rsid w:val="001A3218"/>
    <w:rsid w:val="001A7F54"/>
    <w:rsid w:val="001C76CA"/>
    <w:rsid w:val="00252516"/>
    <w:rsid w:val="00264103"/>
    <w:rsid w:val="00292157"/>
    <w:rsid w:val="003F42BE"/>
    <w:rsid w:val="0050227D"/>
    <w:rsid w:val="00515194"/>
    <w:rsid w:val="00530AE9"/>
    <w:rsid w:val="005435BE"/>
    <w:rsid w:val="00556807"/>
    <w:rsid w:val="00577E43"/>
    <w:rsid w:val="00604393"/>
    <w:rsid w:val="00613070"/>
    <w:rsid w:val="0064043D"/>
    <w:rsid w:val="006443F5"/>
    <w:rsid w:val="006707DE"/>
    <w:rsid w:val="00684160"/>
    <w:rsid w:val="006D16E1"/>
    <w:rsid w:val="006F0BC2"/>
    <w:rsid w:val="006F456E"/>
    <w:rsid w:val="00722DA4"/>
    <w:rsid w:val="00725A73"/>
    <w:rsid w:val="007663FB"/>
    <w:rsid w:val="0076695E"/>
    <w:rsid w:val="007A1E0A"/>
    <w:rsid w:val="007E194A"/>
    <w:rsid w:val="007F492D"/>
    <w:rsid w:val="008E0769"/>
    <w:rsid w:val="008F05FC"/>
    <w:rsid w:val="00932F7E"/>
    <w:rsid w:val="00956BB7"/>
    <w:rsid w:val="00984169"/>
    <w:rsid w:val="0099600C"/>
    <w:rsid w:val="0099746F"/>
    <w:rsid w:val="009B446D"/>
    <w:rsid w:val="00A07CD5"/>
    <w:rsid w:val="00A31409"/>
    <w:rsid w:val="00A5222D"/>
    <w:rsid w:val="00A7018F"/>
    <w:rsid w:val="00A75CFD"/>
    <w:rsid w:val="00A84353"/>
    <w:rsid w:val="00AA77DF"/>
    <w:rsid w:val="00B02DD5"/>
    <w:rsid w:val="00B15D16"/>
    <w:rsid w:val="00BA0910"/>
    <w:rsid w:val="00BD67DD"/>
    <w:rsid w:val="00BE14DD"/>
    <w:rsid w:val="00BF3F50"/>
    <w:rsid w:val="00C57C3D"/>
    <w:rsid w:val="00C90224"/>
    <w:rsid w:val="00C93A63"/>
    <w:rsid w:val="00D43E9F"/>
    <w:rsid w:val="00D74389"/>
    <w:rsid w:val="00D82DA3"/>
    <w:rsid w:val="00D92DA4"/>
    <w:rsid w:val="00E06622"/>
    <w:rsid w:val="00EF1799"/>
    <w:rsid w:val="00F05EA8"/>
    <w:rsid w:val="00F662E2"/>
    <w:rsid w:val="00FF2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9C16"/>
  <w14:defaultImageDpi w14:val="32767"/>
  <w15:chartTrackingRefBased/>
  <w15:docId w15:val="{B2EEBE78-D517-3A4F-B9BC-F20A19F1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022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E0A"/>
    <w:pPr>
      <w:ind w:left="720"/>
      <w:contextualSpacing/>
    </w:pPr>
  </w:style>
  <w:style w:type="paragraph" w:styleId="NormalWeb">
    <w:name w:val="Normal (Web)"/>
    <w:basedOn w:val="Normal"/>
    <w:uiPriority w:val="99"/>
    <w:unhideWhenUsed/>
    <w:rsid w:val="007F492D"/>
    <w:pPr>
      <w:spacing w:before="100" w:beforeAutospacing="1" w:after="100" w:afterAutospacing="1"/>
    </w:pPr>
    <w:rPr>
      <w:rFonts w:ascii="Times New Roman" w:eastAsia="Times New Roman" w:hAnsi="Times New Roman" w:cs="Times New Roman"/>
    </w:rPr>
  </w:style>
  <w:style w:type="character" w:customStyle="1" w:styleId="ref-lnk">
    <w:name w:val="ref-lnk"/>
    <w:basedOn w:val="DefaultParagraphFont"/>
    <w:rsid w:val="006D16E1"/>
  </w:style>
  <w:style w:type="character" w:styleId="Hyperlink">
    <w:name w:val="Hyperlink"/>
    <w:basedOn w:val="DefaultParagraphFont"/>
    <w:uiPriority w:val="99"/>
    <w:unhideWhenUsed/>
    <w:rsid w:val="006D16E1"/>
    <w:rPr>
      <w:color w:val="0000FF"/>
      <w:u w:val="single"/>
    </w:rPr>
  </w:style>
  <w:style w:type="character" w:customStyle="1" w:styleId="footnote">
    <w:name w:val="footnote"/>
    <w:basedOn w:val="DefaultParagraphFont"/>
    <w:rsid w:val="00D92DA4"/>
  </w:style>
  <w:style w:type="paragraph" w:styleId="FootnoteText">
    <w:name w:val="footnote text"/>
    <w:basedOn w:val="Normal"/>
    <w:link w:val="FootnoteTextChar"/>
    <w:uiPriority w:val="99"/>
    <w:unhideWhenUsed/>
    <w:rsid w:val="00BD67DD"/>
    <w:rPr>
      <w:sz w:val="20"/>
      <w:szCs w:val="20"/>
    </w:rPr>
  </w:style>
  <w:style w:type="character" w:customStyle="1" w:styleId="FootnoteTextChar">
    <w:name w:val="Footnote Text Char"/>
    <w:basedOn w:val="DefaultParagraphFont"/>
    <w:link w:val="FootnoteText"/>
    <w:uiPriority w:val="99"/>
    <w:rsid w:val="00BD67DD"/>
    <w:rPr>
      <w:sz w:val="20"/>
      <w:szCs w:val="20"/>
    </w:rPr>
  </w:style>
  <w:style w:type="character" w:styleId="FootnoteReference">
    <w:name w:val="footnote reference"/>
    <w:basedOn w:val="DefaultParagraphFont"/>
    <w:uiPriority w:val="99"/>
    <w:semiHidden/>
    <w:unhideWhenUsed/>
    <w:rsid w:val="00BD67DD"/>
    <w:rPr>
      <w:vertAlign w:val="superscript"/>
    </w:rPr>
  </w:style>
  <w:style w:type="character" w:styleId="CommentReference">
    <w:name w:val="annotation reference"/>
    <w:basedOn w:val="DefaultParagraphFont"/>
    <w:uiPriority w:val="99"/>
    <w:semiHidden/>
    <w:unhideWhenUsed/>
    <w:rsid w:val="008E0769"/>
    <w:rPr>
      <w:sz w:val="16"/>
      <w:szCs w:val="16"/>
    </w:rPr>
  </w:style>
  <w:style w:type="paragraph" w:styleId="CommentText">
    <w:name w:val="annotation text"/>
    <w:basedOn w:val="Normal"/>
    <w:link w:val="CommentTextChar"/>
    <w:uiPriority w:val="99"/>
    <w:semiHidden/>
    <w:unhideWhenUsed/>
    <w:rsid w:val="008E0769"/>
    <w:rPr>
      <w:sz w:val="20"/>
      <w:szCs w:val="20"/>
    </w:rPr>
  </w:style>
  <w:style w:type="character" w:customStyle="1" w:styleId="CommentTextChar">
    <w:name w:val="Comment Text Char"/>
    <w:basedOn w:val="DefaultParagraphFont"/>
    <w:link w:val="CommentText"/>
    <w:uiPriority w:val="99"/>
    <w:semiHidden/>
    <w:rsid w:val="008E0769"/>
    <w:rPr>
      <w:sz w:val="20"/>
      <w:szCs w:val="20"/>
    </w:rPr>
  </w:style>
  <w:style w:type="paragraph" w:styleId="CommentSubject">
    <w:name w:val="annotation subject"/>
    <w:basedOn w:val="CommentText"/>
    <w:next w:val="CommentText"/>
    <w:link w:val="CommentSubjectChar"/>
    <w:uiPriority w:val="99"/>
    <w:semiHidden/>
    <w:unhideWhenUsed/>
    <w:rsid w:val="008E0769"/>
    <w:rPr>
      <w:b/>
      <w:bCs/>
    </w:rPr>
  </w:style>
  <w:style w:type="character" w:customStyle="1" w:styleId="CommentSubjectChar">
    <w:name w:val="Comment Subject Char"/>
    <w:basedOn w:val="CommentTextChar"/>
    <w:link w:val="CommentSubject"/>
    <w:uiPriority w:val="99"/>
    <w:semiHidden/>
    <w:rsid w:val="008E0769"/>
    <w:rPr>
      <w:b/>
      <w:bCs/>
      <w:sz w:val="20"/>
      <w:szCs w:val="20"/>
    </w:rPr>
  </w:style>
  <w:style w:type="paragraph" w:styleId="BalloonText">
    <w:name w:val="Balloon Text"/>
    <w:basedOn w:val="Normal"/>
    <w:link w:val="BalloonTextChar"/>
    <w:uiPriority w:val="99"/>
    <w:semiHidden/>
    <w:unhideWhenUsed/>
    <w:rsid w:val="008E07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0769"/>
    <w:rPr>
      <w:rFonts w:ascii="Times New Roman" w:hAnsi="Times New Roman" w:cs="Times New Roman"/>
      <w:sz w:val="18"/>
      <w:szCs w:val="18"/>
    </w:rPr>
  </w:style>
  <w:style w:type="character" w:styleId="Emphasis">
    <w:name w:val="Emphasis"/>
    <w:basedOn w:val="DefaultParagraphFont"/>
    <w:uiPriority w:val="20"/>
    <w:qFormat/>
    <w:rsid w:val="001A3218"/>
    <w:rPr>
      <w:i/>
      <w:iCs/>
    </w:rPr>
  </w:style>
  <w:style w:type="table" w:styleId="TableGrid">
    <w:name w:val="Table Grid"/>
    <w:basedOn w:val="TableNormal"/>
    <w:uiPriority w:val="59"/>
    <w:rsid w:val="00BF3F50"/>
    <w:rPr>
      <w:rFonts w:eastAsiaTheme="minorHAns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3F50"/>
    <w:pPr>
      <w:tabs>
        <w:tab w:val="center" w:pos="4513"/>
        <w:tab w:val="right" w:pos="9026"/>
      </w:tabs>
    </w:pPr>
    <w:rPr>
      <w:rFonts w:eastAsiaTheme="minorHAnsi"/>
      <w:sz w:val="22"/>
      <w:szCs w:val="22"/>
      <w:lang w:val="en-GB" w:eastAsia="en-US"/>
    </w:rPr>
  </w:style>
  <w:style w:type="character" w:customStyle="1" w:styleId="HeaderChar">
    <w:name w:val="Header Char"/>
    <w:basedOn w:val="DefaultParagraphFont"/>
    <w:link w:val="Header"/>
    <w:uiPriority w:val="99"/>
    <w:rsid w:val="00BF3F50"/>
    <w:rPr>
      <w:rFonts w:eastAsiaTheme="minorHAnsi"/>
      <w:sz w:val="22"/>
      <w:szCs w:val="22"/>
      <w:lang w:val="en-GB" w:eastAsia="en-US"/>
    </w:rPr>
  </w:style>
  <w:style w:type="character" w:styleId="FollowedHyperlink">
    <w:name w:val="FollowedHyperlink"/>
    <w:basedOn w:val="DefaultParagraphFont"/>
    <w:uiPriority w:val="99"/>
    <w:semiHidden/>
    <w:unhideWhenUsed/>
    <w:rsid w:val="00252516"/>
    <w:rPr>
      <w:color w:val="954F72" w:themeColor="followedHyperlink"/>
      <w:u w:val="single"/>
    </w:rPr>
  </w:style>
  <w:style w:type="paragraph" w:styleId="EndnoteText">
    <w:name w:val="endnote text"/>
    <w:basedOn w:val="Normal"/>
    <w:link w:val="EndnoteTextChar"/>
    <w:uiPriority w:val="99"/>
    <w:semiHidden/>
    <w:unhideWhenUsed/>
    <w:rsid w:val="00FF2A73"/>
    <w:rPr>
      <w:sz w:val="20"/>
      <w:szCs w:val="20"/>
    </w:rPr>
  </w:style>
  <w:style w:type="character" w:customStyle="1" w:styleId="EndnoteTextChar">
    <w:name w:val="Endnote Text Char"/>
    <w:basedOn w:val="DefaultParagraphFont"/>
    <w:link w:val="EndnoteText"/>
    <w:uiPriority w:val="99"/>
    <w:semiHidden/>
    <w:rsid w:val="00FF2A73"/>
    <w:rPr>
      <w:sz w:val="20"/>
      <w:szCs w:val="20"/>
    </w:rPr>
  </w:style>
  <w:style w:type="character" w:styleId="EndnoteReference">
    <w:name w:val="endnote reference"/>
    <w:basedOn w:val="DefaultParagraphFont"/>
    <w:uiPriority w:val="99"/>
    <w:semiHidden/>
    <w:unhideWhenUsed/>
    <w:rsid w:val="00FF2A73"/>
    <w:rPr>
      <w:vertAlign w:val="superscript"/>
    </w:rPr>
  </w:style>
  <w:style w:type="character" w:styleId="UnresolvedMention">
    <w:name w:val="Unresolved Mention"/>
    <w:basedOn w:val="DefaultParagraphFont"/>
    <w:uiPriority w:val="99"/>
    <w:rsid w:val="00A5222D"/>
    <w:rPr>
      <w:color w:val="605E5C"/>
      <w:shd w:val="clear" w:color="auto" w:fill="E1DFDD"/>
    </w:rPr>
  </w:style>
  <w:style w:type="character" w:customStyle="1" w:styleId="Heading1Char">
    <w:name w:val="Heading 1 Char"/>
    <w:basedOn w:val="DefaultParagraphFont"/>
    <w:link w:val="Heading1"/>
    <w:uiPriority w:val="9"/>
    <w:rsid w:val="00C90224"/>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D82DA3"/>
    <w:pPr>
      <w:tabs>
        <w:tab w:val="center" w:pos="4513"/>
        <w:tab w:val="right" w:pos="9026"/>
      </w:tabs>
    </w:pPr>
    <w:rPr>
      <w:rFonts w:eastAsiaTheme="minorHAnsi"/>
      <w:sz w:val="22"/>
      <w:szCs w:val="22"/>
      <w:lang w:val="en-GB" w:eastAsia="en-US"/>
    </w:rPr>
  </w:style>
  <w:style w:type="character" w:customStyle="1" w:styleId="FooterChar">
    <w:name w:val="Footer Char"/>
    <w:basedOn w:val="DefaultParagraphFont"/>
    <w:link w:val="Footer"/>
    <w:uiPriority w:val="99"/>
    <w:rsid w:val="00D82DA3"/>
    <w:rPr>
      <w:rFonts w:eastAsiaTheme="minorHAns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96296">
      <w:bodyDiv w:val="1"/>
      <w:marLeft w:val="0"/>
      <w:marRight w:val="0"/>
      <w:marTop w:val="0"/>
      <w:marBottom w:val="0"/>
      <w:divBdr>
        <w:top w:val="none" w:sz="0" w:space="0" w:color="auto"/>
        <w:left w:val="none" w:sz="0" w:space="0" w:color="auto"/>
        <w:bottom w:val="none" w:sz="0" w:space="0" w:color="auto"/>
        <w:right w:val="none" w:sz="0" w:space="0" w:color="auto"/>
      </w:divBdr>
    </w:div>
    <w:div w:id="331222941">
      <w:bodyDiv w:val="1"/>
      <w:marLeft w:val="0"/>
      <w:marRight w:val="0"/>
      <w:marTop w:val="0"/>
      <w:marBottom w:val="0"/>
      <w:divBdr>
        <w:top w:val="none" w:sz="0" w:space="0" w:color="auto"/>
        <w:left w:val="none" w:sz="0" w:space="0" w:color="auto"/>
        <w:bottom w:val="none" w:sz="0" w:space="0" w:color="auto"/>
        <w:right w:val="none" w:sz="0" w:space="0" w:color="auto"/>
      </w:divBdr>
    </w:div>
    <w:div w:id="334918491">
      <w:bodyDiv w:val="1"/>
      <w:marLeft w:val="0"/>
      <w:marRight w:val="0"/>
      <w:marTop w:val="0"/>
      <w:marBottom w:val="0"/>
      <w:divBdr>
        <w:top w:val="none" w:sz="0" w:space="0" w:color="auto"/>
        <w:left w:val="none" w:sz="0" w:space="0" w:color="auto"/>
        <w:bottom w:val="none" w:sz="0" w:space="0" w:color="auto"/>
        <w:right w:val="none" w:sz="0" w:space="0" w:color="auto"/>
      </w:divBdr>
    </w:div>
    <w:div w:id="355422666">
      <w:bodyDiv w:val="1"/>
      <w:marLeft w:val="0"/>
      <w:marRight w:val="0"/>
      <w:marTop w:val="0"/>
      <w:marBottom w:val="0"/>
      <w:divBdr>
        <w:top w:val="none" w:sz="0" w:space="0" w:color="auto"/>
        <w:left w:val="none" w:sz="0" w:space="0" w:color="auto"/>
        <w:bottom w:val="none" w:sz="0" w:space="0" w:color="auto"/>
        <w:right w:val="none" w:sz="0" w:space="0" w:color="auto"/>
      </w:divBdr>
    </w:div>
    <w:div w:id="387413164">
      <w:bodyDiv w:val="1"/>
      <w:marLeft w:val="0"/>
      <w:marRight w:val="0"/>
      <w:marTop w:val="0"/>
      <w:marBottom w:val="0"/>
      <w:divBdr>
        <w:top w:val="none" w:sz="0" w:space="0" w:color="auto"/>
        <w:left w:val="none" w:sz="0" w:space="0" w:color="auto"/>
        <w:bottom w:val="none" w:sz="0" w:space="0" w:color="auto"/>
        <w:right w:val="none" w:sz="0" w:space="0" w:color="auto"/>
      </w:divBdr>
    </w:div>
    <w:div w:id="392657621">
      <w:bodyDiv w:val="1"/>
      <w:marLeft w:val="0"/>
      <w:marRight w:val="0"/>
      <w:marTop w:val="0"/>
      <w:marBottom w:val="0"/>
      <w:divBdr>
        <w:top w:val="none" w:sz="0" w:space="0" w:color="auto"/>
        <w:left w:val="none" w:sz="0" w:space="0" w:color="auto"/>
        <w:bottom w:val="none" w:sz="0" w:space="0" w:color="auto"/>
        <w:right w:val="none" w:sz="0" w:space="0" w:color="auto"/>
      </w:divBdr>
    </w:div>
    <w:div w:id="404887619">
      <w:bodyDiv w:val="1"/>
      <w:marLeft w:val="0"/>
      <w:marRight w:val="0"/>
      <w:marTop w:val="0"/>
      <w:marBottom w:val="0"/>
      <w:divBdr>
        <w:top w:val="none" w:sz="0" w:space="0" w:color="auto"/>
        <w:left w:val="none" w:sz="0" w:space="0" w:color="auto"/>
        <w:bottom w:val="none" w:sz="0" w:space="0" w:color="auto"/>
        <w:right w:val="none" w:sz="0" w:space="0" w:color="auto"/>
      </w:divBdr>
    </w:div>
    <w:div w:id="479156430">
      <w:bodyDiv w:val="1"/>
      <w:marLeft w:val="0"/>
      <w:marRight w:val="0"/>
      <w:marTop w:val="0"/>
      <w:marBottom w:val="0"/>
      <w:divBdr>
        <w:top w:val="none" w:sz="0" w:space="0" w:color="auto"/>
        <w:left w:val="none" w:sz="0" w:space="0" w:color="auto"/>
        <w:bottom w:val="none" w:sz="0" w:space="0" w:color="auto"/>
        <w:right w:val="none" w:sz="0" w:space="0" w:color="auto"/>
      </w:divBdr>
    </w:div>
    <w:div w:id="489181532">
      <w:bodyDiv w:val="1"/>
      <w:marLeft w:val="0"/>
      <w:marRight w:val="0"/>
      <w:marTop w:val="0"/>
      <w:marBottom w:val="0"/>
      <w:divBdr>
        <w:top w:val="none" w:sz="0" w:space="0" w:color="auto"/>
        <w:left w:val="none" w:sz="0" w:space="0" w:color="auto"/>
        <w:bottom w:val="none" w:sz="0" w:space="0" w:color="auto"/>
        <w:right w:val="none" w:sz="0" w:space="0" w:color="auto"/>
      </w:divBdr>
    </w:div>
    <w:div w:id="491340647">
      <w:bodyDiv w:val="1"/>
      <w:marLeft w:val="0"/>
      <w:marRight w:val="0"/>
      <w:marTop w:val="0"/>
      <w:marBottom w:val="0"/>
      <w:divBdr>
        <w:top w:val="none" w:sz="0" w:space="0" w:color="auto"/>
        <w:left w:val="none" w:sz="0" w:space="0" w:color="auto"/>
        <w:bottom w:val="none" w:sz="0" w:space="0" w:color="auto"/>
        <w:right w:val="none" w:sz="0" w:space="0" w:color="auto"/>
      </w:divBdr>
    </w:div>
    <w:div w:id="519587745">
      <w:bodyDiv w:val="1"/>
      <w:marLeft w:val="0"/>
      <w:marRight w:val="0"/>
      <w:marTop w:val="0"/>
      <w:marBottom w:val="0"/>
      <w:divBdr>
        <w:top w:val="none" w:sz="0" w:space="0" w:color="auto"/>
        <w:left w:val="none" w:sz="0" w:space="0" w:color="auto"/>
        <w:bottom w:val="none" w:sz="0" w:space="0" w:color="auto"/>
        <w:right w:val="none" w:sz="0" w:space="0" w:color="auto"/>
      </w:divBdr>
    </w:div>
    <w:div w:id="529343082">
      <w:bodyDiv w:val="1"/>
      <w:marLeft w:val="0"/>
      <w:marRight w:val="0"/>
      <w:marTop w:val="0"/>
      <w:marBottom w:val="0"/>
      <w:divBdr>
        <w:top w:val="none" w:sz="0" w:space="0" w:color="auto"/>
        <w:left w:val="none" w:sz="0" w:space="0" w:color="auto"/>
        <w:bottom w:val="none" w:sz="0" w:space="0" w:color="auto"/>
        <w:right w:val="none" w:sz="0" w:space="0" w:color="auto"/>
      </w:divBdr>
    </w:div>
    <w:div w:id="543063178">
      <w:bodyDiv w:val="1"/>
      <w:marLeft w:val="0"/>
      <w:marRight w:val="0"/>
      <w:marTop w:val="0"/>
      <w:marBottom w:val="0"/>
      <w:divBdr>
        <w:top w:val="none" w:sz="0" w:space="0" w:color="auto"/>
        <w:left w:val="none" w:sz="0" w:space="0" w:color="auto"/>
        <w:bottom w:val="none" w:sz="0" w:space="0" w:color="auto"/>
        <w:right w:val="none" w:sz="0" w:space="0" w:color="auto"/>
      </w:divBdr>
    </w:div>
    <w:div w:id="563487926">
      <w:bodyDiv w:val="1"/>
      <w:marLeft w:val="0"/>
      <w:marRight w:val="0"/>
      <w:marTop w:val="0"/>
      <w:marBottom w:val="0"/>
      <w:divBdr>
        <w:top w:val="none" w:sz="0" w:space="0" w:color="auto"/>
        <w:left w:val="none" w:sz="0" w:space="0" w:color="auto"/>
        <w:bottom w:val="none" w:sz="0" w:space="0" w:color="auto"/>
        <w:right w:val="none" w:sz="0" w:space="0" w:color="auto"/>
      </w:divBdr>
    </w:div>
    <w:div w:id="582682295">
      <w:bodyDiv w:val="1"/>
      <w:marLeft w:val="0"/>
      <w:marRight w:val="0"/>
      <w:marTop w:val="0"/>
      <w:marBottom w:val="0"/>
      <w:divBdr>
        <w:top w:val="none" w:sz="0" w:space="0" w:color="auto"/>
        <w:left w:val="none" w:sz="0" w:space="0" w:color="auto"/>
        <w:bottom w:val="none" w:sz="0" w:space="0" w:color="auto"/>
        <w:right w:val="none" w:sz="0" w:space="0" w:color="auto"/>
      </w:divBdr>
    </w:div>
    <w:div w:id="609437099">
      <w:bodyDiv w:val="1"/>
      <w:marLeft w:val="0"/>
      <w:marRight w:val="0"/>
      <w:marTop w:val="0"/>
      <w:marBottom w:val="0"/>
      <w:divBdr>
        <w:top w:val="none" w:sz="0" w:space="0" w:color="auto"/>
        <w:left w:val="none" w:sz="0" w:space="0" w:color="auto"/>
        <w:bottom w:val="none" w:sz="0" w:space="0" w:color="auto"/>
        <w:right w:val="none" w:sz="0" w:space="0" w:color="auto"/>
      </w:divBdr>
    </w:div>
    <w:div w:id="660743861">
      <w:bodyDiv w:val="1"/>
      <w:marLeft w:val="0"/>
      <w:marRight w:val="0"/>
      <w:marTop w:val="0"/>
      <w:marBottom w:val="0"/>
      <w:divBdr>
        <w:top w:val="none" w:sz="0" w:space="0" w:color="auto"/>
        <w:left w:val="none" w:sz="0" w:space="0" w:color="auto"/>
        <w:bottom w:val="none" w:sz="0" w:space="0" w:color="auto"/>
        <w:right w:val="none" w:sz="0" w:space="0" w:color="auto"/>
      </w:divBdr>
    </w:div>
    <w:div w:id="758989097">
      <w:bodyDiv w:val="1"/>
      <w:marLeft w:val="0"/>
      <w:marRight w:val="0"/>
      <w:marTop w:val="0"/>
      <w:marBottom w:val="0"/>
      <w:divBdr>
        <w:top w:val="none" w:sz="0" w:space="0" w:color="auto"/>
        <w:left w:val="none" w:sz="0" w:space="0" w:color="auto"/>
        <w:bottom w:val="none" w:sz="0" w:space="0" w:color="auto"/>
        <w:right w:val="none" w:sz="0" w:space="0" w:color="auto"/>
      </w:divBdr>
    </w:div>
    <w:div w:id="771825604">
      <w:bodyDiv w:val="1"/>
      <w:marLeft w:val="0"/>
      <w:marRight w:val="0"/>
      <w:marTop w:val="0"/>
      <w:marBottom w:val="0"/>
      <w:divBdr>
        <w:top w:val="none" w:sz="0" w:space="0" w:color="auto"/>
        <w:left w:val="none" w:sz="0" w:space="0" w:color="auto"/>
        <w:bottom w:val="none" w:sz="0" w:space="0" w:color="auto"/>
        <w:right w:val="none" w:sz="0" w:space="0" w:color="auto"/>
      </w:divBdr>
    </w:div>
    <w:div w:id="852492783">
      <w:bodyDiv w:val="1"/>
      <w:marLeft w:val="0"/>
      <w:marRight w:val="0"/>
      <w:marTop w:val="0"/>
      <w:marBottom w:val="0"/>
      <w:divBdr>
        <w:top w:val="none" w:sz="0" w:space="0" w:color="auto"/>
        <w:left w:val="none" w:sz="0" w:space="0" w:color="auto"/>
        <w:bottom w:val="none" w:sz="0" w:space="0" w:color="auto"/>
        <w:right w:val="none" w:sz="0" w:space="0" w:color="auto"/>
      </w:divBdr>
    </w:div>
    <w:div w:id="973800337">
      <w:bodyDiv w:val="1"/>
      <w:marLeft w:val="0"/>
      <w:marRight w:val="0"/>
      <w:marTop w:val="0"/>
      <w:marBottom w:val="0"/>
      <w:divBdr>
        <w:top w:val="none" w:sz="0" w:space="0" w:color="auto"/>
        <w:left w:val="none" w:sz="0" w:space="0" w:color="auto"/>
        <w:bottom w:val="none" w:sz="0" w:space="0" w:color="auto"/>
        <w:right w:val="none" w:sz="0" w:space="0" w:color="auto"/>
      </w:divBdr>
    </w:div>
    <w:div w:id="986283713">
      <w:bodyDiv w:val="1"/>
      <w:marLeft w:val="0"/>
      <w:marRight w:val="0"/>
      <w:marTop w:val="0"/>
      <w:marBottom w:val="0"/>
      <w:divBdr>
        <w:top w:val="none" w:sz="0" w:space="0" w:color="auto"/>
        <w:left w:val="none" w:sz="0" w:space="0" w:color="auto"/>
        <w:bottom w:val="none" w:sz="0" w:space="0" w:color="auto"/>
        <w:right w:val="none" w:sz="0" w:space="0" w:color="auto"/>
      </w:divBdr>
    </w:div>
    <w:div w:id="1027172647">
      <w:bodyDiv w:val="1"/>
      <w:marLeft w:val="0"/>
      <w:marRight w:val="0"/>
      <w:marTop w:val="0"/>
      <w:marBottom w:val="0"/>
      <w:divBdr>
        <w:top w:val="none" w:sz="0" w:space="0" w:color="auto"/>
        <w:left w:val="none" w:sz="0" w:space="0" w:color="auto"/>
        <w:bottom w:val="none" w:sz="0" w:space="0" w:color="auto"/>
        <w:right w:val="none" w:sz="0" w:space="0" w:color="auto"/>
      </w:divBdr>
    </w:div>
    <w:div w:id="1086151674">
      <w:bodyDiv w:val="1"/>
      <w:marLeft w:val="0"/>
      <w:marRight w:val="0"/>
      <w:marTop w:val="0"/>
      <w:marBottom w:val="0"/>
      <w:divBdr>
        <w:top w:val="none" w:sz="0" w:space="0" w:color="auto"/>
        <w:left w:val="none" w:sz="0" w:space="0" w:color="auto"/>
        <w:bottom w:val="none" w:sz="0" w:space="0" w:color="auto"/>
        <w:right w:val="none" w:sz="0" w:space="0" w:color="auto"/>
      </w:divBdr>
    </w:div>
    <w:div w:id="1111978569">
      <w:bodyDiv w:val="1"/>
      <w:marLeft w:val="0"/>
      <w:marRight w:val="0"/>
      <w:marTop w:val="0"/>
      <w:marBottom w:val="0"/>
      <w:divBdr>
        <w:top w:val="none" w:sz="0" w:space="0" w:color="auto"/>
        <w:left w:val="none" w:sz="0" w:space="0" w:color="auto"/>
        <w:bottom w:val="none" w:sz="0" w:space="0" w:color="auto"/>
        <w:right w:val="none" w:sz="0" w:space="0" w:color="auto"/>
      </w:divBdr>
    </w:div>
    <w:div w:id="1147940898">
      <w:bodyDiv w:val="1"/>
      <w:marLeft w:val="0"/>
      <w:marRight w:val="0"/>
      <w:marTop w:val="0"/>
      <w:marBottom w:val="0"/>
      <w:divBdr>
        <w:top w:val="none" w:sz="0" w:space="0" w:color="auto"/>
        <w:left w:val="none" w:sz="0" w:space="0" w:color="auto"/>
        <w:bottom w:val="none" w:sz="0" w:space="0" w:color="auto"/>
        <w:right w:val="none" w:sz="0" w:space="0" w:color="auto"/>
      </w:divBdr>
    </w:div>
    <w:div w:id="1151216308">
      <w:bodyDiv w:val="1"/>
      <w:marLeft w:val="0"/>
      <w:marRight w:val="0"/>
      <w:marTop w:val="0"/>
      <w:marBottom w:val="0"/>
      <w:divBdr>
        <w:top w:val="none" w:sz="0" w:space="0" w:color="auto"/>
        <w:left w:val="none" w:sz="0" w:space="0" w:color="auto"/>
        <w:bottom w:val="none" w:sz="0" w:space="0" w:color="auto"/>
        <w:right w:val="none" w:sz="0" w:space="0" w:color="auto"/>
      </w:divBdr>
    </w:div>
    <w:div w:id="1170632538">
      <w:bodyDiv w:val="1"/>
      <w:marLeft w:val="0"/>
      <w:marRight w:val="0"/>
      <w:marTop w:val="0"/>
      <w:marBottom w:val="0"/>
      <w:divBdr>
        <w:top w:val="none" w:sz="0" w:space="0" w:color="auto"/>
        <w:left w:val="none" w:sz="0" w:space="0" w:color="auto"/>
        <w:bottom w:val="none" w:sz="0" w:space="0" w:color="auto"/>
        <w:right w:val="none" w:sz="0" w:space="0" w:color="auto"/>
      </w:divBdr>
    </w:div>
    <w:div w:id="1196430495">
      <w:bodyDiv w:val="1"/>
      <w:marLeft w:val="0"/>
      <w:marRight w:val="0"/>
      <w:marTop w:val="0"/>
      <w:marBottom w:val="0"/>
      <w:divBdr>
        <w:top w:val="none" w:sz="0" w:space="0" w:color="auto"/>
        <w:left w:val="none" w:sz="0" w:space="0" w:color="auto"/>
        <w:bottom w:val="none" w:sz="0" w:space="0" w:color="auto"/>
        <w:right w:val="none" w:sz="0" w:space="0" w:color="auto"/>
      </w:divBdr>
    </w:div>
    <w:div w:id="1220359220">
      <w:bodyDiv w:val="1"/>
      <w:marLeft w:val="0"/>
      <w:marRight w:val="0"/>
      <w:marTop w:val="0"/>
      <w:marBottom w:val="0"/>
      <w:divBdr>
        <w:top w:val="none" w:sz="0" w:space="0" w:color="auto"/>
        <w:left w:val="none" w:sz="0" w:space="0" w:color="auto"/>
        <w:bottom w:val="none" w:sz="0" w:space="0" w:color="auto"/>
        <w:right w:val="none" w:sz="0" w:space="0" w:color="auto"/>
      </w:divBdr>
    </w:div>
    <w:div w:id="1221987555">
      <w:bodyDiv w:val="1"/>
      <w:marLeft w:val="0"/>
      <w:marRight w:val="0"/>
      <w:marTop w:val="0"/>
      <w:marBottom w:val="0"/>
      <w:divBdr>
        <w:top w:val="none" w:sz="0" w:space="0" w:color="auto"/>
        <w:left w:val="none" w:sz="0" w:space="0" w:color="auto"/>
        <w:bottom w:val="none" w:sz="0" w:space="0" w:color="auto"/>
        <w:right w:val="none" w:sz="0" w:space="0" w:color="auto"/>
      </w:divBdr>
    </w:div>
    <w:div w:id="1477142362">
      <w:bodyDiv w:val="1"/>
      <w:marLeft w:val="0"/>
      <w:marRight w:val="0"/>
      <w:marTop w:val="0"/>
      <w:marBottom w:val="0"/>
      <w:divBdr>
        <w:top w:val="none" w:sz="0" w:space="0" w:color="auto"/>
        <w:left w:val="none" w:sz="0" w:space="0" w:color="auto"/>
        <w:bottom w:val="none" w:sz="0" w:space="0" w:color="auto"/>
        <w:right w:val="none" w:sz="0" w:space="0" w:color="auto"/>
      </w:divBdr>
    </w:div>
    <w:div w:id="1530070941">
      <w:bodyDiv w:val="1"/>
      <w:marLeft w:val="0"/>
      <w:marRight w:val="0"/>
      <w:marTop w:val="0"/>
      <w:marBottom w:val="0"/>
      <w:divBdr>
        <w:top w:val="none" w:sz="0" w:space="0" w:color="auto"/>
        <w:left w:val="none" w:sz="0" w:space="0" w:color="auto"/>
        <w:bottom w:val="none" w:sz="0" w:space="0" w:color="auto"/>
        <w:right w:val="none" w:sz="0" w:space="0" w:color="auto"/>
      </w:divBdr>
    </w:div>
    <w:div w:id="1549342489">
      <w:bodyDiv w:val="1"/>
      <w:marLeft w:val="0"/>
      <w:marRight w:val="0"/>
      <w:marTop w:val="0"/>
      <w:marBottom w:val="0"/>
      <w:divBdr>
        <w:top w:val="none" w:sz="0" w:space="0" w:color="auto"/>
        <w:left w:val="none" w:sz="0" w:space="0" w:color="auto"/>
        <w:bottom w:val="none" w:sz="0" w:space="0" w:color="auto"/>
        <w:right w:val="none" w:sz="0" w:space="0" w:color="auto"/>
      </w:divBdr>
    </w:div>
    <w:div w:id="1643193315">
      <w:bodyDiv w:val="1"/>
      <w:marLeft w:val="0"/>
      <w:marRight w:val="0"/>
      <w:marTop w:val="0"/>
      <w:marBottom w:val="0"/>
      <w:divBdr>
        <w:top w:val="none" w:sz="0" w:space="0" w:color="auto"/>
        <w:left w:val="none" w:sz="0" w:space="0" w:color="auto"/>
        <w:bottom w:val="none" w:sz="0" w:space="0" w:color="auto"/>
        <w:right w:val="none" w:sz="0" w:space="0" w:color="auto"/>
      </w:divBdr>
    </w:div>
    <w:div w:id="1659453594">
      <w:bodyDiv w:val="1"/>
      <w:marLeft w:val="0"/>
      <w:marRight w:val="0"/>
      <w:marTop w:val="0"/>
      <w:marBottom w:val="0"/>
      <w:divBdr>
        <w:top w:val="none" w:sz="0" w:space="0" w:color="auto"/>
        <w:left w:val="none" w:sz="0" w:space="0" w:color="auto"/>
        <w:bottom w:val="none" w:sz="0" w:space="0" w:color="auto"/>
        <w:right w:val="none" w:sz="0" w:space="0" w:color="auto"/>
      </w:divBdr>
    </w:div>
    <w:div w:id="1700618573">
      <w:bodyDiv w:val="1"/>
      <w:marLeft w:val="0"/>
      <w:marRight w:val="0"/>
      <w:marTop w:val="0"/>
      <w:marBottom w:val="0"/>
      <w:divBdr>
        <w:top w:val="none" w:sz="0" w:space="0" w:color="auto"/>
        <w:left w:val="none" w:sz="0" w:space="0" w:color="auto"/>
        <w:bottom w:val="none" w:sz="0" w:space="0" w:color="auto"/>
        <w:right w:val="none" w:sz="0" w:space="0" w:color="auto"/>
      </w:divBdr>
    </w:div>
    <w:div w:id="1723554993">
      <w:bodyDiv w:val="1"/>
      <w:marLeft w:val="0"/>
      <w:marRight w:val="0"/>
      <w:marTop w:val="0"/>
      <w:marBottom w:val="0"/>
      <w:divBdr>
        <w:top w:val="none" w:sz="0" w:space="0" w:color="auto"/>
        <w:left w:val="none" w:sz="0" w:space="0" w:color="auto"/>
        <w:bottom w:val="none" w:sz="0" w:space="0" w:color="auto"/>
        <w:right w:val="none" w:sz="0" w:space="0" w:color="auto"/>
      </w:divBdr>
    </w:div>
    <w:div w:id="1768887303">
      <w:bodyDiv w:val="1"/>
      <w:marLeft w:val="0"/>
      <w:marRight w:val="0"/>
      <w:marTop w:val="0"/>
      <w:marBottom w:val="0"/>
      <w:divBdr>
        <w:top w:val="none" w:sz="0" w:space="0" w:color="auto"/>
        <w:left w:val="none" w:sz="0" w:space="0" w:color="auto"/>
        <w:bottom w:val="none" w:sz="0" w:space="0" w:color="auto"/>
        <w:right w:val="none" w:sz="0" w:space="0" w:color="auto"/>
      </w:divBdr>
    </w:div>
    <w:div w:id="1949728168">
      <w:bodyDiv w:val="1"/>
      <w:marLeft w:val="0"/>
      <w:marRight w:val="0"/>
      <w:marTop w:val="0"/>
      <w:marBottom w:val="0"/>
      <w:divBdr>
        <w:top w:val="none" w:sz="0" w:space="0" w:color="auto"/>
        <w:left w:val="none" w:sz="0" w:space="0" w:color="auto"/>
        <w:bottom w:val="none" w:sz="0" w:space="0" w:color="auto"/>
        <w:right w:val="none" w:sz="0" w:space="0" w:color="auto"/>
      </w:divBdr>
    </w:div>
    <w:div w:id="1999307519">
      <w:bodyDiv w:val="1"/>
      <w:marLeft w:val="0"/>
      <w:marRight w:val="0"/>
      <w:marTop w:val="0"/>
      <w:marBottom w:val="0"/>
      <w:divBdr>
        <w:top w:val="none" w:sz="0" w:space="0" w:color="auto"/>
        <w:left w:val="none" w:sz="0" w:space="0" w:color="auto"/>
        <w:bottom w:val="none" w:sz="0" w:space="0" w:color="auto"/>
        <w:right w:val="none" w:sz="0" w:space="0" w:color="auto"/>
      </w:divBdr>
    </w:div>
    <w:div w:id="1999532825">
      <w:bodyDiv w:val="1"/>
      <w:marLeft w:val="0"/>
      <w:marRight w:val="0"/>
      <w:marTop w:val="0"/>
      <w:marBottom w:val="0"/>
      <w:divBdr>
        <w:top w:val="none" w:sz="0" w:space="0" w:color="auto"/>
        <w:left w:val="none" w:sz="0" w:space="0" w:color="auto"/>
        <w:bottom w:val="none" w:sz="0" w:space="0" w:color="auto"/>
        <w:right w:val="none" w:sz="0" w:space="0" w:color="auto"/>
      </w:divBdr>
    </w:div>
    <w:div w:id="20393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c.uk/students/exams-and-assessments/plagiari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cl.ac.uk/coronaviru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unk</b:Tag>
    <b:SourceType>InternetSite</b:SourceType>
    <b:Guid>{E9665BC5-D8DA-B941-8291-1DE19768D0E8}</b:Guid>
    <b:Author>
      <b:Author>
        <b:NameList>
          <b:Person>
            <b:Last>now</b:Last>
            <b:First>unknown</b:First>
            <b:Middle>for</b:Middle>
          </b:Person>
        </b:NameList>
      </b:Author>
    </b:Author>
    <b:RefOrder>1</b:RefOrder>
  </b:Source>
</b:Sources>
</file>

<file path=customXml/itemProps1.xml><?xml version="1.0" encoding="utf-8"?>
<ds:datastoreItem xmlns:ds="http://schemas.openxmlformats.org/officeDocument/2006/customXml" ds:itemID="{29DA2063-55E5-1B4F-BD74-F8C3E5DD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2623</Words>
  <Characters>14403</Characters>
  <Application>Microsoft Office Word</Application>
  <DocSecurity>0</DocSecurity>
  <Lines>236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Eleane Ye</dc:creator>
  <cp:keywords/>
  <dc:description/>
  <cp:lastModifiedBy>Eleane Ye</cp:lastModifiedBy>
  <cp:revision>6</cp:revision>
  <dcterms:created xsi:type="dcterms:W3CDTF">2020-03-18T21:53:00Z</dcterms:created>
  <dcterms:modified xsi:type="dcterms:W3CDTF">2020-03-28T05:43:00Z</dcterms:modified>
</cp:coreProperties>
</file>