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instruction of the</w:t>
      </w:r>
      <w:bookmarkStart w:id="0" w:name="_GoBack"/>
      <w:bookmarkEnd w:id="0"/>
      <w:r>
        <w:rPr>
          <w:rFonts w:hint="eastAsia"/>
          <w:lang w:val="en-US" w:eastAsia="zh-CN"/>
        </w:rPr>
        <w:t xml:space="preserve"> test program.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Below is the chessboard you can use.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43125" cy="2143125"/>
            <wp:effectExtent l="0" t="0" r="5715" b="5715"/>
            <wp:docPr id="1" name="图片 1" descr="chess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hessboa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this is the board I used: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394460" cy="160782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 make sure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AI_ouput.txt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op_input.txt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is clean, delete everyting in these files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 Launch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program, it will keep reading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op_input.txt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which is your input, e.g.,</w:t>
      </w:r>
    </w:p>
    <w:p>
      <w:r>
        <w:drawing>
          <wp:inline distT="0" distB="0" distL="114300" distR="114300">
            <wp:extent cx="2865120" cy="1096645"/>
            <wp:effectExtent l="0" t="0" r="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t="32433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then it will output its result to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AI_output.txt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you can read it to fight back.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45080" cy="2543810"/>
            <wp:effectExtent l="0" t="0" r="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t="15055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have fun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hint: a legal move looks like that: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Nf6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C3F01"/>
    <w:rsid w:val="03706EBF"/>
    <w:rsid w:val="0AF1743E"/>
    <w:rsid w:val="0B3E1370"/>
    <w:rsid w:val="11986A2A"/>
    <w:rsid w:val="1922511A"/>
    <w:rsid w:val="1D882E31"/>
    <w:rsid w:val="250519FC"/>
    <w:rsid w:val="25463651"/>
    <w:rsid w:val="32385E90"/>
    <w:rsid w:val="336C783D"/>
    <w:rsid w:val="337E238A"/>
    <w:rsid w:val="3BE219FB"/>
    <w:rsid w:val="3C60031F"/>
    <w:rsid w:val="40052112"/>
    <w:rsid w:val="43E47F6C"/>
    <w:rsid w:val="45FE7D01"/>
    <w:rsid w:val="47EF1CD3"/>
    <w:rsid w:val="4C9E5B0B"/>
    <w:rsid w:val="5002766C"/>
    <w:rsid w:val="5334344C"/>
    <w:rsid w:val="55A246F2"/>
    <w:rsid w:val="697909D2"/>
    <w:rsid w:val="787F04AA"/>
    <w:rsid w:val="79A37867"/>
    <w:rsid w:val="7B43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402</Characters>
  <Lines>0</Lines>
  <Paragraphs>0</Paragraphs>
  <TotalTime>1</TotalTime>
  <ScaleCrop>false</ScaleCrop>
  <LinksUpToDate>false</LinksUpToDate>
  <CharactersWithSpaces>472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94304</dc:creator>
  <cp:lastModifiedBy>94304</cp:lastModifiedBy>
  <dcterms:modified xsi:type="dcterms:W3CDTF">2020-11-03T05:27:57Z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