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27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03 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  <w:sz w:val="20"/>
                <w:szCs w:val="20"/>
                <w:lang w:eastAsia="zh-CN"/>
              </w:rPr>
              <w:t>U20 NEW SYNCHRONIZATION INTERFACE LCP  CABLE PULLING/TERMINATION WORKS FOR DC/AC/FO CABLES FROM +ASIP-02 TO 30BRU11 INCLUDING ERECTION/DISMANTLING OF SCAFFOLDING IN PIPE RACK.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6DC249B"/>
    <w:rsid w:val="07344AE3"/>
    <w:rsid w:val="131C0E00"/>
    <w:rsid w:val="1DE328D9"/>
    <w:rsid w:val="21AA4B04"/>
    <w:rsid w:val="272B5A51"/>
    <w:rsid w:val="29C941B3"/>
    <w:rsid w:val="344B306A"/>
    <w:rsid w:val="373F476F"/>
    <w:rsid w:val="45D15C15"/>
    <w:rsid w:val="5F6F2651"/>
    <w:rsid w:val="64511C60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98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2024-04-27T05:35:33Z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6E5A0D09BDE142BB931031FCC2AE0C0A</vt:lpwstr>
  </property>
</Properties>
</file>