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Presence Engine</w:t>
      </w:r>
    </w:p>
    <w:p>
      <w:pPr>
        <w:pStyle w:val="Title"/>
      </w:pPr>
      <w:r>
        <w:t xml:space="preserve">Benchmark Methodology</w:t>
      </w:r>
    </w:p>
    <w:p>
      <w:pPr>
        <w:spacing w:before="120" w:after="360"/>
        <w:jc w:val="center"/>
      </w:pPr>
      <w:r>
        <w:rPr>
          <w:color w:val="666666"/>
          <w:sz w:val="24"/>
          <w:szCs w:val="24"/>
        </w:rPr>
        <w:t xml:space="preserve">Test Framework and Measurement System Documentation</w:t>
      </w:r>
    </w:p>
    <w:p>
      <w:pPr>
        <w:spacing w:after="60"/>
        <w:jc w:val="center"/>
      </w:pPr>
      <w:r>
        <w:rPr>
          <w:sz w:val="20"/>
          <w:szCs w:val="20"/>
        </w:rPr>
        <w:t xml:space="preserve">Prepared for: Dr. Michael Hogan</w:t>
      </w:r>
    </w:p>
    <w:p>
      <w:pPr>
        <w:spacing w:after="480"/>
        <w:jc w:val="center"/>
      </w:pPr>
      <w:r>
        <w:rPr>
          <w:i/>
          <w:iCs/>
          <w:sz w:val="20"/>
          <w:szCs w:val="20"/>
        </w:rPr>
        <w:t xml:space="preserve">December 2025</w:t>
      </w:r>
    </w:p>
    <w:p>
      <w:pPr>
        <w:pStyle w:val="Heading1"/>
      </w:pPr>
      <w:r>
        <w:t xml:space="preserve">Overview</w:t>
      </w:r>
    </w:p>
    <w:p>
      <w:pPr>
        <w:spacing w:after="180"/>
      </w:pPr>
      <w:r>
        <w:t xml:space="preserve">This document details the measurement system, data collection methodology, and validation framework used to evaluate the Presence Engine's stateful AI architecture. All benchmarks were developed and executed by Tionne Smith (Founder, Antiparty Inc.) using Python-based automated testing frameworks.</w:t>
      </w:r>
    </w:p>
    <w:p>
      <w:pPr>
        <w:pStyle w:val="Heading1"/>
      </w:pPr>
      <w:r>
        <w:t xml:space="preserve">Test Framework</w:t>
      </w:r>
    </w:p>
    <w:p>
      <w:pPr>
        <w:pStyle w:val="Heading2"/>
      </w:pPr>
      <w:r>
        <w:t xml:space="preserve">Implementation</w:t>
      </w:r>
    </w:p>
    <w:p>
      <w:pPr>
        <w:pStyle w:val="ListParagraph"/>
        <w:numPr>
          <w:ilvl w:val="0"/>
          <w:numId w:val="2"/>
        </w:numPr>
      </w:pPr>
      <w:r>
        <w:rPr>
          <w:b/>
          <w:bCs/>
        </w:rPr>
        <w:t xml:space="preserve">Language:</w:t>
      </w:r>
      <w:r>
        <w:t xml:space="preserve"> Python 3.x</w:t>
      </w:r>
    </w:p>
    <w:p>
      <w:pPr>
        <w:pStyle w:val="ListParagraph"/>
        <w:numPr>
          <w:ilvl w:val="0"/>
          <w:numId w:val="2"/>
        </w:numPr>
      </w:pPr>
      <w:r>
        <w:rPr>
          <w:b/>
          <w:bCs/>
        </w:rPr>
        <w:t xml:space="preserve">Test execution:</w:t>
      </w:r>
      <w:r>
        <w:t xml:space="preserve"> Command-line module execution (python -m neve.benchmark_[name])</w:t>
      </w:r>
    </w:p>
    <w:p>
      <w:pPr>
        <w:pStyle w:val="ListParagraph"/>
        <w:numPr>
          <w:ilvl w:val="0"/>
          <w:numId w:val="2"/>
        </w:numPr>
      </w:pPr>
      <w:r>
        <w:rPr>
          <w:b/>
          <w:bCs/>
        </w:rPr>
        <w:t xml:space="preserve">Validation approach:</w:t>
      </w:r>
      <w:r>
        <w:t xml:space="preserve"> Automated pass/fail criteria with explicit success conditions per benchmark</w:t>
      </w:r>
    </w:p>
    <w:p>
      <w:pPr>
        <w:pStyle w:val="ListParagraph"/>
        <w:numPr>
          <w:ilvl w:val="0"/>
          <w:numId w:val="2"/>
        </w:numPr>
        <w:spacing w:after="240"/>
      </w:pPr>
      <w:r>
        <w:rPr>
          <w:b/>
          <w:bCs/>
        </w:rPr>
        <w:t xml:space="preserve">Test period:</w:t>
      </w:r>
      <w:r>
        <w:t xml:space="preserve"> December 1-9, 2025</w:t>
      </w:r>
    </w:p>
    <w:p>
      <w:pPr>
        <w:pStyle w:val="Heading2"/>
      </w:pPr>
      <w:r>
        <w:t xml:space="preserve">Measurement Categories</w:t>
      </w:r>
    </w:p>
    <w:p>
      <w:pPr>
        <w:spacing w:after="120"/>
      </w:pPr>
      <w:r>
        <w:t xml:space="preserve">Each benchmark measures specific architectural components through quantifiable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Metric Type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Measurement Method</w:t>
            </w:r>
          </w:p>
        </w:tc>
      </w:tr>
      <w:tr>
        <w:tc>
          <w:tcPr>
            <w:tcW w:type="dxa" w:w="3120"/>
            <w:tcBorders>
              <w:top w:val="single" w:color="CCCCCC" w:sz="1"/>
              <w:left w:val="single" w:color="CCCCCC" w:sz="1"/>
              <w:bottom w:val="single" w:color="CCCCCC" w:sz="1"/>
              <w:right w:val="single" w:color="CCCCCC" w:sz="1"/>
            </w:tcBorders>
          </w:tcPr>
          <w:p>
            <w:r>
              <w:t xml:space="preserve">Processing Time</w:t>
            </w:r>
          </w:p>
        </w:tc>
        <w:tc>
          <w:tcPr>
            <w:tcW w:type="dxa" w:w="6240"/>
            <w:tcBorders>
              <w:top w:val="single" w:color="CCCCCC" w:sz="1"/>
              <w:left w:val="single" w:color="CCCCCC" w:sz="1"/>
              <w:bottom w:val="single" w:color="CCCCCC" w:sz="1"/>
              <w:right w:val="single" w:color="CCCCCC" w:sz="1"/>
            </w:tcBorders>
          </w:tcPr>
          <w:p>
            <w:r>
              <w:t xml:space="preserve">Milliseconds (reported by system) and wall-clock time (Python time.time())</w:t>
            </w:r>
          </w:p>
        </w:tc>
      </w:tr>
      <w:tr>
        <w:tc>
          <w:tcPr>
            <w:tcW w:type="dxa" w:w="3120"/>
            <w:tcBorders>
              <w:top w:val="single" w:color="CCCCCC" w:sz="1"/>
              <w:left w:val="single" w:color="CCCCCC" w:sz="1"/>
              <w:bottom w:val="single" w:color="CCCCCC" w:sz="1"/>
              <w:right w:val="single" w:color="CCCCCC" w:sz="1"/>
            </w:tcBorders>
          </w:tcPr>
          <w:p>
            <w:r>
              <w:t xml:space="preserve">Signal Detection</w:t>
            </w:r>
          </w:p>
        </w:tc>
        <w:tc>
          <w:tcPr>
            <w:tcW w:type="dxa" w:w="6240"/>
            <w:tcBorders>
              <w:top w:val="single" w:color="CCCCCC" w:sz="1"/>
              <w:left w:val="single" w:color="CCCCCC" w:sz="1"/>
              <w:bottom w:val="single" w:color="CCCCCC" w:sz="1"/>
              <w:right w:val="single" w:color="CCCCCC" w:sz="1"/>
            </w:tcBorders>
          </w:tcPr>
          <w:p>
            <w:r>
              <w:t xml:space="preserve">Presence/absence of specific signals (e.g., 'tilt_positive', 'hedging', 'sarcasm')</w:t>
            </w:r>
          </w:p>
        </w:tc>
      </w:tr>
      <w:tr>
        <w:tc>
          <w:tcPr>
            <w:tcW w:type="dxa" w:w="3120"/>
            <w:tcBorders>
              <w:top w:val="single" w:color="CCCCCC" w:sz="1"/>
              <w:left w:val="single" w:color="CCCCCC" w:sz="1"/>
              <w:bottom w:val="single" w:color="CCCCCC" w:sz="1"/>
              <w:right w:val="single" w:color="CCCCCC" w:sz="1"/>
            </w:tcBorders>
          </w:tcPr>
          <w:p>
            <w:r>
              <w:t xml:space="preserve">Meta Counters</w:t>
            </w:r>
          </w:p>
        </w:tc>
        <w:tc>
          <w:tcPr>
            <w:tcW w:type="dxa" w:w="6240"/>
            <w:tcBorders>
              <w:top w:val="single" w:color="CCCCCC" w:sz="1"/>
              <w:left w:val="single" w:color="CCCCCC" w:sz="1"/>
              <w:bottom w:val="single" w:color="CCCCCC" w:sz="1"/>
              <w:right w:val="single" w:color="CCCCCC" w:sz="1"/>
            </w:tcBorders>
          </w:tcPr>
          <w:p>
            <w:r>
              <w:t xml:space="preserve">Integer counts: pos (positive), neg (negative), hedge, unc (uncertainty), sarcasm</w:t>
            </w:r>
          </w:p>
        </w:tc>
      </w:tr>
      <w:tr>
        <w:tc>
          <w:tcPr>
            <w:tcW w:type="dxa" w:w="3120"/>
            <w:tcBorders>
              <w:top w:val="single" w:color="CCCCCC" w:sz="1"/>
              <w:left w:val="single" w:color="CCCCCC" w:sz="1"/>
              <w:bottom w:val="single" w:color="CCCCCC" w:sz="1"/>
              <w:right w:val="single" w:color="CCCCCC" w:sz="1"/>
            </w:tcBorders>
          </w:tcPr>
          <w:p>
            <w:r>
              <w:t xml:space="preserve">Session Continuity</w:t>
            </w:r>
          </w:p>
        </w:tc>
        <w:tc>
          <w:tcPr>
            <w:tcW w:type="dxa" w:w="6240"/>
            <w:tcBorders>
              <w:top w:val="single" w:color="CCCCCC" w:sz="1"/>
              <w:left w:val="single" w:color="CCCCCC" w:sz="1"/>
              <w:bottom w:val="single" w:color="CCCCCC" w:sz="1"/>
              <w:right w:val="single" w:color="CCCCCC" w:sz="1"/>
            </w:tcBorders>
          </w:tcPr>
          <w:p>
            <w:r>
              <w:t xml:space="preserve">Consistent session_id across turns; evolving signal/risk patterns demonstrating context retention</w:t>
            </w:r>
          </w:p>
        </w:tc>
      </w:tr>
      <w:tr>
        <w:tc>
          <w:tcPr>
            <w:tcW w:type="dxa" w:w="3120"/>
            <w:tcBorders>
              <w:top w:val="single" w:color="CCCCCC" w:sz="1"/>
              <w:left w:val="single" w:color="CCCCCC" w:sz="1"/>
              <w:bottom w:val="single" w:color="CCCCCC" w:sz="1"/>
              <w:right w:val="single" w:color="CCCCCC" w:sz="1"/>
            </w:tcBorders>
          </w:tcPr>
          <w:p>
            <w:r>
              <w:t xml:space="preserve">Dispositional Stability</w:t>
            </w:r>
          </w:p>
        </w:tc>
        <w:tc>
          <w:tcPr>
            <w:tcW w:type="dxa" w:w="6240"/>
            <w:tcBorders>
              <w:top w:val="single" w:color="CCCCCC" w:sz="1"/>
              <w:left w:val="single" w:color="CCCCCC" w:sz="1"/>
              <w:bottom w:val="single" w:color="CCCCCC" w:sz="1"/>
              <w:right w:val="single" w:color="CCCCCC" w:sz="1"/>
            </w:tcBorders>
          </w:tcPr>
          <w:p>
            <w:r>
              <w:t xml:space="preserve">Repeatable signal/meta patterns per scenario across multiple trials</w:t>
            </w:r>
          </w:p>
        </w:tc>
      </w:tr>
      <w:tr>
        <w:tc>
          <w:tcPr>
            <w:tcW w:type="dxa" w:w="3120"/>
            <w:tcBorders>
              <w:top w:val="single" w:color="CCCCCC" w:sz="1"/>
              <w:left w:val="single" w:color="CCCCCC" w:sz="1"/>
              <w:bottom w:val="single" w:color="CCCCCC" w:sz="1"/>
              <w:right w:val="single" w:color="CCCCCC" w:sz="1"/>
            </w:tcBorders>
          </w:tcPr>
          <w:p>
            <w:r>
              <w:t xml:space="preserve">C2C Token Persistence</w:t>
            </w:r>
          </w:p>
        </w:tc>
        <w:tc>
          <w:tcPr>
            <w:tcW w:type="dxa" w:w="6240"/>
            <w:tcBorders>
              <w:top w:val="single" w:color="CCCCCC" w:sz="1"/>
              <w:left w:val="single" w:color="CCCCCC" w:sz="1"/>
              <w:bottom w:val="single" w:color="CCCCCC" w:sz="1"/>
              <w:right w:val="single" w:color="CCCCCC" w:sz="1"/>
            </w:tcBorders>
          </w:tcPr>
          <w:p>
            <w:r>
              <w:t xml:space="preserve">Token match verification (seed operation generates token, probe operation retrieves identical token)</w:t>
            </w:r>
          </w:p>
        </w:tc>
      </w:tr>
    </w:tbl>
    <w:p>
      <w:pPr>
        <w:pStyle w:val="Heading1"/>
        <w:spacing w:before="360"/>
      </w:pPr>
      <w:r>
        <w:t xml:space="preserve">Benchmark Suite</w:t>
      </w:r>
    </w:p>
    <w:p>
      <w:pPr>
        <w:spacing w:after="120"/>
      </w:pPr>
      <w:r>
        <w:t xml:space="preserve">The validation suite consists of 14 benchmarks, each with explicit pass conditions:</w:t>
      </w:r>
    </w:p>
    <w:p>
      <w:pPr>
        <w:pStyle w:val="Heading2"/>
      </w:pPr>
      <w:r>
        <w:t xml:space="preserve">1. Pipeline Integrity</w:t>
      </w:r>
    </w:p>
    <w:p>
      <w:pPr>
        <w:pStyle w:val="ListParagraph"/>
        <w:numPr>
          <w:ilvl w:val="0"/>
          <w:numId w:val="2"/>
        </w:numPr>
      </w:pPr>
      <w:r>
        <w:rPr>
          <w:b/>
          <w:bCs/>
        </w:rPr>
        <w:t xml:space="preserve">Purpose:</w:t>
      </w:r>
      <w:r>
        <w:t xml:space="preserve"> Validate end-to-end system initialization</w:t>
      </w:r>
    </w:p>
    <w:p>
      <w:pPr>
        <w:pStyle w:val="ListParagraph"/>
        <w:numPr>
          <w:ilvl w:val="0"/>
          <w:numId w:val="2"/>
        </w:numPr>
      </w:pPr>
      <w:r>
        <w:rPr>
          <w:b/>
          <w:bCs/>
        </w:rPr>
        <w:t xml:space="preserve">Metrics:</w:t>
      </w:r>
      <w:r>
        <w:t xml:space="preserve"> Processing time, response generation, metadata completeness</w:t>
      </w:r>
    </w:p>
    <w:p>
      <w:pPr>
        <w:pStyle w:val="ListParagraph"/>
        <w:numPr>
          <w:ilvl w:val="0"/>
          <w:numId w:val="2"/>
        </w:numPr>
        <w:spacing w:after="180"/>
      </w:pPr>
      <w:r>
        <w:rPr>
          <w:b/>
          <w:bCs/>
        </w:rPr>
        <w:t xml:space="preserve">Pass criteria:</w:t>
      </w:r>
      <w:r>
        <w:t xml:space="preserve"> status=success, non-empty pipeline_metadata, response text present</w:t>
      </w:r>
    </w:p>
    <w:p>
      <w:pPr>
        <w:pStyle w:val="Heading2"/>
      </w:pPr>
      <w:r>
        <w:t xml:space="preserve">2. Context Persistence</w:t>
      </w:r>
    </w:p>
    <w:p>
      <w:pPr>
        <w:pStyle w:val="ListParagraph"/>
        <w:numPr>
          <w:ilvl w:val="0"/>
          <w:numId w:val="2"/>
        </w:numPr>
      </w:pPr>
      <w:r>
        <w:rPr>
          <w:b/>
          <w:bCs/>
        </w:rPr>
        <w:t xml:space="preserve">Purpose:</w:t>
      </w:r>
      <w:r>
        <w:t xml:space="preserve"> Validate multi-turn session continuity</w:t>
      </w:r>
    </w:p>
    <w:p>
      <w:pPr>
        <w:pStyle w:val="ListParagraph"/>
        <w:numPr>
          <w:ilvl w:val="0"/>
          <w:numId w:val="2"/>
        </w:numPr>
      </w:pPr>
      <w:r>
        <w:rPr>
          <w:b/>
          <w:bCs/>
        </w:rPr>
        <w:t xml:space="preserve">Metrics:</w:t>
      </w:r>
      <w:r>
        <w:t xml:space="preserve"> Consistent session_id, evolving signals/risk across turns, per-turn timing</w:t>
      </w:r>
    </w:p>
    <w:p>
      <w:pPr>
        <w:pStyle w:val="ListParagraph"/>
        <w:numPr>
          <w:ilvl w:val="0"/>
          <w:numId w:val="2"/>
        </w:numPr>
        <w:spacing w:after="180"/>
      </w:pPr>
      <w:r>
        <w:rPr>
          <w:b/>
          <w:bCs/>
        </w:rPr>
        <w:t xml:space="preserve">Pass criteria:</w:t>
      </w:r>
      <w:r>
        <w:t xml:space="preserve"> status=success per turn, session_id maintained, context evolution demonstrated</w:t>
      </w:r>
    </w:p>
    <w:p>
      <w:pPr>
        <w:pStyle w:val="Heading2"/>
      </w:pPr>
      <w:r>
        <w:t xml:space="preserve">3. Signal Sensitivity</w:t>
      </w:r>
    </w:p>
    <w:p>
      <w:pPr>
        <w:pStyle w:val="ListParagraph"/>
        <w:numPr>
          <w:ilvl w:val="0"/>
          <w:numId w:val="2"/>
        </w:numPr>
      </w:pPr>
      <w:r>
        <w:rPr>
          <w:b/>
          <w:bCs/>
        </w:rPr>
        <w:t xml:space="preserve">Purpose:</w:t>
      </w:r>
      <w:r>
        <w:t xml:space="preserve"> Validate input type differentiation</w:t>
      </w:r>
    </w:p>
    <w:p>
      <w:pPr>
        <w:pStyle w:val="ListParagraph"/>
        <w:numPr>
          <w:ilvl w:val="0"/>
          <w:numId w:val="2"/>
        </w:numPr>
      </w:pPr>
      <w:r>
        <w:rPr>
          <w:b/>
          <w:bCs/>
        </w:rPr>
        <w:t xml:space="preserve">Metrics:</w:t>
      </w:r>
      <w:r>
        <w:t xml:space="preserve"> Signal detection patterns, meta counter distributions per input type</w:t>
      </w:r>
    </w:p>
    <w:p>
      <w:pPr>
        <w:pStyle w:val="ListParagraph"/>
        <w:numPr>
          <w:ilvl w:val="0"/>
          <w:numId w:val="2"/>
        </w:numPr>
        <w:spacing w:after="180"/>
      </w:pPr>
      <w:r>
        <w:rPr>
          <w:b/>
          <w:bCs/>
        </w:rPr>
        <w:t xml:space="preserve">Pass criteria:</w:t>
      </w:r>
      <w:r>
        <w:t xml:space="preserve"> status=success, observable differences in signals/meta across positive/negative/hedged/sarcastic/neutral inputs</w:t>
      </w:r>
    </w:p>
    <w:p>
      <w:pPr>
        <w:pStyle w:val="Heading2"/>
      </w:pPr>
      <w:r>
        <w:t xml:space="preserve">4-8. Dispositional &amp; Rhythm Benchmarks</w:t>
      </w:r>
    </w:p>
    <w:p>
      <w:pPr>
        <w:pStyle w:val="ListParagraph"/>
        <w:numPr>
          <w:ilvl w:val="0"/>
          <w:numId w:val="2"/>
        </w:numPr>
      </w:pPr>
      <w:r>
        <w:rPr>
          <w:b/>
          <w:bCs/>
        </w:rPr>
        <w:t xml:space="preserve">Purpose:</w:t>
      </w:r>
      <w:r>
        <w:t xml:space="preserve"> Validate personality pattern stability and rhythm/energy metrics</w:t>
      </w:r>
    </w:p>
    <w:p>
      <w:pPr>
        <w:pStyle w:val="ListParagraph"/>
        <w:numPr>
          <w:ilvl w:val="0"/>
          <w:numId w:val="2"/>
        </w:numPr>
      </w:pPr>
      <w:r>
        <w:rPr>
          <w:b/>
          <w:bCs/>
        </w:rPr>
        <w:t xml:space="preserve">Metrics:</w:t>
      </w:r>
      <w:r>
        <w:t xml:space="preserve"> Signal repeatability per scenario, tempo/health/energy reporting</w:t>
      </w:r>
    </w:p>
    <w:p>
      <w:pPr>
        <w:pStyle w:val="ListParagraph"/>
        <w:numPr>
          <w:ilvl w:val="0"/>
          <w:numId w:val="2"/>
        </w:numPr>
        <w:spacing w:after="180"/>
      </w:pPr>
      <w:r>
        <w:rPr>
          <w:b/>
          <w:bCs/>
        </w:rPr>
        <w:t xml:space="preserve">Pass criteria:</w:t>
      </w:r>
      <w:r>
        <w:t xml:space="preserve"> status=success, single repeated pattern per scenario, differences between scenarios</w:t>
      </w:r>
    </w:p>
    <w:p>
      <w:pPr>
        <w:pStyle w:val="Heading2"/>
      </w:pPr>
      <w:r>
        <w:t xml:space="preserve">9. Stateful Drift</w:t>
      </w:r>
    </w:p>
    <w:p>
      <w:pPr>
        <w:pStyle w:val="ListParagraph"/>
        <w:numPr>
          <w:ilvl w:val="0"/>
          <w:numId w:val="2"/>
        </w:numPr>
      </w:pPr>
      <w:r>
        <w:rPr>
          <w:b/>
          <w:bCs/>
        </w:rPr>
        <w:t xml:space="preserve">Purpose:</w:t>
      </w:r>
      <w:r>
        <w:t xml:space="preserve"> Validate cross-session isolation and persona switching</w:t>
      </w:r>
    </w:p>
    <w:p>
      <w:pPr>
        <w:pStyle w:val="ListParagraph"/>
        <w:numPr>
          <w:ilvl w:val="0"/>
          <w:numId w:val="2"/>
        </w:numPr>
      </w:pPr>
      <w:r>
        <w:rPr>
          <w:b/>
          <w:bCs/>
        </w:rPr>
        <w:t xml:space="preserve">Metrics:</w:t>
      </w:r>
      <w:r>
        <w:t xml:space="preserve"> Independent context counts per session, signal shifts during persona transitions</w:t>
      </w:r>
    </w:p>
    <w:p>
      <w:pPr>
        <w:pStyle w:val="ListParagraph"/>
        <w:numPr>
          <w:ilvl w:val="0"/>
          <w:numId w:val="2"/>
        </w:numPr>
        <w:spacing w:after="180"/>
      </w:pPr>
      <w:r>
        <w:rPr>
          <w:b/>
          <w:bCs/>
        </w:rPr>
        <w:t xml:space="preserve">Pass criteria:</w:t>
      </w:r>
      <w:r>
        <w:t xml:space="preserve"> status=success, isolation confirmed, expected drift demonstrated</w:t>
      </w:r>
    </w:p>
    <w:p>
      <w:pPr>
        <w:pStyle w:val="Heading2"/>
      </w:pPr>
      <w:r>
        <w:t xml:space="preserve">10. Ethics &amp; Escalation</w:t>
      </w:r>
    </w:p>
    <w:p>
      <w:pPr>
        <w:pStyle w:val="ListParagraph"/>
        <w:numPr>
          <w:ilvl w:val="0"/>
          <w:numId w:val="2"/>
        </w:numPr>
      </w:pPr>
      <w:r>
        <w:rPr>
          <w:b/>
          <w:bCs/>
        </w:rPr>
        <w:t xml:space="preserve">Purpose:</w:t>
      </w:r>
      <w:r>
        <w:t xml:space="preserve"> Validate risk assessment scaling</w:t>
      </w:r>
    </w:p>
    <w:p>
      <w:pPr>
        <w:pStyle w:val="ListParagraph"/>
        <w:numPr>
          <w:ilvl w:val="0"/>
          <w:numId w:val="2"/>
        </w:numPr>
      </w:pPr>
      <w:r>
        <w:rPr>
          <w:b/>
          <w:bCs/>
        </w:rPr>
        <w:t xml:space="preserve">Metrics:</w:t>
      </w:r>
      <w:r>
        <w:t xml:space="preserve"> Risk levels (none/low/medium/critical), recommendation generation</w:t>
      </w:r>
    </w:p>
    <w:p>
      <w:pPr>
        <w:pStyle w:val="ListParagraph"/>
        <w:numPr>
          <w:ilvl w:val="0"/>
          <w:numId w:val="2"/>
        </w:numPr>
        <w:spacing w:after="180"/>
      </w:pPr>
      <w:r>
        <w:rPr>
          <w:b/>
          <w:bCs/>
        </w:rPr>
        <w:t xml:space="preserve">Pass criteria:</w:t>
      </w:r>
      <w:r>
        <w:t xml:space="preserve"> status=success, risk/recs match scenario expectations</w:t>
      </w:r>
    </w:p>
    <w:p>
      <w:pPr>
        <w:pStyle w:val="Heading2"/>
      </w:pPr>
      <w:r>
        <w:t xml:space="preserve">11-13. Stage Results, Temporal Suite, Interactive Turns</w:t>
      </w:r>
    </w:p>
    <w:p>
      <w:pPr>
        <w:pStyle w:val="ListParagraph"/>
        <w:numPr>
          <w:ilvl w:val="0"/>
          <w:numId w:val="2"/>
        </w:numPr>
      </w:pPr>
      <w:r>
        <w:rPr>
          <w:b/>
          <w:bCs/>
        </w:rPr>
        <w:t xml:space="preserve">Purpose:</w:t>
      </w:r>
      <w:r>
        <w:t xml:space="preserve"> Validate detailed timing, temporal behaviors, extended sessions</w:t>
      </w:r>
    </w:p>
    <w:p>
      <w:pPr>
        <w:pStyle w:val="ListParagraph"/>
        <w:numPr>
          <w:ilvl w:val="0"/>
          <w:numId w:val="2"/>
        </w:numPr>
      </w:pPr>
      <w:r>
        <w:rPr>
          <w:b/>
          <w:bCs/>
        </w:rPr>
        <w:t xml:space="preserve">Metrics:</w:t>
      </w:r>
      <w:r>
        <w:t xml:space="preserve"> Per-stage timing, tone window effects, multi-turn (20+ turns) stability</w:t>
      </w:r>
    </w:p>
    <w:p>
      <w:pPr>
        <w:pStyle w:val="ListParagraph"/>
        <w:numPr>
          <w:ilvl w:val="0"/>
          <w:numId w:val="2"/>
        </w:numPr>
        <w:spacing w:after="180"/>
      </w:pPr>
      <w:r>
        <w:rPr>
          <w:b/>
          <w:bCs/>
        </w:rPr>
        <w:t xml:space="preserve">Pass criteria:</w:t>
      </w:r>
      <w:r>
        <w:t xml:space="preserve"> status=success, no hidden failures, stable performance across turns</w:t>
      </w:r>
    </w:p>
    <w:p>
      <w:pPr>
        <w:pStyle w:val="Heading2"/>
      </w:pPr>
      <w:r>
        <w:t xml:space="preserve">14. C2C Continuity</w:t>
      </w:r>
    </w:p>
    <w:p>
      <w:pPr>
        <w:pStyle w:val="ListParagraph"/>
        <w:numPr>
          <w:ilvl w:val="0"/>
          <w:numId w:val="2"/>
        </w:numPr>
      </w:pPr>
      <w:r>
        <w:rPr>
          <w:b/>
          <w:bCs/>
        </w:rPr>
        <w:t xml:space="preserve">Purpose:</w:t>
      </w:r>
      <w:r>
        <w:t xml:space="preserve"> Validate cross-process token persistence</w:t>
      </w:r>
    </w:p>
    <w:p>
      <w:pPr>
        <w:pStyle w:val="ListParagraph"/>
        <w:numPr>
          <w:ilvl w:val="0"/>
          <w:numId w:val="2"/>
        </w:numPr>
      </w:pPr>
      <w:r>
        <w:rPr>
          <w:b/>
          <w:bCs/>
        </w:rPr>
        <w:t xml:space="preserve">Metrics:</w:t>
      </w:r>
      <w:r>
        <w:t xml:space="preserve"> Token generation (seed), token retrieval (probe), timestamp matching</w:t>
      </w:r>
    </w:p>
    <w:p>
      <w:pPr>
        <w:pStyle w:val="ListParagraph"/>
        <w:numPr>
          <w:ilvl w:val="0"/>
          <w:numId w:val="2"/>
        </w:numPr>
        <w:spacing w:after="240"/>
      </w:pPr>
      <w:r>
        <w:rPr>
          <w:b/>
          <w:bCs/>
        </w:rPr>
        <w:t xml:space="preserve">Pass criteria:</w:t>
      </w:r>
      <w:r>
        <w:t xml:space="preserve"> ok=true, identical token retrieved from independent process</w:t>
      </w:r>
    </w:p>
    <w:p>
      <w:pPr>
        <w:pStyle w:val="Heading1"/>
      </w:pPr>
      <w:r>
        <w:t xml:space="preserve">Data Collection &amp; Validation</w:t>
      </w:r>
    </w:p>
    <w:p>
      <w:pPr>
        <w:pStyle w:val="Heading2"/>
      </w:pPr>
      <w:r>
        <w:t xml:space="preserve">Collection Method</w:t>
      </w:r>
    </w:p>
    <w:p>
      <w:pPr>
        <w:pStyle w:val="ListParagraph"/>
        <w:numPr>
          <w:ilvl w:val="0"/>
          <w:numId w:val="2"/>
        </w:numPr>
      </w:pPr>
      <w:r>
        <w:t xml:space="preserve">Automated execution: Each benchmark runs as a Python module with predetermined test cases</w:t>
      </w:r>
    </w:p>
    <w:p>
      <w:pPr>
        <w:pStyle w:val="ListParagraph"/>
        <w:numPr>
          <w:ilvl w:val="0"/>
          <w:numId w:val="2"/>
        </w:numPr>
      </w:pPr>
      <w:r>
        <w:t xml:space="preserve">Output capture: System logs, JSON payloads, CSV exports, timestamped results</w:t>
      </w:r>
    </w:p>
    <w:p>
      <w:pPr>
        <w:pStyle w:val="ListParagraph"/>
        <w:numPr>
          <w:ilvl w:val="0"/>
          <w:numId w:val="2"/>
        </w:numPr>
        <w:spacing w:after="240"/>
      </w:pPr>
      <w:r>
        <w:t xml:space="preserve">Timing measurement: Both reported (internal system) and wall-clock (Python time.time()) captured</w:t>
      </w:r>
    </w:p>
    <w:p>
      <w:pPr>
        <w:pStyle w:val="Heading2"/>
      </w:pPr>
      <w:r>
        <w:t xml:space="preserve">Validation Approach</w:t>
      </w:r>
    </w:p>
    <w:p>
      <w:pPr>
        <w:pStyle w:val="ListParagraph"/>
        <w:numPr>
          <w:ilvl w:val="0"/>
          <w:numId w:val="2"/>
        </w:numPr>
      </w:pPr>
      <w:r>
        <w:t xml:space="preserve">Pass/fail determination: Each benchmark defines explicit success criteria (e.g., 'status must equal success', 'signals must differentiate across input types')</w:t>
      </w:r>
    </w:p>
    <w:p>
      <w:pPr>
        <w:pStyle w:val="ListParagraph"/>
        <w:numPr>
          <w:ilvl w:val="0"/>
          <w:numId w:val="2"/>
        </w:numPr>
      </w:pPr>
      <w:r>
        <w:t xml:space="preserve">Reproducibility: Tests can be re-executed with identical commands to verify results</w:t>
      </w:r>
    </w:p>
    <w:p>
      <w:pPr>
        <w:pStyle w:val="ListParagraph"/>
        <w:numPr>
          <w:ilvl w:val="0"/>
          <w:numId w:val="2"/>
        </w:numPr>
      </w:pPr>
      <w:r>
        <w:t xml:space="preserve">Controlled environment: All tests executed in Python runtime with predetermined inputs, no external variables</w:t>
      </w:r>
    </w:p>
    <w:p>
      <w:pPr>
        <w:pStyle w:val="ListParagraph"/>
        <w:numPr>
          <w:ilvl w:val="0"/>
          <w:numId w:val="2"/>
        </w:numPr>
        <w:spacing w:after="240"/>
      </w:pPr>
      <w:r>
        <w:t xml:space="preserve">Developer validation: Tionne Smith (Founder, Antiparty Inc.) designed, implemented, and validated all benchmarks</w:t>
      </w:r>
    </w:p>
    <w:p>
      <w:pPr>
        <w:pStyle w:val="Heading1"/>
      </w:pPr>
      <w:r>
        <w:t xml:space="preserve">Limitations</w:t>
      </w:r>
    </w:p>
    <w:p>
      <w:pPr>
        <w:pStyle w:val="ListParagraph"/>
        <w:numPr>
          <w:ilvl w:val="0"/>
          <w:numId w:val="2"/>
        </w:numPr>
      </w:pPr>
      <w:r>
        <w:rPr>
          <w:b/>
          <w:bCs/>
        </w:rPr>
        <w:t xml:space="preserve">Controlled conditions:</w:t>
      </w:r>
      <w:r>
        <w:t xml:space="preserve"> All tests used predetermined inputs in controlled environments</w:t>
      </w:r>
    </w:p>
    <w:p>
      <w:pPr>
        <w:pStyle w:val="ListParagraph"/>
        <w:numPr>
          <w:ilvl w:val="0"/>
          <w:numId w:val="2"/>
        </w:numPr>
      </w:pPr>
      <w:r>
        <w:rPr>
          <w:b/>
          <w:bCs/>
        </w:rPr>
        <w:t xml:space="preserve">Timing exclusions:</w:t>
      </w:r>
      <w:r>
        <w:t xml:space="preserve"> Reported times exclude LLM inference latency, network overhead, I/O operations</w:t>
      </w:r>
    </w:p>
    <w:p>
      <w:pPr>
        <w:pStyle w:val="ListParagraph"/>
        <w:numPr>
          <w:ilvl w:val="0"/>
          <w:numId w:val="2"/>
        </w:numPr>
      </w:pPr>
      <w:r>
        <w:rPr>
          <w:b/>
          <w:bCs/>
        </w:rPr>
        <w:t xml:space="preserve">Scope:</w:t>
      </w:r>
      <w:r>
        <w:t xml:space="preserve"> Benchmarks validate architectural components, not production readiness or developmental outcomes</w:t>
      </w:r>
    </w:p>
    <w:p>
      <w:pPr>
        <w:pStyle w:val="ListParagraph"/>
        <w:numPr>
          <w:ilvl w:val="0"/>
          <w:numId w:val="2"/>
        </w:numPr>
        <w:spacing w:after="240"/>
      </w:pPr>
      <w:r>
        <w:rPr>
          <w:b/>
          <w:bCs/>
        </w:rPr>
        <w:t xml:space="preserve">Single developer:</w:t>
      </w:r>
      <w:r>
        <w:t xml:space="preserve"> No independent third-party validation; methodology designed and executed by system creator</w:t>
      </w:r>
    </w:p>
    <w:p>
      <w:pPr>
        <w:pStyle w:val="Heading1"/>
      </w:pPr>
      <w:r>
        <w:t xml:space="preserve">Source Code Availability</w:t>
      </w:r>
    </w:p>
    <w:p>
      <w:pPr>
        <w:spacing w:after="120"/>
      </w:pPr>
      <w:r>
        <w:t xml:space="preserve">Complete benchmark source code is available for review. Test files are located in the Neve implementation repository under:</w:t>
      </w:r>
    </w:p>
    <w:p>
      <w:pPr>
        <w:pStyle w:val="ListParagraph"/>
        <w:numPr>
          <w:ilvl w:val="0"/>
          <w:numId w:val="2"/>
        </w:numPr>
      </w:pPr>
      <w:r>
        <w:rPr>
          <w:rFonts w:ascii="Courier New" w:cs="Courier New" w:eastAsia="Courier New" w:hAnsi="Courier New"/>
        </w:rPr>
        <w:t xml:space="preserve">src/neve/benchmark_neve.py</w:t>
      </w:r>
    </w:p>
    <w:p>
      <w:pPr>
        <w:pStyle w:val="ListParagraph"/>
        <w:numPr>
          <w:ilvl w:val="0"/>
          <w:numId w:val="2"/>
        </w:numPr>
      </w:pPr>
      <w:r>
        <w:rPr>
          <w:rFonts w:ascii="Courier New" w:cs="Courier New" w:eastAsia="Courier New" w:hAnsi="Courier New"/>
        </w:rPr>
        <w:t xml:space="preserve">src/neve/benchmark_context_persistence.py</w:t>
      </w:r>
    </w:p>
    <w:p>
      <w:pPr>
        <w:pStyle w:val="ListParagraph"/>
        <w:numPr>
          <w:ilvl w:val="0"/>
          <w:numId w:val="2"/>
        </w:numPr>
      </w:pPr>
      <w:r>
        <w:rPr>
          <w:rFonts w:ascii="Courier New" w:cs="Courier New" w:eastAsia="Courier New" w:hAnsi="Courier New"/>
        </w:rPr>
        <w:t xml:space="preserve">src/neve/benchmark_signal_sensitivity.py</w:t>
      </w:r>
    </w:p>
    <w:p>
      <w:pPr>
        <w:pStyle w:val="ListParagraph"/>
        <w:numPr>
          <w:ilvl w:val="0"/>
          <w:numId w:val="2"/>
        </w:numPr>
      </w:pPr>
      <w:r>
        <w:rPr>
          <w:rFonts w:ascii="Courier New" w:cs="Courier New" w:eastAsia="Courier New" w:hAnsi="Courier New"/>
        </w:rPr>
        <w:t xml:space="preserve">src/neve/benchmark_c2c_continuity.py</w:t>
      </w:r>
    </w:p>
    <w:p>
      <w:pPr>
        <w:pStyle w:val="ListParagraph"/>
        <w:numPr>
          <w:ilvl w:val="0"/>
          <w:numId w:val="2"/>
        </w:numPr>
        <w:spacing w:after="240"/>
      </w:pPr>
      <w:r>
        <w:rPr>
          <w:rFonts w:ascii="Courier New" w:cs="Courier New" w:eastAsia="Courier New" w:hAnsi="Courier New"/>
        </w:rPr>
        <w:t xml:space="preserve">[...additional benchmark files]</w:t>
      </w:r>
    </w:p>
    <w:p>
      <w:pPr>
        <w:spacing w:after="120"/>
      </w:pPr>
      <w:r>
        <w:t xml:space="preserve">Raw output logs and JSON payloads from test executions are available upon request.</w:t>
      </w:r>
    </w:p>
    <w:p>
      <w:pPr>
        <w:spacing w:before="360" w:after="120"/>
      </w:pPr>
      <w:r>
        <w:rPr>
          <w:b/>
          <w:bCs/>
        </w:rPr>
        <w:t xml:space="preserve">###</w:t>
      </w:r>
    </w:p>
    <w:p>
      <w:pPr>
        <w:spacing w:after="60"/>
        <w:jc w:val="center"/>
      </w:pPr>
      <w:r>
        <w:rPr>
          <w:i/>
          <w:iCs/>
          <w:color w:val="666666"/>
          <w:sz w:val="20"/>
          <w:szCs w:val="20"/>
        </w:rPr>
        <w:t xml:space="preserve">Methodology documentation prepared for academic review</w:t>
      </w:r>
    </w:p>
    <w:p>
      <w:pPr>
        <w:jc w:val="center"/>
      </w:pPr>
      <w:r>
        <w:rPr>
          <w:i/>
          <w:iCs/>
          <w:color w:val="666666"/>
          <w:sz w:val="20"/>
          <w:szCs w:val="20"/>
        </w:rPr>
        <w:t xml:space="preserve">Antiparty, Inc. | December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120"/>
      <w:jc w:val="center"/>
    </w:pPr>
    <w:rPr>
      <w:rFonts w:ascii="Arial" w:cs="Arial" w:eastAsia="Arial" w:hAnsi="Arial"/>
      <w:b/>
      <w:bCs/>
      <w:color w:val="000000"/>
      <w:sz w:val="40"/>
      <w:szCs w:val="40"/>
    </w:rPr>
  </w:style>
  <w:style w:type="paragraph" w:styleId="Heading1">
    <w:name w:val="Heading 1"/>
    <w:basedOn w:val="Normal"/>
    <w:next w:val="Normal"/>
    <w:qFormat/>
    <w:pPr>
      <w:spacing w:before="360" w:after="18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2025-12-12T20:49:40.167Z</dcterms:created>
  <dcterms:modified xsi:type="dcterms:W3CDTF">2025-12-12T20:49:40.168Z</dcterms:modified>
</cp:coreProperties>
</file>

<file path=docProps/custom.xml><?xml version="1.0" encoding="utf-8"?>
<Properties xmlns="http://schemas.openxmlformats.org/officeDocument/2006/custom-properties" xmlns:vt="http://schemas.openxmlformats.org/officeDocument/2006/docPropsVTypes"/>
</file>