
<file path=[Content_Types].xml><?xml version="1.0" encoding="utf-8"?>
<Types xmlns="http://schemas.openxmlformats.org/package/2006/content-types">
  <Default Extension="bin" ContentType="application/vnd.openxmlformats-officedocument.oleObject"/>
  <Default Extension="pcz" ContentType="image/x-pcz"/>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030AF" w14:textId="77777777" w:rsidR="00E97402" w:rsidRDefault="00E97402">
      <w:pPr>
        <w:pStyle w:val="Text"/>
        <w:ind w:firstLine="0"/>
        <w:rPr>
          <w:sz w:val="18"/>
          <w:szCs w:val="18"/>
        </w:rPr>
      </w:pPr>
      <w:r>
        <w:rPr>
          <w:sz w:val="18"/>
          <w:szCs w:val="18"/>
        </w:rPr>
        <w:footnoteReference w:customMarkFollows="1" w:id="1"/>
        <w:sym w:font="Symbol" w:char="F020"/>
      </w:r>
    </w:p>
    <w:p w14:paraId="339884FD" w14:textId="77777777"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14:paraId="7D32A876" w14:textId="77777777" w:rsidR="00E97402" w:rsidRDefault="00E97402">
      <w:pPr>
        <w:pStyle w:val="Authors"/>
        <w:framePr w:wrap="notBeside"/>
      </w:pPr>
      <w:r>
        <w:t xml:space="preserve">First A. Author, Second B. Author, Jr., and Third C. Author, </w:t>
      </w:r>
      <w:r>
        <w:rPr>
          <w:rStyle w:val="MemberType"/>
        </w:rPr>
        <w:t>Member, IEEE</w:t>
      </w:r>
    </w:p>
    <w:p w14:paraId="1B75ACCF" w14:textId="77777777"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0C733115" w14:textId="77777777" w:rsidR="00E97402" w:rsidRDefault="00E97402"/>
    <w:p w14:paraId="3A2EA8BA" w14:textId="77777777" w:rsidR="00E97402" w:rsidRDefault="00E97402">
      <w:pPr>
        <w:pStyle w:val="IndexTerms"/>
      </w:pPr>
      <w:bookmarkStart w:id="0" w:name="PointTmp"/>
      <w:r>
        <w:rPr>
          <w:i/>
          <w:iCs/>
        </w:rPr>
        <w:t>Index Terms</w:t>
      </w:r>
      <w:r>
        <w:t>—About four key words or phrases in alphabetical order, separated by commas. For a list of suggested keywords, s</w:t>
      </w:r>
      <w:r w:rsidR="00A817D2">
        <w:t>e</w:t>
      </w:r>
      <w:r>
        <w:t>e</w:t>
      </w:r>
      <w:r w:rsidR="00A817D2">
        <w:t xml:space="preserve"> attached file.</w:t>
      </w:r>
    </w:p>
    <w:p w14:paraId="2B0BC6F5" w14:textId="77777777" w:rsidR="00E97402" w:rsidRDefault="00E97402"/>
    <w:bookmarkEnd w:id="0"/>
    <w:p w14:paraId="7DDC613E" w14:textId="77777777" w:rsidR="00E97402" w:rsidRDefault="00E97402">
      <w:pPr>
        <w:pStyle w:val="Ttulo1"/>
      </w:pPr>
      <w:r>
        <w:t>I</w:t>
      </w:r>
      <w:r>
        <w:rPr>
          <w:sz w:val="16"/>
          <w:szCs w:val="16"/>
        </w:rPr>
        <w:t>NTRODUCTION</w:t>
      </w:r>
    </w:p>
    <w:p w14:paraId="0A8B893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61C39BC"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w:t>
      </w:r>
      <w:r>
        <w:t>onic file,</w:t>
      </w:r>
      <w:r>
        <w:br/>
        <w:t>TRANS-JOUR.DOC, from</w:t>
      </w:r>
      <w:r w:rsidR="004C1E16">
        <w:t xml:space="preserve"> the IEEE Web site at</w:t>
      </w:r>
      <w:r>
        <w:t xml:space="preserve"> </w:t>
      </w:r>
      <w:r w:rsidR="00625E96">
        <w:rPr>
          <w:sz w:val="18"/>
        </w:rPr>
        <w:fldChar w:fldCharType="begin"/>
      </w:r>
      <w:r w:rsidR="00625E96">
        <w:rPr>
          <w:sz w:val="18"/>
        </w:rPr>
        <w:instrText xml:space="preserve"> HYPERLINK "http://www.ieee.org/web/publications/authors/transjnl/index.html" </w:instrText>
      </w:r>
      <w:r w:rsidRPr="00625E96">
        <w:rPr>
          <w:sz w:val="18"/>
        </w:rPr>
      </w:r>
      <w:r w:rsidR="00625E96">
        <w:rPr>
          <w:sz w:val="18"/>
        </w:rPr>
        <w:fldChar w:fldCharType="separate"/>
      </w:r>
      <w:r w:rsidR="00625E96" w:rsidRPr="00625E96">
        <w:rPr>
          <w:rStyle w:val="Hipervnculo"/>
          <w:sz w:val="18"/>
        </w:rPr>
        <w:t>http://www.ieee.org/web/publications/authors/transjnl/index.html</w:t>
      </w:r>
      <w:r w:rsidR="00625E96">
        <w:rPr>
          <w:sz w:val="18"/>
        </w:rPr>
        <w:fldChar w:fldCharType="end"/>
      </w:r>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23DF9599" w14:textId="77777777" w:rsidR="00E97402" w:rsidRDefault="00E97402">
      <w:pPr>
        <w:pStyle w:val="Text"/>
      </w:pPr>
      <w:r>
        <w:t xml:space="preserve">If your paper is intended for a </w:t>
      </w:r>
      <w:r>
        <w:rPr>
          <w:i/>
          <w:iCs/>
        </w:rPr>
        <w:t>conference,</w:t>
      </w:r>
      <w:r>
        <w:t xml:space="preserve"> please contact your conference editor concerning acceptable word processor formats for your </w:t>
      </w:r>
      <w:proofErr w:type="gramStart"/>
      <w:r>
        <w:t>particular conference</w:t>
      </w:r>
      <w:proofErr w:type="gramEnd"/>
      <w:r>
        <w:t xml:space="preserve">. </w:t>
      </w:r>
    </w:p>
    <w:p w14:paraId="537AE02E" w14:textId="77777777" w:rsidR="00E97402" w:rsidRDefault="00E97402">
      <w:pPr>
        <w:pStyle w:val="Text"/>
      </w:pPr>
      <w:r>
        <w:t xml:space="preserve">When you open TRANS-JOUR.DOC, select “Page Layout” from the “View” menu in the menu bar (View | Page Layout), </w:t>
      </w:r>
      <w:r w:rsidR="007C4336">
        <w:br/>
      </w:r>
      <w:r w:rsidR="007C4336">
        <w:br/>
      </w:r>
      <w:r>
        <w:t xml:space="preserve">which allows you to see the footnotes. 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14:paraId="2BF71722"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413F45B3" w14:textId="77777777" w:rsidR="00E97402" w:rsidRDefault="00E97402">
      <w:pPr>
        <w:pStyle w:val="Text"/>
      </w:pPr>
      <w:r>
        <w:t xml:space="preserve">IEEE will do the final formatting of your paper. If your paper is intended for a conference, please observe the conference page limits. </w:t>
      </w:r>
    </w:p>
    <w:p w14:paraId="3361AF68" w14:textId="77777777" w:rsidR="00E97402" w:rsidRDefault="00E97402">
      <w:pPr>
        <w:pStyle w:val="Text"/>
      </w:pPr>
    </w:p>
    <w:p w14:paraId="4592F848" w14:textId="4045347C" w:rsidR="00E97402" w:rsidRPr="00D373D6" w:rsidRDefault="00C0518C">
      <w:pPr>
        <w:pStyle w:val="Ttulo1"/>
        <w:rPr>
          <w:lang w:val="es-AR"/>
        </w:rPr>
      </w:pPr>
      <w:r w:rsidRPr="00D373D6">
        <w:rPr>
          <w:lang w:val="es-AR"/>
        </w:rPr>
        <w:t>Segmentación Temporal de Notas Musicales</w:t>
      </w:r>
    </w:p>
    <w:p w14:paraId="324BB148" w14:textId="11CF4F21" w:rsidR="00E97402" w:rsidRPr="00D373D6" w:rsidRDefault="00C0518C">
      <w:pPr>
        <w:pStyle w:val="Ttulo2"/>
        <w:rPr>
          <w:lang w:val="es-AR"/>
        </w:rPr>
      </w:pPr>
      <w:r w:rsidRPr="00D373D6">
        <w:rPr>
          <w:lang w:val="es-AR"/>
        </w:rPr>
        <w:t xml:space="preserve">Concepto de Segmentación – </w:t>
      </w:r>
      <w:proofErr w:type="spellStart"/>
      <w:r w:rsidRPr="00D373D6">
        <w:rPr>
          <w:lang w:val="es-AR"/>
        </w:rPr>
        <w:t>Onset</w:t>
      </w:r>
      <w:proofErr w:type="spellEnd"/>
      <w:r w:rsidRPr="00D373D6">
        <w:rPr>
          <w:lang w:val="es-AR"/>
        </w:rPr>
        <w:t xml:space="preserve"> – Offset</w:t>
      </w:r>
    </w:p>
    <w:p w14:paraId="3CDB3E10" w14:textId="79AE349F" w:rsidR="00E97402" w:rsidRPr="00D373D6" w:rsidRDefault="00C0518C" w:rsidP="00C0518C">
      <w:pPr>
        <w:pStyle w:val="Text"/>
        <w:ind w:left="144" w:firstLine="0"/>
        <w:rPr>
          <w:lang w:val="es-AR"/>
        </w:rPr>
      </w:pPr>
      <w:r w:rsidRPr="00D373D6">
        <w:rPr>
          <w:lang w:val="es-AR"/>
        </w:rPr>
        <w:t>La Segmentación temporal en las notas musicales hace referencia a la detección de intervalos temporales en donde se manifiesta una señal de audio con un pitch característico, es decir, una nota musical. La Segmentación conlleva dos eventos los cuales son el “</w:t>
      </w:r>
      <w:proofErr w:type="spellStart"/>
      <w:r w:rsidRPr="00D373D6">
        <w:rPr>
          <w:lang w:val="es-AR"/>
        </w:rPr>
        <w:t>onset</w:t>
      </w:r>
      <w:proofErr w:type="spellEnd"/>
      <w:r w:rsidRPr="00D373D6">
        <w:rPr>
          <w:lang w:val="es-AR"/>
        </w:rPr>
        <w:t>” y “offset”.</w:t>
      </w:r>
    </w:p>
    <w:p w14:paraId="2B25AD53" w14:textId="58786BC7" w:rsidR="00C0518C" w:rsidRPr="00D373D6" w:rsidRDefault="00C0518C" w:rsidP="00C0518C">
      <w:pPr>
        <w:pStyle w:val="Text"/>
        <w:ind w:left="144" w:firstLine="0"/>
        <w:rPr>
          <w:lang w:val="es-AR"/>
        </w:rPr>
      </w:pPr>
      <w:r w:rsidRPr="00D373D6">
        <w:rPr>
          <w:lang w:val="es-AR"/>
        </w:rPr>
        <w:t xml:space="preserve">El evento de </w:t>
      </w:r>
      <w:proofErr w:type="spellStart"/>
      <w:r w:rsidRPr="00D373D6">
        <w:rPr>
          <w:lang w:val="es-AR"/>
        </w:rPr>
        <w:t>onset</w:t>
      </w:r>
      <w:proofErr w:type="spellEnd"/>
      <w:r w:rsidRPr="00D373D6">
        <w:rPr>
          <w:lang w:val="es-AR"/>
        </w:rPr>
        <w:t xml:space="preserve"> es el cual determina el comienzo de la nota musical. Este puede se manifiesta mediante un cambio abrupto en la energía de la señal de audio, o lo que también se conoce como “</w:t>
      </w:r>
      <w:proofErr w:type="spellStart"/>
      <w:r w:rsidRPr="00D373D6">
        <w:rPr>
          <w:lang w:val="es-AR"/>
        </w:rPr>
        <w:t>attack</w:t>
      </w:r>
      <w:proofErr w:type="spellEnd"/>
      <w:r w:rsidRPr="00D373D6">
        <w:rPr>
          <w:lang w:val="es-AR"/>
        </w:rPr>
        <w:t>”.</w:t>
      </w:r>
    </w:p>
    <w:p w14:paraId="1ECB8584" w14:textId="5E55AB24" w:rsidR="00C0518C" w:rsidRPr="00D373D6" w:rsidRDefault="00C0518C" w:rsidP="00C0518C">
      <w:pPr>
        <w:pStyle w:val="Text"/>
        <w:ind w:left="144" w:firstLine="0"/>
        <w:rPr>
          <w:lang w:val="es-AR"/>
        </w:rPr>
      </w:pPr>
      <w:r w:rsidRPr="00D373D6">
        <w:rPr>
          <w:lang w:val="es-AR"/>
        </w:rPr>
        <w:t xml:space="preserve">Por otro lado, el offset es el evento que determina la finalización de la nota. El hecho de que la nota musical </w:t>
      </w:r>
      <w:proofErr w:type="gramStart"/>
      <w:r w:rsidR="00D373D6">
        <w:rPr>
          <w:lang w:val="es-AR"/>
        </w:rPr>
        <w:t>finalice</w:t>
      </w:r>
      <w:r w:rsidRPr="00D373D6">
        <w:rPr>
          <w:lang w:val="es-AR"/>
        </w:rPr>
        <w:t>,</w:t>
      </w:r>
      <w:proofErr w:type="gramEnd"/>
      <w:r w:rsidRPr="00D373D6">
        <w:rPr>
          <w:lang w:val="es-AR"/>
        </w:rPr>
        <w:t xml:space="preserve"> es análogo a decir que la energía de la señal de audio no es distinguible de la energía del ruido del ambiente sonoro.</w:t>
      </w:r>
    </w:p>
    <w:p w14:paraId="44E2F07C" w14:textId="446BEFBA" w:rsidR="00C0518C" w:rsidRPr="00D373D6" w:rsidRDefault="004950A7" w:rsidP="00C0518C">
      <w:pPr>
        <w:pStyle w:val="Text"/>
        <w:ind w:left="144" w:firstLine="0"/>
        <w:rPr>
          <w:lang w:val="es-AR"/>
        </w:rPr>
      </w:pPr>
      <w:r w:rsidRPr="00D373D6">
        <w:rPr>
          <w:lang w:val="es-AR"/>
        </w:rPr>
        <w:t>Habiendo aclarado el significado de estos conceptos se procederá a continuación a presentar un esquema que se puede utilizar para llevar a cabo la segmentación, para luego abordar la realización de lo propuesto en dicho esquema.</w:t>
      </w:r>
    </w:p>
    <w:p w14:paraId="41E8B252" w14:textId="0F9E1E72" w:rsidR="00E97402" w:rsidRPr="00D373D6" w:rsidRDefault="004950A7">
      <w:pPr>
        <w:pStyle w:val="Ttulo2"/>
        <w:rPr>
          <w:lang w:val="es-AR"/>
        </w:rPr>
      </w:pPr>
      <w:r w:rsidRPr="00D373D6">
        <w:rPr>
          <w:lang w:val="es-AR"/>
        </w:rPr>
        <w:t>Etapas de la Segmentación</w:t>
      </w:r>
    </w:p>
    <w:p w14:paraId="4002C7D7" w14:textId="10A2ED44" w:rsidR="004950A7" w:rsidRDefault="004950A7" w:rsidP="004950A7">
      <w:pPr>
        <w:rPr>
          <w:lang w:val="es-AR"/>
        </w:rPr>
      </w:pPr>
      <w:r w:rsidRPr="00D373D6">
        <w:rPr>
          <w:lang w:val="es-AR"/>
        </w:rPr>
        <w:t xml:space="preserve">Si es posible detectar tanto el evento de </w:t>
      </w:r>
      <w:proofErr w:type="spellStart"/>
      <w:r w:rsidRPr="00D373D6">
        <w:rPr>
          <w:lang w:val="es-AR"/>
        </w:rPr>
        <w:t>onset</w:t>
      </w:r>
      <w:proofErr w:type="spellEnd"/>
      <w:r w:rsidRPr="00D373D6">
        <w:rPr>
          <w:lang w:val="es-AR"/>
        </w:rPr>
        <w:t xml:space="preserve"> como el de offset, entonces se tendrá el intervalo temporal en el cual se manifiesta la nota musical, ya que se tendrá el comienzo y el final </w:t>
      </w:r>
      <w:r w:rsidR="00D373D6" w:rsidRPr="00D373D6">
        <w:rPr>
          <w:lang w:val="es-AR"/>
        </w:rPr>
        <w:t>de este</w:t>
      </w:r>
      <w:r w:rsidRPr="00D373D6">
        <w:rPr>
          <w:lang w:val="es-AR"/>
        </w:rPr>
        <w:t>. Entonces como primera medida se proceden a hallar estos dos eventos</w:t>
      </w:r>
      <w:r w:rsidR="003363BF">
        <w:rPr>
          <w:lang w:val="es-AR"/>
        </w:rPr>
        <w:t>.</w:t>
      </w:r>
    </w:p>
    <w:p w14:paraId="04FDE1A5" w14:textId="77777777" w:rsidR="00072190" w:rsidRDefault="003363BF" w:rsidP="004950A7">
      <w:pPr>
        <w:rPr>
          <w:lang w:val="es-AR"/>
        </w:rPr>
      </w:pPr>
      <w:r>
        <w:rPr>
          <w:lang w:val="es-AR"/>
        </w:rPr>
        <w:lastRenderedPageBreak/>
        <w:t xml:space="preserve">En cuanto al evento de offset, este será después del evento de </w:t>
      </w:r>
      <w:proofErr w:type="spellStart"/>
      <w:r>
        <w:rPr>
          <w:lang w:val="es-AR"/>
        </w:rPr>
        <w:t>onset</w:t>
      </w:r>
      <w:proofErr w:type="spellEnd"/>
      <w:r>
        <w:rPr>
          <w:lang w:val="es-AR"/>
        </w:rPr>
        <w:t xml:space="preserve">. Suponiendo que se tiene el </w:t>
      </w:r>
      <w:proofErr w:type="spellStart"/>
      <w:r>
        <w:rPr>
          <w:lang w:val="es-AR"/>
        </w:rPr>
        <w:t>onset</w:t>
      </w:r>
      <w:proofErr w:type="spellEnd"/>
      <w:r>
        <w:rPr>
          <w:lang w:val="es-AR"/>
        </w:rPr>
        <w:t>, de manera sencilla se puede detectar el offset identificando el momento para el cual la señal de audio es comparable con la señal de ruido (mediante un “</w:t>
      </w:r>
      <w:proofErr w:type="spellStart"/>
      <w:r>
        <w:rPr>
          <w:lang w:val="es-AR"/>
        </w:rPr>
        <w:t>threshold</w:t>
      </w:r>
      <w:proofErr w:type="spellEnd"/>
      <w:r>
        <w:rPr>
          <w:lang w:val="es-AR"/>
        </w:rPr>
        <w:t xml:space="preserve">” de offset, por ejemplo), comenzando la búsqueda de este instante a partir del evento de </w:t>
      </w:r>
      <w:proofErr w:type="spellStart"/>
      <w:r>
        <w:rPr>
          <w:lang w:val="es-AR"/>
        </w:rPr>
        <w:t>onset</w:t>
      </w:r>
      <w:proofErr w:type="spellEnd"/>
      <w:r>
        <w:rPr>
          <w:lang w:val="es-AR"/>
        </w:rPr>
        <w:t xml:space="preserve">. </w:t>
      </w:r>
    </w:p>
    <w:p w14:paraId="4D1FE6A7" w14:textId="447AD9CE" w:rsidR="00072190" w:rsidRDefault="00072190" w:rsidP="004950A7">
      <w:pPr>
        <w:rPr>
          <w:lang w:val="es-AR"/>
        </w:rPr>
      </w:pPr>
      <w:r>
        <w:rPr>
          <w:lang w:val="es-AR"/>
        </w:rPr>
        <w:t xml:space="preserve">Dicho esto, se puede considerar a la segmentación como principalmente un problema de detección de </w:t>
      </w:r>
      <w:proofErr w:type="spellStart"/>
      <w:r>
        <w:rPr>
          <w:lang w:val="es-AR"/>
        </w:rPr>
        <w:t>onset</w:t>
      </w:r>
      <w:proofErr w:type="spellEnd"/>
      <w:r>
        <w:rPr>
          <w:lang w:val="es-AR"/>
        </w:rPr>
        <w:t>.</w:t>
      </w:r>
      <w:r w:rsidR="002F2BC3">
        <w:rPr>
          <w:lang w:val="es-AR"/>
        </w:rPr>
        <w:t xml:space="preserve"> Esto se abord</w:t>
      </w:r>
      <w:r w:rsidR="002B24F0">
        <w:rPr>
          <w:lang w:val="es-AR"/>
        </w:rPr>
        <w:t xml:space="preserve">ará </w:t>
      </w:r>
      <w:r w:rsidR="00A75498">
        <w:rPr>
          <w:lang w:val="es-AR"/>
        </w:rPr>
        <w:t>mediante el procedimiento empleado por la mayoría de los algoritmos de detección de este tipo de eventos.</w:t>
      </w:r>
    </w:p>
    <w:p w14:paraId="55C0A78B" w14:textId="480A6D3A" w:rsidR="00AE56A9" w:rsidRDefault="00A75498" w:rsidP="004950A7">
      <w:pPr>
        <w:rPr>
          <w:lang w:val="es-AR"/>
        </w:rPr>
      </w:pPr>
      <w:r>
        <w:rPr>
          <w:lang w:val="es-AR"/>
        </w:rPr>
        <w:t>En la Fig. (</w:t>
      </w:r>
      <w:r w:rsidRPr="00A75498">
        <w:rPr>
          <w:highlight w:val="yellow"/>
          <w:lang w:val="es-AR"/>
        </w:rPr>
        <w:t>¿?</w:t>
      </w:r>
      <w:r>
        <w:rPr>
          <w:lang w:val="es-AR"/>
        </w:rPr>
        <w:t xml:space="preserve">) se ilustra el diagrama para abordar el problema mencionado, el cual consta de la generación de una señal de detección (también llamada señal de novedad) y la posterior detección de los picos de </w:t>
      </w:r>
      <w:r w:rsidR="00AA01F9">
        <w:rPr>
          <w:lang w:val="es-AR"/>
        </w:rPr>
        <w:t>esta</w:t>
      </w:r>
      <w:r>
        <w:rPr>
          <w:lang w:val="es-AR"/>
        </w:rPr>
        <w:t>. El instante</w:t>
      </w:r>
      <w:r w:rsidR="00AA01F9">
        <w:rPr>
          <w:lang w:val="es-AR"/>
        </w:rPr>
        <w:t xml:space="preserve"> (temporal) de detección de los picos es también el instante de </w:t>
      </w:r>
      <w:proofErr w:type="spellStart"/>
      <w:r w:rsidR="00AA01F9">
        <w:rPr>
          <w:lang w:val="es-AR"/>
        </w:rPr>
        <w:t>onset</w:t>
      </w:r>
      <w:proofErr w:type="spellEnd"/>
      <w:r w:rsidR="00AA01F9">
        <w:rPr>
          <w:lang w:val="es-AR"/>
        </w:rPr>
        <w:t>. Además, para generar la función de novedad mencionada, podría procesarse la entrada original de audio preparándola para generar una función de novedad que podría ser más efectiva (“</w:t>
      </w:r>
      <w:proofErr w:type="spellStart"/>
      <w:proofErr w:type="gramStart"/>
      <w:r w:rsidR="00AA01F9">
        <w:rPr>
          <w:lang w:val="es-AR"/>
        </w:rPr>
        <w:t>pre-procesamiento</w:t>
      </w:r>
      <w:proofErr w:type="spellEnd"/>
      <w:proofErr w:type="gramEnd"/>
      <w:r w:rsidR="00AA01F9">
        <w:rPr>
          <w:lang w:val="es-AR"/>
        </w:rPr>
        <w:t>”) o también puede procesada la señal de detección de manera que se logre mayor eficiencia en la detección de picos (“</w:t>
      </w:r>
      <w:proofErr w:type="spellStart"/>
      <w:r w:rsidR="00AA01F9">
        <w:rPr>
          <w:lang w:val="es-AR"/>
        </w:rPr>
        <w:t>post-procesamiento</w:t>
      </w:r>
      <w:proofErr w:type="spellEnd"/>
      <w:r w:rsidR="00AA01F9">
        <w:rPr>
          <w:lang w:val="es-AR"/>
        </w:rPr>
        <w:t xml:space="preserve">”). </w:t>
      </w:r>
    </w:p>
    <w:p w14:paraId="530D1A8B" w14:textId="7343AC64" w:rsidR="00AE56A9" w:rsidRDefault="00AE56A9" w:rsidP="004950A7">
      <w:pPr>
        <w:rPr>
          <w:lang w:val="es-AR"/>
        </w:rPr>
      </w:pPr>
      <w:r w:rsidRPr="00AE56A9">
        <w:rPr>
          <w:highlight w:val="yellow"/>
          <w:lang w:val="es-AR"/>
        </w:rPr>
        <w:t>FIGURA 1 FLACOOOOOOOOOOOO</w:t>
      </w:r>
    </w:p>
    <w:p w14:paraId="063972B1" w14:textId="77777777" w:rsidR="00AE56A9" w:rsidRDefault="00AE56A9" w:rsidP="004950A7">
      <w:pPr>
        <w:rPr>
          <w:lang w:val="es-AR"/>
        </w:rPr>
      </w:pPr>
    </w:p>
    <w:p w14:paraId="282BD3B0" w14:textId="77777777" w:rsidR="002F2BC3" w:rsidRDefault="002F2BC3" w:rsidP="004950A7">
      <w:pPr>
        <w:rPr>
          <w:lang w:val="es-AR"/>
        </w:rPr>
      </w:pPr>
    </w:p>
    <w:p w14:paraId="1334F4DA" w14:textId="1D347258" w:rsidR="003363BF" w:rsidRPr="00D373D6" w:rsidRDefault="003363BF" w:rsidP="004950A7">
      <w:pPr>
        <w:rPr>
          <w:lang w:val="es-AR"/>
        </w:rPr>
      </w:pPr>
    </w:p>
    <w:p w14:paraId="63DFBB8C" w14:textId="293864DB" w:rsidR="00E97402" w:rsidRDefault="009E2DD8">
      <w:pPr>
        <w:pStyle w:val="Ttulo2"/>
        <w:rPr>
          <w:lang w:val="es-AR"/>
        </w:rPr>
      </w:pPr>
      <w:r>
        <w:rPr>
          <w:lang w:val="es-AR"/>
        </w:rPr>
        <w:t>Función de Detección</w:t>
      </w:r>
    </w:p>
    <w:p w14:paraId="7381F129" w14:textId="2F5ECACB" w:rsidR="009E2DD8" w:rsidRDefault="009E2DD8" w:rsidP="009E2DD8">
      <w:pPr>
        <w:rPr>
          <w:lang w:val="es-AR"/>
        </w:rPr>
      </w:pPr>
      <w:r>
        <w:rPr>
          <w:lang w:val="es-AR"/>
        </w:rPr>
        <w:t xml:space="preserve">El algoritmo de generación de la función de detección es </w:t>
      </w:r>
      <w:r w:rsidR="00AB43F4">
        <w:rPr>
          <w:lang w:val="es-AR"/>
        </w:rPr>
        <w:t xml:space="preserve">determinante para la detección de offset. </w:t>
      </w:r>
      <w:r w:rsidR="00312F4D">
        <w:rPr>
          <w:lang w:val="es-AR"/>
        </w:rPr>
        <w:t>Un algoritmo efectivo tanto para señales de audio armónicas e inarmónicas (las señales emitidas por instrumentos de percusión, por ejemplo, son inarmónicas) es introducido en (</w:t>
      </w:r>
      <w:proofErr w:type="spellStart"/>
      <w:r w:rsidR="00312F4D">
        <w:rPr>
          <w:lang w:val="es-AR"/>
        </w:rPr>
        <w:t>Masri</w:t>
      </w:r>
      <w:proofErr w:type="spellEnd"/>
      <w:r w:rsidR="00312F4D">
        <w:rPr>
          <w:lang w:val="es-AR"/>
        </w:rPr>
        <w:t xml:space="preserve"> 1996) construye una función de novedad de alto contenido armónico (“High </w:t>
      </w:r>
      <w:proofErr w:type="spellStart"/>
      <w:r w:rsidR="00312F4D">
        <w:rPr>
          <w:lang w:val="es-AR"/>
        </w:rPr>
        <w:t>Frequency</w:t>
      </w:r>
      <w:proofErr w:type="spellEnd"/>
      <w:r w:rsidR="00312F4D">
        <w:rPr>
          <w:lang w:val="es-AR"/>
        </w:rPr>
        <w:t xml:space="preserve"> Content” o “HFC”)</w:t>
      </w:r>
      <w:r w:rsidR="005978CC">
        <w:rPr>
          <w:lang w:val="es-AR"/>
        </w:rPr>
        <w:t xml:space="preserve"> sumando valores linealmente ponderados de las magnitudes espectrales de la siguiente manera:</w:t>
      </w:r>
    </w:p>
    <w:p w14:paraId="7C0A393D" w14:textId="786CC87F" w:rsidR="005978CC" w:rsidRDefault="005978CC" w:rsidP="009E2DD8">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H</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r>
                <w:rPr>
                  <w:rFonts w:ascii="Cambria Math" w:hAnsi="Cambria Math"/>
                  <w:lang w:val="es-AR"/>
                </w:rPr>
                <m:t>k|</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e>
          </m:nary>
        </m:oMath>
      </m:oMathPara>
    </w:p>
    <w:p w14:paraId="68EBD72B" w14:textId="13CE0E8A" w:rsidR="005978CC" w:rsidRDefault="005978CC" w:rsidP="009E2DD8">
      <w:pPr>
        <w:rPr>
          <w:lang w:val="es-AR"/>
        </w:rPr>
      </w:pPr>
      <w:r>
        <w:rPr>
          <w:lang w:val="es-AR"/>
        </w:rPr>
        <w:t xml:space="preserve">En la anterior ecuación la función ponderada en módulo es la “Short Time Fourier </w:t>
      </w:r>
      <w:proofErr w:type="spellStart"/>
      <w:r>
        <w:rPr>
          <w:lang w:val="es-AR"/>
        </w:rPr>
        <w:t>Transform</w:t>
      </w:r>
      <w:proofErr w:type="spellEnd"/>
      <w:r>
        <w:rPr>
          <w:lang w:val="es-AR"/>
        </w:rPr>
        <w:t xml:space="preserve">” (STFT). La función de detección enfatiza las zonas de la señal que presenta alto contenido armónico, </w:t>
      </w:r>
      <w:r w:rsidR="00F13921">
        <w:rPr>
          <w:lang w:val="es-AR"/>
        </w:rPr>
        <w:t>cambiando bruscamente en el tiempo.</w:t>
      </w:r>
    </w:p>
    <w:p w14:paraId="63108D30" w14:textId="10B8EF7B" w:rsidR="001B6A3B" w:rsidRDefault="001B6A3B" w:rsidP="009E2DD8">
      <w:pPr>
        <w:rPr>
          <w:lang w:val="es-AR"/>
        </w:rPr>
      </w:pPr>
      <w:r>
        <w:rPr>
          <w:lang w:val="es-AR"/>
        </w:rPr>
        <w:t xml:space="preserve">Un algoritmo </w:t>
      </w:r>
      <w:r w:rsidR="009B21EB">
        <w:rPr>
          <w:lang w:val="es-AR"/>
        </w:rPr>
        <w:t xml:space="preserve">tratado en (Bello, </w:t>
      </w:r>
      <w:proofErr w:type="spellStart"/>
      <w:r w:rsidR="009B21EB">
        <w:rPr>
          <w:lang w:val="es-AR"/>
        </w:rPr>
        <w:t>Duxbury</w:t>
      </w:r>
      <w:proofErr w:type="spellEnd"/>
      <w:r w:rsidR="009B21EB">
        <w:rPr>
          <w:lang w:val="es-AR"/>
        </w:rPr>
        <w:t xml:space="preserve">, Davies y Sandler, 2004) </w:t>
      </w:r>
      <w:r>
        <w:rPr>
          <w:lang w:val="es-AR"/>
        </w:rPr>
        <w:t>que se concentra más en las variaciones armónicas es el de “diferencia espectral” (“</w:t>
      </w:r>
      <w:proofErr w:type="spellStart"/>
      <w:r>
        <w:rPr>
          <w:lang w:val="es-AR"/>
        </w:rPr>
        <w:t>Spectral</w:t>
      </w:r>
      <w:proofErr w:type="spellEnd"/>
      <w:r>
        <w:rPr>
          <w:lang w:val="es-AR"/>
        </w:rPr>
        <w:t xml:space="preserve"> </w:t>
      </w:r>
      <w:proofErr w:type="spellStart"/>
      <w:r>
        <w:rPr>
          <w:lang w:val="es-AR"/>
        </w:rPr>
        <w:t>Diference</w:t>
      </w:r>
      <w:proofErr w:type="spellEnd"/>
      <w:r>
        <w:rPr>
          <w:lang w:val="es-AR"/>
        </w:rPr>
        <w:t>” o “SD”) y obtiene la función de detección de la siguiente manera:</w:t>
      </w:r>
    </w:p>
    <w:p w14:paraId="15F85D43" w14:textId="439919FC" w:rsidR="001B6A3B" w:rsidRPr="009B21EB" w:rsidRDefault="001B6A3B" w:rsidP="009E2DD8">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S</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rad>
                <m:radPr>
                  <m:degHide m:val="1"/>
                  <m:ctrlPr>
                    <w:rPr>
                      <w:rFonts w:ascii="Cambria Math" w:hAnsi="Cambria Math"/>
                      <w:i/>
                      <w:lang w:val="es-AR"/>
                    </w:rPr>
                  </m:ctrlPr>
                </m:radPr>
                <m:deg/>
                <m:e>
                  <m:r>
                    <w:rPr>
                      <w:rFonts w:ascii="Cambria Math" w:hAnsi="Cambria Math"/>
                      <w:lang w:val="es-AR"/>
                    </w:rPr>
                    <m:t>|</m:t>
                  </m:r>
                  <m:f>
                    <m:fPr>
                      <m:ctrlPr>
                        <w:rPr>
                          <w:rFonts w:ascii="Cambria Math" w:hAnsi="Cambria Math"/>
                          <w:i/>
                          <w:lang w:val="es-AR"/>
                        </w:rPr>
                      </m:ctrlPr>
                    </m:fPr>
                    <m:num>
                      <m:r>
                        <w:rPr>
                          <w:rFonts w:ascii="Cambria Math" w:hAnsi="Cambria Math"/>
                          <w:lang w:val="es-AR"/>
                        </w:rPr>
                        <m:t>d</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num>
                    <m:den>
                      <m:r>
                        <w:rPr>
                          <w:rFonts w:ascii="Cambria Math" w:hAnsi="Cambria Math"/>
                          <w:lang w:val="es-AR"/>
                        </w:rPr>
                        <m:t>dn</m:t>
                      </m:r>
                    </m:den>
                  </m:f>
                  <m:r>
                    <w:rPr>
                      <w:rFonts w:ascii="Cambria Math" w:hAnsi="Cambria Math"/>
                      <w:lang w:val="es-AR"/>
                    </w:rPr>
                    <m:t>|</m:t>
                  </m:r>
                </m:e>
              </m:rad>
            </m:e>
          </m:nary>
        </m:oMath>
      </m:oMathPara>
    </w:p>
    <w:p w14:paraId="6386ABDE" w14:textId="1F69FAC0" w:rsidR="009B21EB" w:rsidRDefault="009B21EB" w:rsidP="009E2DD8">
      <w:pPr>
        <w:rPr>
          <w:lang w:val="es-AR"/>
        </w:rPr>
      </w:pPr>
      <w:r>
        <w:rPr>
          <w:lang w:val="es-AR"/>
        </w:rPr>
        <w:t>En la ecuación, la derivada de la STFT con respecto a “n” representa la diferencia entre bines de la magnitud espectral de las muestras sucesivas.</w:t>
      </w:r>
    </w:p>
    <w:p w14:paraId="3FC56141" w14:textId="5938ACBF" w:rsidR="009B21EB" w:rsidRDefault="009B21EB" w:rsidP="009E2DD8">
      <w:pPr>
        <w:rPr>
          <w:lang w:val="es-AR"/>
        </w:rPr>
      </w:pPr>
      <w:r>
        <w:rPr>
          <w:lang w:val="es-AR"/>
        </w:rPr>
        <w:t xml:space="preserve">A esta focalización en la diferencial espectral puede incorporarse un análisis </w:t>
      </w:r>
      <w:r w:rsidR="00D3531F">
        <w:rPr>
          <w:lang w:val="es-AR"/>
        </w:rPr>
        <w:t xml:space="preserve">tratado en [1] </w:t>
      </w:r>
      <w:r>
        <w:rPr>
          <w:lang w:val="es-AR"/>
        </w:rPr>
        <w:t>sobre el cambio de fase de la señal de audio.</w:t>
      </w:r>
      <w:r w:rsidR="00D3531F">
        <w:rPr>
          <w:lang w:val="es-AR"/>
        </w:rPr>
        <w:t xml:space="preserve"> Combinando estos dos aspectos, de cambio espectral en magnitud y de fase se logra la siguiente función de detección:</w:t>
      </w:r>
    </w:p>
    <w:p w14:paraId="70469A5A" w14:textId="0AE3D26E" w:rsidR="00D3531F" w:rsidRPr="00D3531F" w:rsidRDefault="00D3531F" w:rsidP="00D3531F">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C</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sSup>
                <m:sSupPr>
                  <m:ctrlPr>
                    <w:rPr>
                      <w:rFonts w:ascii="Cambria Math" w:hAnsi="Cambria Math"/>
                      <w:i/>
                      <w:lang w:val="es-AR"/>
                    </w:rPr>
                  </m:ctrlPr>
                </m:sSupPr>
                <m:e>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sup>
                              <m:r>
                                <w:rPr>
                                  <w:rFonts w:ascii="Cambria Math" w:hAnsi="Cambria Math"/>
                                  <w:lang w:val="es-AR"/>
                                </w:rPr>
                                <m:t>a</m:t>
                              </m:r>
                            </m:sup>
                          </m:sSup>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d>
                </m:e>
                <m:sup>
                  <m:r>
                    <w:rPr>
                      <w:rFonts w:ascii="Cambria Math" w:hAnsi="Cambria Math"/>
                      <w:lang w:val="es-AR"/>
                    </w:rPr>
                    <m:t>2</m:t>
                  </m:r>
                </m:sup>
              </m:sSup>
              <m:r>
                <w:rPr>
                  <w:rFonts w:ascii="Cambria Math" w:hAnsi="Cambria Math"/>
                  <w:lang w:val="es-AR"/>
                </w:rPr>
                <m:t>|</m:t>
              </m:r>
            </m:e>
          </m:nary>
        </m:oMath>
      </m:oMathPara>
    </w:p>
    <w:p w14:paraId="610C7816" w14:textId="61245C4F" w:rsidR="00D3531F" w:rsidRPr="00D3531F" w:rsidRDefault="00D3531F" w:rsidP="00D3531F">
      <w:pPr>
        <w:rPr>
          <w:lang w:val="es-AR"/>
        </w:rPr>
      </w:pPr>
      <m:oMathPara>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sup>
              <m:r>
                <w:rPr>
                  <w:rFonts w:ascii="Cambria Math" w:hAnsi="Cambria Math"/>
                  <w:lang w:val="es-AR"/>
                </w:rPr>
                <m:t>a</m:t>
              </m:r>
            </m:sup>
          </m:sSup>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d>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sSubSup>
                <m:sSubSupPr>
                  <m:ctrlPr>
                    <w:rPr>
                      <w:rFonts w:ascii="Cambria Math" w:hAnsi="Cambria Math"/>
                      <w:i/>
                      <w:lang w:val="es-AR"/>
                    </w:rPr>
                  </m:ctrlPr>
                </m:sSubSupPr>
                <m:e>
                  <m:r>
                    <w:rPr>
                      <w:rFonts w:ascii="Cambria Math" w:hAnsi="Cambria Math"/>
                      <w:lang w:val="es-AR"/>
                    </w:rPr>
                    <m:t>∅</m:t>
                  </m:r>
                </m:e>
                <m:sub>
                  <m:r>
                    <w:rPr>
                      <w:rFonts w:ascii="Cambria Math" w:hAnsi="Cambria Math"/>
                      <w:lang w:val="es-AR"/>
                    </w:rPr>
                    <m:t>k</m:t>
                  </m:r>
                </m:sub>
                <m:sup>
                  <m:r>
                    <w:rPr>
                      <w:rFonts w:ascii="Cambria Math" w:hAnsi="Cambria Math"/>
                      <w:lang w:val="es-AR"/>
                    </w:rPr>
                    <m:t>a</m:t>
                  </m:r>
                </m:sup>
              </m:sSubSup>
              <m:r>
                <w:rPr>
                  <w:rFonts w:ascii="Cambria Math" w:hAnsi="Cambria Math"/>
                  <w:lang w:val="es-AR"/>
                </w:rPr>
                <m:t>(n)</m:t>
              </m:r>
            </m:sup>
          </m:sSup>
        </m:oMath>
      </m:oMathPara>
    </w:p>
    <w:p w14:paraId="09BAA5EA" w14:textId="50FBB43B" w:rsidR="00D3531F" w:rsidRDefault="00D3531F" w:rsidP="00D3531F">
      <w:pPr>
        <w:rPr>
          <w:lang w:val="es-AR"/>
        </w:rPr>
      </w:pPr>
      <m:oMathPara>
        <m:oMath>
          <m:sSubSup>
            <m:sSubSupPr>
              <m:ctrlPr>
                <w:rPr>
                  <w:rFonts w:ascii="Cambria Math" w:hAnsi="Cambria Math"/>
                  <w:i/>
                  <w:lang w:val="es-AR"/>
                </w:rPr>
              </m:ctrlPr>
            </m:sSubSupPr>
            <m:e>
              <m:r>
                <w:rPr>
                  <w:rFonts w:ascii="Cambria Math" w:hAnsi="Cambria Math"/>
                  <w:lang w:val="es-AR"/>
                </w:rPr>
                <m:t>∅</m:t>
              </m:r>
            </m:e>
            <m:sub>
              <m:r>
                <w:rPr>
                  <w:rFonts w:ascii="Cambria Math" w:hAnsi="Cambria Math"/>
                  <w:lang w:val="es-AR"/>
                </w:rPr>
                <m:t>k</m:t>
              </m:r>
            </m:sub>
            <m:sup>
              <m:r>
                <w:rPr>
                  <w:rFonts w:ascii="Cambria Math" w:hAnsi="Cambria Math"/>
                  <w:lang w:val="es-AR"/>
                </w:rPr>
                <m:t>a</m:t>
              </m:r>
            </m:sup>
          </m:sSubSup>
          <m:d>
            <m:dPr>
              <m:ctrlPr>
                <w:rPr>
                  <w:rFonts w:ascii="Cambria Math" w:hAnsi="Cambria Math"/>
                  <w:i/>
                  <w:lang w:val="es-AR"/>
                </w:rPr>
              </m:ctrlPr>
            </m:dPr>
            <m:e>
              <m:r>
                <w:rPr>
                  <w:rFonts w:ascii="Cambria Math" w:hAnsi="Cambria Math"/>
                  <w:lang w:val="es-AR"/>
                </w:rPr>
                <m:t>n</m:t>
              </m:r>
            </m:e>
          </m:d>
          <m:r>
            <w:rPr>
              <w:rFonts w:ascii="Cambria Math" w:hAnsi="Cambria Math"/>
              <w:lang w:val="es-AR"/>
            </w:rPr>
            <m:t>=map(</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m:t>
                  </m:r>
                </m:e>
                <m:sup>
                  <m:r>
                    <w:rPr>
                      <w:rFonts w:ascii="Cambria Math" w:hAnsi="Cambria Math"/>
                      <w:lang w:val="es-AR"/>
                    </w:rPr>
                    <m:t>2</m:t>
                  </m:r>
                </m:sup>
              </m:sSup>
              <m:sSub>
                <m:sSubPr>
                  <m:ctrlPr>
                    <w:rPr>
                      <w:rFonts w:ascii="Cambria Math" w:hAnsi="Cambria Math"/>
                      <w:i/>
                      <w:lang w:val="es-AR"/>
                    </w:rPr>
                  </m:ctrlPr>
                </m:sSubPr>
                <m:e>
                  <m:r>
                    <w:rPr>
                      <w:rFonts w:ascii="Cambria Math" w:hAnsi="Cambria Math"/>
                      <w:lang w:val="es-AR"/>
                    </w:rPr>
                    <m:t>∅</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num>
            <m:den>
              <m:r>
                <w:rPr>
                  <w:rFonts w:ascii="Cambria Math" w:hAnsi="Cambria Math"/>
                  <w:lang w:val="es-AR"/>
                </w:rPr>
                <m:t>∂</m:t>
              </m:r>
              <m:sSup>
                <m:sSupPr>
                  <m:ctrlPr>
                    <w:rPr>
                      <w:rFonts w:ascii="Cambria Math" w:hAnsi="Cambria Math"/>
                      <w:i/>
                      <w:lang w:val="es-AR"/>
                    </w:rPr>
                  </m:ctrlPr>
                </m:sSupPr>
                <m:e>
                  <m:r>
                    <w:rPr>
                      <w:rFonts w:ascii="Cambria Math" w:hAnsi="Cambria Math"/>
                      <w:lang w:val="es-AR"/>
                    </w:rPr>
                    <m:t>n</m:t>
                  </m:r>
                </m:e>
                <m:sup>
                  <m:r>
                    <w:rPr>
                      <w:rFonts w:ascii="Cambria Math" w:hAnsi="Cambria Math"/>
                      <w:lang w:val="es-AR"/>
                    </w:rPr>
                    <m:t>2</m:t>
                  </m:r>
                </m:sup>
              </m:sSup>
            </m:den>
          </m:f>
          <m:r>
            <w:rPr>
              <w:rFonts w:ascii="Cambria Math" w:hAnsi="Cambria Math"/>
              <w:lang w:val="es-AR"/>
            </w:rPr>
            <m:t>)</m:t>
          </m:r>
        </m:oMath>
      </m:oMathPara>
    </w:p>
    <w:p w14:paraId="6E47FA9E" w14:textId="48C6E30E" w:rsidR="00D3531F" w:rsidRDefault="00D3531F" w:rsidP="009E2DD8">
      <w:pPr>
        <w:rPr>
          <w:lang w:val="es-AR"/>
        </w:rPr>
      </w:pPr>
      <w:r>
        <w:rPr>
          <w:lang w:val="es-AR"/>
        </w:rPr>
        <w:t>En donde “</w:t>
      </w:r>
      <w:proofErr w:type="spellStart"/>
      <w:r>
        <w:rPr>
          <w:lang w:val="es-AR"/>
        </w:rPr>
        <w:t>map</w:t>
      </w:r>
      <w:proofErr w:type="spellEnd"/>
      <w:r>
        <w:rPr>
          <w:lang w:val="es-AR"/>
        </w:rPr>
        <w:t xml:space="preserve">” es una función que traduce la fase en un ángulo dentro del </w:t>
      </w:r>
      <w:proofErr w:type="spellStart"/>
      <w:r>
        <w:rPr>
          <w:lang w:val="es-AR"/>
        </w:rPr>
        <w:t>intervalor</w:t>
      </w:r>
      <w:proofErr w:type="spellEnd"/>
      <w:r>
        <w:rPr>
          <w:lang w:val="es-AR"/>
        </w:rPr>
        <w:t xml:space="preserve"> [</w:t>
      </w:r>
      <m:oMath>
        <m:r>
          <w:rPr>
            <w:rFonts w:ascii="Cambria Math" w:hAnsi="Cambria Math"/>
            <w:lang w:val="es-AR"/>
          </w:rPr>
          <m:t>-π; π</m:t>
        </m:r>
      </m:oMath>
      <w:r>
        <w:rPr>
          <w:lang w:val="es-AR"/>
        </w:rPr>
        <w:t>]</w:t>
      </w:r>
      <w:r w:rsidR="00CC7357">
        <w:rPr>
          <w:lang w:val="es-AR"/>
        </w:rPr>
        <w:t>.</w:t>
      </w:r>
    </w:p>
    <w:p w14:paraId="69E109A6" w14:textId="28301418" w:rsidR="001B6A3B" w:rsidRPr="009E2DD8" w:rsidRDefault="00CC7357" w:rsidP="009E2DD8">
      <w:pPr>
        <w:rPr>
          <w:lang w:val="es-AR"/>
        </w:rPr>
      </w:pPr>
      <w:r>
        <w:rPr>
          <w:lang w:val="es-AR"/>
        </w:rPr>
        <w:t>Esta última función de detección, según resultados mostrados en [1], funciona exitosamente para señales de audio armónico, pero no funciona para señales de percusión (inarmónicas).</w:t>
      </w:r>
    </w:p>
    <w:p w14:paraId="1A7426C0" w14:textId="77777777" w:rsidR="00E97402" w:rsidRPr="00D373D6" w:rsidRDefault="00E97402">
      <w:pPr>
        <w:pStyle w:val="Text"/>
        <w:rPr>
          <w:lang w:val="es-AR"/>
        </w:rPr>
      </w:pPr>
    </w:p>
    <w:p w14:paraId="74FF5DB4" w14:textId="4B12E832" w:rsidR="00E97402" w:rsidRDefault="00CC7357">
      <w:pPr>
        <w:pStyle w:val="Ttulo2"/>
        <w:rPr>
          <w:lang w:val="es-AR"/>
        </w:rPr>
      </w:pPr>
      <w:r>
        <w:rPr>
          <w:lang w:val="es-AR"/>
        </w:rPr>
        <w:t>Detección de Picos</w:t>
      </w:r>
    </w:p>
    <w:p w14:paraId="2F62B416" w14:textId="782316A4" w:rsidR="00CC7357" w:rsidRDefault="00CC7357" w:rsidP="00CC7357">
      <w:pPr>
        <w:rPr>
          <w:lang w:val="es-AR"/>
        </w:rPr>
      </w:pPr>
      <w:r>
        <w:rPr>
          <w:lang w:val="es-AR"/>
        </w:rPr>
        <w:t xml:space="preserve">Una vez hallada la función de detección o novedad, se proceden a identificar los picos de esta, teniendo en cuenta los picos lo suficientemente pronunciados y que superen un </w:t>
      </w:r>
      <w:r w:rsidR="00BD594F">
        <w:rPr>
          <w:lang w:val="es-AR"/>
        </w:rPr>
        <w:t>“</w:t>
      </w:r>
      <w:proofErr w:type="spellStart"/>
      <w:r>
        <w:rPr>
          <w:lang w:val="es-AR"/>
        </w:rPr>
        <w:t>threshold</w:t>
      </w:r>
      <w:proofErr w:type="spellEnd"/>
      <w:r w:rsidR="00BD594F">
        <w:rPr>
          <w:lang w:val="es-AR"/>
        </w:rPr>
        <w:t>” (umbral)</w:t>
      </w:r>
      <w:r>
        <w:rPr>
          <w:lang w:val="es-AR"/>
        </w:rPr>
        <w:t xml:space="preserve"> fijo. Una opción más eficaz es implementar una función que genere un umbral adaptativo, es decir que tome un valor de umbral para cada muestra de la función de detección, basándose en muestras del entorno para hallar este umbral óptimo. Estos algoritmos se pueden implementar computacionalmente con librerías nativas de algunos lenguajes de programación como lo son “Python” o “JavaScript”.</w:t>
      </w:r>
    </w:p>
    <w:p w14:paraId="7571E06B" w14:textId="4C5E9BD9" w:rsidR="00BD594F" w:rsidRDefault="00BD594F" w:rsidP="00BD594F">
      <w:pPr>
        <w:pStyle w:val="Ttulo2"/>
        <w:rPr>
          <w:lang w:val="es-AR"/>
        </w:rPr>
      </w:pPr>
      <w:r>
        <w:rPr>
          <w:lang w:val="es-AR"/>
        </w:rPr>
        <w:t>Offset</w:t>
      </w:r>
    </w:p>
    <w:p w14:paraId="3EAFF172" w14:textId="77777777" w:rsidR="00760C97" w:rsidRDefault="00BD594F" w:rsidP="00760C97">
      <w:pPr>
        <w:rPr>
          <w:lang w:val="es-AR"/>
        </w:rPr>
      </w:pPr>
      <w:r>
        <w:rPr>
          <w:lang w:val="es-AR"/>
        </w:rPr>
        <w:t xml:space="preserve">Como se ha mencionado en la sección B, la detección de </w:t>
      </w:r>
      <w:proofErr w:type="spellStart"/>
      <w:r>
        <w:rPr>
          <w:lang w:val="es-AR"/>
        </w:rPr>
        <w:t>onset</w:t>
      </w:r>
      <w:proofErr w:type="spellEnd"/>
      <w:r>
        <w:rPr>
          <w:lang w:val="es-AR"/>
        </w:rPr>
        <w:t xml:space="preserve"> puede realizarse de manera relativamente sencilla una vez que se ha detectado el </w:t>
      </w:r>
      <w:proofErr w:type="spellStart"/>
      <w:r>
        <w:rPr>
          <w:lang w:val="es-AR"/>
        </w:rPr>
        <w:t>onset</w:t>
      </w:r>
      <w:proofErr w:type="spellEnd"/>
      <w:r w:rsidR="00760C97">
        <w:rPr>
          <w:lang w:val="es-AR"/>
        </w:rPr>
        <w:t xml:space="preserve">, comparando la función original con un umbral que se corresponda con el ruido ambiental y así decidir el instante para el cual se da la nota musical por finalizada (instante de detección de offset). </w:t>
      </w:r>
      <w:r w:rsidR="00760C97">
        <w:rPr>
          <w:lang w:val="es-AR"/>
        </w:rPr>
        <w:t>En efecto para obtener los resultados que se mostrarán más adelante, se utilizó un umbral de offset teniendo en cuenta que ante una señal sonora normalmente existe un ruido ambiental que se corresponde en -80dB.</w:t>
      </w:r>
    </w:p>
    <w:p w14:paraId="7ECE82EB" w14:textId="53816FC6" w:rsidR="00760C97" w:rsidRDefault="00760C97" w:rsidP="00760C97">
      <w:pPr>
        <w:rPr>
          <w:lang w:val="es-AR"/>
        </w:rPr>
      </w:pPr>
      <w:r>
        <w:rPr>
          <w:lang w:val="es-AR"/>
        </w:rPr>
        <w:t xml:space="preserve">Debido a que podría ocurrir que se aplique el algoritmo de segmentación en una señal de audio que presente una cantidad numerosa de notas (esto es lo que sucede en la mayoría de los casos para el cual este algoritmo es de interés), luego podría existir un nuevo </w:t>
      </w:r>
      <w:proofErr w:type="spellStart"/>
      <w:r>
        <w:rPr>
          <w:lang w:val="es-AR"/>
        </w:rPr>
        <w:t>onset</w:t>
      </w:r>
      <w:proofErr w:type="spellEnd"/>
      <w:r>
        <w:rPr>
          <w:lang w:val="es-AR"/>
        </w:rPr>
        <w:t xml:space="preserve"> antes de la detección del offset correspondiente el anterior </w:t>
      </w:r>
      <w:proofErr w:type="spellStart"/>
      <w:r>
        <w:rPr>
          <w:lang w:val="es-AR"/>
        </w:rPr>
        <w:t>onset</w:t>
      </w:r>
      <w:proofErr w:type="spellEnd"/>
      <w:r>
        <w:rPr>
          <w:lang w:val="es-AR"/>
        </w:rPr>
        <w:t xml:space="preserve">. Ante este caso, se decidió determinar el offset mediante el nuevo </w:t>
      </w:r>
      <w:proofErr w:type="spellStart"/>
      <w:r>
        <w:rPr>
          <w:lang w:val="es-AR"/>
        </w:rPr>
        <w:t>onset</w:t>
      </w:r>
      <w:proofErr w:type="spellEnd"/>
      <w:r>
        <w:rPr>
          <w:lang w:val="es-AR"/>
        </w:rPr>
        <w:t xml:space="preserve">., es decir que el evento de offset y el nuevo </w:t>
      </w:r>
      <w:proofErr w:type="spellStart"/>
      <w:r>
        <w:rPr>
          <w:lang w:val="es-AR"/>
        </w:rPr>
        <w:t>onset</w:t>
      </w:r>
      <w:proofErr w:type="spellEnd"/>
      <w:r>
        <w:rPr>
          <w:lang w:val="es-AR"/>
        </w:rPr>
        <w:t xml:space="preserve"> coinciden para este caso. Esto quiere decir que la finalización de la nota la determina el comienzo de la siguiente nota, siempre que esta última se manifieste lo suficientemente rápido tal que no se detecte offset para la nota anterior.</w:t>
      </w:r>
    </w:p>
    <w:p w14:paraId="27A9E941" w14:textId="3C6632C9" w:rsidR="00760C97" w:rsidRDefault="00760C97" w:rsidP="00760C97">
      <w:pPr>
        <w:rPr>
          <w:lang w:val="es-AR"/>
        </w:rPr>
      </w:pPr>
    </w:p>
    <w:p w14:paraId="37B7307F" w14:textId="70403E6B" w:rsidR="00760C97" w:rsidRDefault="00760C97" w:rsidP="00760C97">
      <w:pPr>
        <w:pStyle w:val="Ttulo2"/>
        <w:rPr>
          <w:lang w:val="es-AR"/>
        </w:rPr>
      </w:pPr>
      <w:r>
        <w:rPr>
          <w:lang w:val="es-AR"/>
        </w:rPr>
        <w:t>Implementación y Resultados de la Segmentación</w:t>
      </w:r>
    </w:p>
    <w:p w14:paraId="6BA773CC" w14:textId="142926E9" w:rsidR="00760C97" w:rsidRDefault="00760C97" w:rsidP="00760C97">
      <w:pPr>
        <w:rPr>
          <w:lang w:val="es-AR"/>
        </w:rPr>
      </w:pPr>
      <w:r>
        <w:rPr>
          <w:lang w:val="es-AR"/>
        </w:rPr>
        <w:t xml:space="preserve">Para realizar la segmentación se ha utilizado el algoritmo de HFC para obtener la función de detección y a esta se la proceso aplicando una </w:t>
      </w:r>
      <w:proofErr w:type="spellStart"/>
      <w:r>
        <w:rPr>
          <w:lang w:val="es-AR"/>
        </w:rPr>
        <w:t>decimación</w:t>
      </w:r>
      <w:proofErr w:type="spellEnd"/>
      <w:r>
        <w:rPr>
          <w:lang w:val="es-AR"/>
        </w:rPr>
        <w:t xml:space="preserve"> de orden 4 para luego realizar una interpolación del mismo orden, logrando así suavizar la función de detección y evitar que se detecten picos que no correspondan a </w:t>
      </w:r>
      <w:proofErr w:type="spellStart"/>
      <w:r>
        <w:rPr>
          <w:lang w:val="es-AR"/>
        </w:rPr>
        <w:t>onsets</w:t>
      </w:r>
      <w:proofErr w:type="spellEnd"/>
      <w:r>
        <w:rPr>
          <w:lang w:val="es-AR"/>
        </w:rPr>
        <w:t>.</w:t>
      </w:r>
    </w:p>
    <w:p w14:paraId="4FF0C8CB" w14:textId="21912C70" w:rsidR="00760C97" w:rsidRDefault="00760C97" w:rsidP="00760C97">
      <w:pPr>
        <w:rPr>
          <w:lang w:val="es-AR"/>
        </w:rPr>
      </w:pPr>
      <w:r>
        <w:rPr>
          <w:lang w:val="es-AR"/>
        </w:rPr>
        <w:t xml:space="preserve">Una vez realizado esto, se detectaron los picos y se utilizaron estos mismos para obtener los </w:t>
      </w:r>
      <w:proofErr w:type="spellStart"/>
      <w:r>
        <w:rPr>
          <w:lang w:val="es-AR"/>
        </w:rPr>
        <w:t>offsets</w:t>
      </w:r>
      <w:proofErr w:type="spellEnd"/>
      <w:r>
        <w:rPr>
          <w:lang w:val="es-AR"/>
        </w:rPr>
        <w:t>.</w:t>
      </w:r>
    </w:p>
    <w:p w14:paraId="529BB92A" w14:textId="577FA0FA" w:rsidR="00760C97" w:rsidRDefault="00760C97" w:rsidP="00760C97">
      <w:pPr>
        <w:rPr>
          <w:lang w:val="es-AR"/>
        </w:rPr>
      </w:pPr>
      <w:r>
        <w:rPr>
          <w:lang w:val="es-AR"/>
        </w:rPr>
        <w:lastRenderedPageBreak/>
        <w:t xml:space="preserve">Esta segmentación se ha aplicado a una señal de audio con </w:t>
      </w:r>
      <w:r w:rsidR="005C797E">
        <w:rPr>
          <w:lang w:val="es-AR"/>
        </w:rPr>
        <w:t>cuatro notas y se obtuvieron los resultados de la Fig. (</w:t>
      </w:r>
      <w:r w:rsidR="005C797E" w:rsidRPr="005C797E">
        <w:rPr>
          <w:highlight w:val="yellow"/>
          <w:lang w:val="es-AR"/>
        </w:rPr>
        <w:t>¿?</w:t>
      </w:r>
      <w:r w:rsidR="005C797E">
        <w:rPr>
          <w:lang w:val="es-AR"/>
        </w:rPr>
        <w:t>).</w:t>
      </w:r>
    </w:p>
    <w:p w14:paraId="564F82DE" w14:textId="082F43A1" w:rsidR="005C797E" w:rsidRDefault="005C797E" w:rsidP="00760C97">
      <w:pPr>
        <w:rPr>
          <w:lang w:val="es-AR"/>
        </w:rPr>
      </w:pPr>
      <w:r>
        <w:rPr>
          <w:lang w:val="es-AR"/>
        </w:rPr>
        <w:t xml:space="preserve">En dicha figura, se pueden observar los </w:t>
      </w:r>
      <w:proofErr w:type="spellStart"/>
      <w:r>
        <w:rPr>
          <w:lang w:val="es-AR"/>
        </w:rPr>
        <w:t>onsets</w:t>
      </w:r>
      <w:proofErr w:type="spellEnd"/>
      <w:r>
        <w:rPr>
          <w:lang w:val="es-AR"/>
        </w:rPr>
        <w:t xml:space="preserve"> detectados como cruces ‘x’ y los </w:t>
      </w:r>
      <w:proofErr w:type="spellStart"/>
      <w:r>
        <w:rPr>
          <w:lang w:val="es-AR"/>
        </w:rPr>
        <w:t>offsets</w:t>
      </w:r>
      <w:proofErr w:type="spellEnd"/>
      <w:r>
        <w:rPr>
          <w:lang w:val="es-AR"/>
        </w:rPr>
        <w:t xml:space="preserve"> como círculos ‘o’.</w:t>
      </w:r>
    </w:p>
    <w:p w14:paraId="18423EAC" w14:textId="2D581962" w:rsidR="005C797E" w:rsidRPr="00760C97" w:rsidRDefault="005C797E" w:rsidP="00760C97">
      <w:pPr>
        <w:rPr>
          <w:lang w:val="es-AR"/>
        </w:rPr>
      </w:pPr>
      <w:r w:rsidRPr="005C797E">
        <w:rPr>
          <w:highlight w:val="yellow"/>
          <w:lang w:val="es-AR"/>
        </w:rPr>
        <w:t>ACA VA LA FIGURAAAAAAAAAAA</w:t>
      </w:r>
      <w:bookmarkStart w:id="1" w:name="_GoBack"/>
      <w:bookmarkEnd w:id="1"/>
    </w:p>
    <w:p w14:paraId="648DB8D5" w14:textId="1921BF2D" w:rsidR="00BD594F" w:rsidRPr="00BD594F" w:rsidRDefault="00BD594F" w:rsidP="00BD594F">
      <w:pPr>
        <w:rPr>
          <w:lang w:val="es-AR"/>
        </w:rPr>
      </w:pPr>
    </w:p>
    <w:p w14:paraId="75814A79" w14:textId="0D299FCA" w:rsidR="00E97402" w:rsidRPr="00D373D6" w:rsidRDefault="00E97402" w:rsidP="00BD594F">
      <w:pPr>
        <w:pStyle w:val="Text"/>
        <w:rPr>
          <w:lang w:val="es-AR"/>
        </w:rPr>
      </w:pPr>
      <w:r w:rsidRPr="00D373D6">
        <w:rPr>
          <w:i/>
          <w:lang w:val="es-AR"/>
        </w:rPr>
        <w:t xml:space="preserve"> </w:t>
      </w:r>
    </w:p>
    <w:p w14:paraId="7C12F4B9" w14:textId="77777777" w:rsidR="00E97402" w:rsidRDefault="00E97402">
      <w:pPr>
        <w:pStyle w:val="Text"/>
      </w:pPr>
    </w:p>
    <w:p w14:paraId="7E434547" w14:textId="77777777" w:rsidR="00E97402" w:rsidRDefault="00E97402">
      <w:pPr>
        <w:pStyle w:val="Ttulo1"/>
      </w:pPr>
      <w:r>
        <w:t>M</w:t>
      </w:r>
      <w:r>
        <w:rPr>
          <w:sz w:val="16"/>
          <w:szCs w:val="16"/>
        </w:rPr>
        <w:t>ATH</w:t>
      </w:r>
    </w:p>
    <w:p w14:paraId="75C5C088" w14:textId="77777777" w:rsidR="00E97402" w:rsidRDefault="00E97402">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3E781878" w14:textId="77777777" w:rsidR="00E97402" w:rsidRDefault="00E97402">
      <w:pPr>
        <w:pStyle w:val="Text"/>
      </w:pPr>
    </w:p>
    <w:p w14:paraId="204F7F33" w14:textId="77777777" w:rsidR="00E97402" w:rsidRDefault="00E97402">
      <w:pPr>
        <w:pStyle w:val="Ttulo1"/>
      </w:pPr>
      <w:r>
        <w:t>Units</w:t>
      </w:r>
    </w:p>
    <w:p w14:paraId="24CF8592" w14:textId="77777777"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4843F4CD" w14:textId="77777777" w:rsidR="00E97402" w:rsidRDefault="00E97402">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213303D" w14:textId="77777777" w:rsidR="00E97402" w:rsidRDefault="00E97402">
      <w:pPr>
        <w:pStyle w:val="Text"/>
      </w:pPr>
    </w:p>
    <w:p w14:paraId="652E9735" w14:textId="77777777" w:rsidR="00E97402" w:rsidRDefault="00E97402">
      <w:pPr>
        <w:pStyle w:val="Ttulo1"/>
      </w:pPr>
      <w:r>
        <w:t>Helpful Hints</w:t>
      </w:r>
    </w:p>
    <w:p w14:paraId="476BC09E" w14:textId="77777777" w:rsidR="00E97402" w:rsidRDefault="00E97402">
      <w:pPr>
        <w:pStyle w:val="Ttulo2"/>
      </w:pPr>
      <w:r>
        <w:t>Figures and Tables</w:t>
      </w:r>
    </w:p>
    <w:p w14:paraId="0BC94A9D" w14:textId="77777777" w:rsidR="00E97402" w:rsidRDefault="00E97402">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401B03" w14:textId="77777777" w:rsidR="00DF2DDE" w:rsidRDefault="00E97402" w:rsidP="00DF2DDE">
      <w:pPr>
        <w:pStyle w:val="Text"/>
        <w:rPr>
          <w:b/>
        </w:rPr>
      </w:pPr>
      <w:r>
        <w:t xml:space="preserve">Color printing of figures is </w:t>
      </w:r>
      <w:proofErr w:type="gramStart"/>
      <w:r>
        <w:t>available, but</w:t>
      </w:r>
      <w:proofErr w:type="gramEnd"/>
      <w:r>
        <w:t xml:space="preserve"> is billed to the authors. Include a note with your final paper indicating that you </w:t>
      </w:r>
      <w:r>
        <w:t xml:space="preserve">request and will pay for color printing. </w:t>
      </w:r>
      <w:r w:rsidRPr="002E15D6">
        <w:rPr>
          <w:bCs/>
        </w:rPr>
        <w:t>Do not use color unless it is necessary for the proper interpretation of your figures.</w:t>
      </w:r>
      <w:r>
        <w:t xml:space="preserve"> If you want reprints of your color article, the reprint order should be submitted promptly. There is an additional </w:t>
      </w:r>
      <w:r w:rsidR="00144E72">
        <w:t xml:space="preserve">charge </w:t>
      </w:r>
      <w:r>
        <w:t xml:space="preserve">for color reprints. </w:t>
      </w:r>
      <w:r w:rsidRPr="002E15D6">
        <w:rPr>
          <w:b/>
        </w:rPr>
        <w:t>Please note that m</w:t>
      </w:r>
      <w:r w:rsidR="00DF2DDE">
        <w:rPr>
          <w:b/>
        </w:rPr>
        <w:t>any</w:t>
      </w:r>
      <w:r w:rsidRPr="002E15D6">
        <w:rPr>
          <w:b/>
        </w:rPr>
        <w:t xml:space="preserve"> </w:t>
      </w:r>
      <w:r>
        <w:rPr>
          <w:b/>
        </w:rPr>
        <w:t xml:space="preserve">IEEE </w:t>
      </w:r>
      <w:r w:rsidRPr="002E15D6">
        <w:rPr>
          <w:b/>
        </w:rPr>
        <w:t xml:space="preserve">journals now allow </w:t>
      </w:r>
      <w:r w:rsidR="00DF2DDE">
        <w:rPr>
          <w:b/>
        </w:rPr>
        <w:t>an</w:t>
      </w:r>
      <w:r w:rsidRPr="002E15D6">
        <w:rPr>
          <w:b/>
        </w:rPr>
        <w:t xml:space="preserve"> author to </w:t>
      </w:r>
      <w:r w:rsidR="00DF2DDE">
        <w:rPr>
          <w:b/>
        </w:rPr>
        <w:t>publish</w:t>
      </w:r>
      <w:r w:rsidRPr="002E15D6">
        <w:rPr>
          <w:b/>
        </w:rPr>
        <w:t xml:space="preserve"> color figures on Xplore and black and white figures in print.</w:t>
      </w:r>
      <w:r w:rsidR="00144E72">
        <w:rPr>
          <w:b/>
        </w:rPr>
        <w:t xml:space="preserve"> Contact your society representative f</w:t>
      </w:r>
      <w:r w:rsidR="00D758C6">
        <w:rPr>
          <w:b/>
        </w:rPr>
        <w:t>or</w:t>
      </w:r>
      <w:r w:rsidR="00144E72">
        <w:rPr>
          <w:b/>
        </w:rPr>
        <w:t xml:space="preserve"> specific requirements.</w:t>
      </w:r>
    </w:p>
    <w:p w14:paraId="6A5921D9" w14:textId="77777777"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w14:anchorId="3D280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r:pict="rId9" o:title=""/>
          </v:shape>
          <o:OLEObject Type="Embed" ProgID="Unknown" ShapeID="_x0000_i1025" DrawAspect="Content" ObjectID="_1622045682" r:id="rId10"/>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787460EA" w14:textId="77777777"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w:t>
      </w:r>
      <w:proofErr w:type="gramStart"/>
      <w:r>
        <w:t>12 point</w:t>
      </w:r>
      <w:proofErr w:type="gramEnd"/>
      <w:r>
        <w:t xml:space="preserve"> type.</w:t>
      </w:r>
    </w:p>
    <w:p w14:paraId="23B6DE1B" w14:textId="77777777" w:rsidR="00E97402" w:rsidRDefault="00E97402">
      <w:pPr>
        <w:pStyle w:val="Ttulo2"/>
      </w:pPr>
      <w:r>
        <w:t>References</w:t>
      </w:r>
    </w:p>
    <w:p w14:paraId="39737745" w14:textId="77777777" w:rsidR="00E97402" w:rsidRDefault="00E97402">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1DB35428" w14:textId="77777777" w:rsidR="00E97402" w:rsidRDefault="00E97402">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03B03DF4" w14:textId="77777777"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14:paraId="1B456EB1" w14:textId="77777777"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14:paraId="51B446DB" w14:textId="77777777" w:rsidR="00E97402" w:rsidRDefault="00E97402">
      <w:pPr>
        <w:pStyle w:val="Ttulo2"/>
      </w:pPr>
      <w:r>
        <w:lastRenderedPageBreak/>
        <w:t>Abbreviations and Acronyms</w:t>
      </w:r>
    </w:p>
    <w:p w14:paraId="0C0F0F23" w14:textId="77777777"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8C46172" w14:textId="77777777" w:rsidR="00E97402" w:rsidRDefault="00E97402">
      <w:pPr>
        <w:pStyle w:val="Ttulo2"/>
      </w:pPr>
      <w:r>
        <w:t>Equations</w:t>
      </w:r>
    </w:p>
    <w:p w14:paraId="60DB20F0" w14:textId="77777777" w:rsidR="00E97402" w:rsidRDefault="00E97402">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518B7ED0" w14:textId="77777777" w:rsidR="00E97402" w:rsidRDefault="00E97402">
      <w:pPr>
        <w:pStyle w:val="Text"/>
      </w:pPr>
    </w:p>
    <w:p w14:paraId="6F8CD36B" w14:textId="77777777" w:rsidR="00E97402" w:rsidRDefault="00E97402">
      <w:pPr>
        <w:pStyle w:val="Equation"/>
      </w:pPr>
      <w:r>
        <w:rPr>
          <w:position w:val="-50"/>
        </w:rPr>
        <w:object w:dxaOrig="4940" w:dyaOrig="1120" w14:anchorId="435B3EED">
          <v:shape id="_x0000_i1026" type="#_x0000_t75" style="width:225pt;height:45.75pt" o:ole="" fillcolor="window">
            <v:imagedata r:id="rId11" r:pict="rId12" o:title=""/>
          </v:shape>
          <o:OLEObject Type="Embed" ProgID="Unknown" ShapeID="_x0000_i1026" DrawAspect="Content" ObjectID="_1622045683" r:id="rId13"/>
        </w:object>
      </w:r>
      <w:r>
        <w:tab/>
        <w:t>(1)</w:t>
      </w:r>
    </w:p>
    <w:p w14:paraId="08979241" w14:textId="77777777" w:rsidR="00E97402" w:rsidRDefault="00E97402"/>
    <w:p w14:paraId="39D28E1F" w14:textId="77777777"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5DA3122D" w14:textId="77777777" w:rsidR="00E97402" w:rsidRDefault="00E97402">
      <w:pPr>
        <w:pStyle w:val="Ttulo2"/>
      </w:pPr>
      <w:r>
        <w:t>Other Recommendations</w:t>
      </w:r>
    </w:p>
    <w:p w14:paraId="53FD3D29" w14:textId="77777777"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35202E8E" w14:textId="77777777"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“webers/m</w:t>
      </w:r>
      <w:r>
        <w:rPr>
          <w:vertAlign w:val="superscript"/>
        </w:rPr>
        <w:t>2</w:t>
      </w:r>
      <w:r>
        <w:t>.” When expressing a range of values, write “7 to 9” or “7-9,” not “7~9.”</w:t>
      </w:r>
    </w:p>
    <w:p w14:paraId="2EA6BD34" w14:textId="77777777"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DB52F88" w14:textId="77777777" w:rsidR="00E97402" w:rsidRDefault="00E97402">
      <w:pPr>
        <w:pStyle w:val="Text"/>
      </w:pPr>
      <w:r>
        <w:t xml:space="preserve">If you wish, you may write in the first person singular or plural and use the active voice (“I observed that ...” or “We observed that ...” instead of “It was observed that ...”). Remember to check spelling. If your native language is not </w:t>
      </w:r>
      <w:r>
        <w:t>English, please get a native English-speaking colleague to carefully proofread y</w:t>
      </w:r>
      <w:r w:rsidR="002434A1">
        <w:t>our paper.</w:t>
      </w:r>
    </w:p>
    <w:p w14:paraId="3AED64B9" w14:textId="77777777" w:rsidR="00E97402" w:rsidRDefault="00E97402">
      <w:pPr>
        <w:pStyle w:val="Ttulo1"/>
      </w:pPr>
      <w:r>
        <w:t>Some Common Mistakes</w:t>
      </w:r>
    </w:p>
    <w:p w14:paraId="403DF1C3" w14:textId="77777777"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2370968A" w14:textId="77777777"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314BF7A9" w14:textId="77777777"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4A68EBD4" w14:textId="77777777" w:rsidR="00E97402" w:rsidRPr="00717AE1" w:rsidRDefault="00E97402">
      <w:pPr>
        <w:pStyle w:val="Text"/>
      </w:pPr>
      <w:r>
        <w:t xml:space="preserve">An excellent style manual and source of information for science writers is [9]. A general IEEE style guide and an </w:t>
      </w:r>
      <w:r>
        <w:rPr>
          <w:i/>
          <w:iCs/>
        </w:rPr>
        <w:t>Information for Authors</w:t>
      </w:r>
      <w:r>
        <w:rPr>
          <w:i/>
          <w:iCs/>
        </w:rPr>
        <w:t xml:space="preserve"> </w:t>
      </w:r>
      <w:r w:rsidRPr="00717AE1">
        <w:rPr>
          <w:iCs/>
        </w:rPr>
        <w:t>are both</w:t>
      </w:r>
      <w:r>
        <w:t xml:space="preserve"> available a</w:t>
      </w:r>
      <w:r>
        <w:t xml:space="preserve">t </w:t>
      </w:r>
      <w:hyperlink r:id="rId14" w:history="1">
        <w:r w:rsidRPr="00625E96">
          <w:rPr>
            <w:rStyle w:val="Hipervnculo"/>
            <w:sz w:val="18"/>
          </w:rPr>
          <w:t>http://www.ieee.org/web/publications/authors/transjnl/index.html</w:t>
        </w:r>
      </w:hyperlink>
    </w:p>
    <w:p w14:paraId="362C1143" w14:textId="77777777" w:rsidR="00E97402" w:rsidRDefault="00E97402">
      <w:pPr>
        <w:pStyle w:val="Text"/>
        <w:ind w:firstLine="0"/>
      </w:pPr>
    </w:p>
    <w:p w14:paraId="539F0ABC" w14:textId="77777777" w:rsidR="00E97402" w:rsidRDefault="00E97402">
      <w:pPr>
        <w:pStyle w:val="Ttulo1"/>
      </w:pPr>
      <w:r>
        <w:t>Editorial Policy</w:t>
      </w:r>
    </w:p>
    <w:p w14:paraId="176BAE82" w14:textId="77777777" w:rsidR="00E97402" w:rsidRDefault="00E97402">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14:paraId="19126D66" w14:textId="77777777" w:rsidR="00E97402" w:rsidRDefault="00E97402">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14:paraId="72FB900F" w14:textId="77777777" w:rsidR="00E97402" w:rsidRDefault="00E97402">
      <w:pPr>
        <w:pStyle w:val="Text"/>
      </w:pPr>
      <w:r>
        <w:lastRenderedPageBreak/>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14:paraId="37D27D85" w14:textId="77777777" w:rsidR="00E97402" w:rsidRDefault="00E97402">
      <w:pPr>
        <w:pStyle w:val="Text"/>
      </w:pPr>
    </w:p>
    <w:p w14:paraId="21262AB7" w14:textId="77777777" w:rsidR="00E97402" w:rsidRDefault="00E97402">
      <w:pPr>
        <w:pStyle w:val="Ttulo1"/>
      </w:pPr>
      <w:r>
        <w:t>Publication Principles</w:t>
      </w:r>
    </w:p>
    <w:p w14:paraId="50416853" w14:textId="77777777" w:rsidR="00E97402" w:rsidRDefault="00E97402">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w:t>
      </w:r>
      <w:proofErr w:type="gramStart"/>
      <w:r>
        <w:t>publishes</w:t>
      </w:r>
      <w:proofErr w:type="gramEnd"/>
      <w:r>
        <w:t xml:space="preserve"> scholarly articles of archival value as well as tutorial expositions and critical reviews of classical subjects and topics of current interest. </w:t>
      </w:r>
    </w:p>
    <w:p w14:paraId="784C1AAE" w14:textId="77777777" w:rsidR="00E97402" w:rsidRDefault="00E97402">
      <w:pPr>
        <w:pStyle w:val="Text"/>
      </w:pPr>
      <w:r>
        <w:t>Authors should consider the following points:</w:t>
      </w:r>
    </w:p>
    <w:p w14:paraId="1AA87FF2" w14:textId="77777777" w:rsidR="00E97402" w:rsidRDefault="00E97402">
      <w:pPr>
        <w:pStyle w:val="Text"/>
        <w:numPr>
          <w:ilvl w:val="0"/>
          <w:numId w:val="18"/>
        </w:numPr>
      </w:pPr>
      <w:r>
        <w:t xml:space="preserve">Technical papers submitted for publication must advance the state of knowledge and must cite relevant prior work. </w:t>
      </w:r>
    </w:p>
    <w:p w14:paraId="4D412EC5" w14:textId="77777777" w:rsidR="00E97402" w:rsidRDefault="00E97402">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AC1CD2" w14:textId="77777777" w:rsidR="00E97402" w:rsidRDefault="00E97402">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5DDA9BA6" w14:textId="77777777" w:rsidR="00E97402" w:rsidRDefault="00E97402">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w:t>
      </w:r>
      <w:r w:rsidR="00625E96">
        <w:t>mation. For example, a specimen’</w:t>
      </w:r>
      <w:r>
        <w:t>s chemical composition need not be reported if the main purpose of a paper is to introduce a new measurement technique. Authors should expect to be challenged by reviewers if the results are not supported by adequate data and critical details.</w:t>
      </w:r>
    </w:p>
    <w:p w14:paraId="269216B5" w14:textId="77777777" w:rsidR="00E97402" w:rsidRDefault="00E97402">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14:paraId="4D7DEAB4" w14:textId="77777777" w:rsidR="00E97402" w:rsidRDefault="00E97402">
      <w:pPr>
        <w:pStyle w:val="Text"/>
        <w:ind w:firstLine="0"/>
      </w:pPr>
    </w:p>
    <w:p w14:paraId="72A1EA22" w14:textId="77777777" w:rsidR="00E97402" w:rsidRDefault="00E97402">
      <w:pPr>
        <w:pStyle w:val="Ttulo1"/>
      </w:pPr>
      <w:r>
        <w:t>Conclusion</w:t>
      </w:r>
    </w:p>
    <w:p w14:paraId="48A00606" w14:textId="77777777" w:rsidR="00E97402" w:rsidRDefault="00E97402">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E13EEC5" w14:textId="77777777" w:rsidR="00E97402" w:rsidRDefault="00E97402">
      <w:pPr>
        <w:pStyle w:val="ReferenceHead"/>
      </w:pPr>
      <w:r>
        <w:t>Appendix</w:t>
      </w:r>
    </w:p>
    <w:p w14:paraId="1DBBC633" w14:textId="77777777" w:rsidR="00E97402" w:rsidRDefault="00E97402">
      <w:pPr>
        <w:pStyle w:val="Text"/>
      </w:pPr>
      <w:r>
        <w:t>Appendixes, if needed, appear before the acknowledgment.</w:t>
      </w:r>
    </w:p>
    <w:p w14:paraId="47AF42B5" w14:textId="77777777" w:rsidR="00E97402" w:rsidRDefault="00E97402">
      <w:pPr>
        <w:pStyle w:val="ReferenceHead"/>
      </w:pPr>
      <w:r>
        <w:t>Acknowledgment</w:t>
      </w:r>
    </w:p>
    <w:p w14:paraId="299EEBBA" w14:textId="77777777" w:rsidR="00E97402" w:rsidRDefault="00E97402">
      <w:pPr>
        <w:pStyle w:val="Text"/>
      </w:pPr>
      <w:r>
        <w:t xml:space="preserve">The preferred spelling of the word “acknowledgment” in </w:t>
      </w:r>
      <w:r>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14:paraId="50C60D78" w14:textId="77777777" w:rsidR="00E97402" w:rsidRDefault="00E97402">
      <w:pPr>
        <w:pStyle w:val="ReferenceHead"/>
      </w:pPr>
      <w:r>
        <w:t>References</w:t>
      </w:r>
    </w:p>
    <w:p w14:paraId="58FF98B2" w14:textId="213411A6" w:rsidR="00E97402" w:rsidRDefault="002B24F0">
      <w:pPr>
        <w:numPr>
          <w:ilvl w:val="0"/>
          <w:numId w:val="19"/>
        </w:numPr>
        <w:rPr>
          <w:sz w:val="16"/>
          <w:szCs w:val="16"/>
        </w:rPr>
      </w:pPr>
      <w:r>
        <w:rPr>
          <w:sz w:val="16"/>
          <w:szCs w:val="16"/>
        </w:rPr>
        <w:t xml:space="preserve">P. </w:t>
      </w:r>
      <w:proofErr w:type="spellStart"/>
      <w:r>
        <w:rPr>
          <w:sz w:val="16"/>
          <w:szCs w:val="16"/>
        </w:rPr>
        <w:t>Brossier</w:t>
      </w:r>
      <w:proofErr w:type="spellEnd"/>
      <w:r w:rsidR="00E97402">
        <w:rPr>
          <w:sz w:val="16"/>
          <w:szCs w:val="16"/>
        </w:rPr>
        <w:t>,</w:t>
      </w:r>
      <w:r>
        <w:rPr>
          <w:sz w:val="16"/>
          <w:szCs w:val="16"/>
        </w:rPr>
        <w:t xml:space="preserve"> J. P. Bello, M. D. </w:t>
      </w:r>
      <w:proofErr w:type="spellStart"/>
      <w:r>
        <w:rPr>
          <w:sz w:val="16"/>
          <w:szCs w:val="16"/>
        </w:rPr>
        <w:t>Plumbley</w:t>
      </w:r>
      <w:proofErr w:type="spellEnd"/>
      <w:r w:rsidR="00E97402">
        <w:rPr>
          <w:sz w:val="16"/>
          <w:szCs w:val="16"/>
        </w:rPr>
        <w:t xml:space="preserve"> “Synthetic structure of industrial plastics (Book style with paper title and editor),” </w:t>
      </w:r>
      <w:r w:rsidR="00E97402">
        <w:rPr>
          <w:sz w:val="16"/>
          <w:szCs w:val="16"/>
        </w:rPr>
        <w:tab/>
        <w:t xml:space="preserve">in </w:t>
      </w:r>
      <w:r w:rsidR="00E97402">
        <w:rPr>
          <w:i/>
          <w:iCs/>
          <w:sz w:val="16"/>
          <w:szCs w:val="16"/>
        </w:rPr>
        <w:t>Plastics</w:t>
      </w:r>
      <w:r w:rsidR="00E97402">
        <w:rPr>
          <w:sz w:val="16"/>
          <w:szCs w:val="16"/>
        </w:rPr>
        <w:t xml:space="preserve">, 2nd ed. vol. 3, J. Peters, Ed.  </w:t>
      </w:r>
      <w:smartTag w:uri="urn:schemas-microsoft-com:office:smarttags" w:element="State">
        <w:smartTag w:uri="urn:schemas-microsoft-com:office:smarttags" w:element="place">
          <w:r w:rsidR="00E97402">
            <w:rPr>
              <w:sz w:val="16"/>
              <w:szCs w:val="16"/>
            </w:rPr>
            <w:t>New York</w:t>
          </w:r>
        </w:smartTag>
      </w:smartTag>
      <w:r w:rsidR="00E97402">
        <w:rPr>
          <w:sz w:val="16"/>
          <w:szCs w:val="16"/>
        </w:rPr>
        <w:t>: McGraw-Hill, 1964, pp. 15–64.</w:t>
      </w:r>
    </w:p>
    <w:p w14:paraId="6091D847"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14:paraId="5623000C"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17C5A78D" w14:textId="77777777" w:rsidR="00E97402" w:rsidRDefault="00E97402">
      <w:pPr>
        <w:pStyle w:val="References"/>
        <w:numPr>
          <w:ilvl w:val="0"/>
          <w:numId w:val="19"/>
        </w:numPr>
      </w:pPr>
      <w:r>
        <w:t>B. Smith, “An approach to graphs of linear forms (Unpublished work style),” unpublished.</w:t>
      </w:r>
    </w:p>
    <w:p w14:paraId="14B981E0" w14:textId="77777777"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2BB823F3" w14:textId="77777777"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14:paraId="5247F63F" w14:textId="77777777" w:rsidR="00E97402" w:rsidRDefault="00E97402">
      <w:pPr>
        <w:pStyle w:val="References"/>
        <w:numPr>
          <w:ilvl w:val="0"/>
          <w:numId w:val="19"/>
        </w:numPr>
      </w:pPr>
      <w:r>
        <w:t>C. J. Kaufman, Rocky Mountain Research Lab., Boulder, CO, private communication, May 1995.</w:t>
      </w:r>
    </w:p>
    <w:p w14:paraId="2DBEA7FA" w14:textId="77777777"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country-region">
        <w:smartTag w:uri="urn:schemas-microsoft-com:office:smarttags" w:element="place">
          <w:r>
            <w:t>Japan</w:t>
          </w:r>
        </w:smartTag>
      </w:smartTag>
      <w:r>
        <w:t>, 1982, p. 301].</w:t>
      </w:r>
    </w:p>
    <w:p w14:paraId="063EFA8A" w14:textId="77777777" w:rsidR="00E97402" w:rsidRDefault="00E97402">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391E3602" w14:textId="77777777"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70AB534" w14:textId="77777777"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14:paraId="50D67ADC" w14:textId="77777777"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4F342423" w14:textId="77777777" w:rsidR="00E97402" w:rsidRDefault="00E97402">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14:paraId="1E5B20DE" w14:textId="77777777" w:rsidR="00E97402" w:rsidRDefault="00E97402">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2908A96F" w14:textId="77777777"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C58D76C" w14:textId="77777777" w:rsidR="00E97402" w:rsidRDefault="00E97402">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14:paraId="074D2ABF" w14:textId="77777777" w:rsidR="00E97402" w:rsidRDefault="00E97402">
      <w:pPr>
        <w:pStyle w:val="References"/>
        <w:numPr>
          <w:ilvl w:val="0"/>
          <w:numId w:val="19"/>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366D9311" w14:textId="77777777" w:rsidR="00E97402" w:rsidRDefault="00E97402">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24AFB710" w14:textId="77777777" w:rsidR="00E97402" w:rsidRDefault="00E97402">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040EAA05" w14:textId="77777777" w:rsidR="00E97402" w:rsidRDefault="00E97402">
      <w:pPr>
        <w:pStyle w:val="References"/>
        <w:numPr>
          <w:ilvl w:val="0"/>
          <w:numId w:val="19"/>
        </w:numPr>
      </w:pPr>
      <w:r>
        <w:t xml:space="preserve">J. P. Wilkinson, “Nonlinear resonant circuit devices (Patent style),” U.S. Patent 3 624 12, July 16, 1990. </w:t>
      </w:r>
    </w:p>
    <w:p w14:paraId="419D470D" w14:textId="77777777"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49BB9144" w14:textId="77777777" w:rsidR="00E97402" w:rsidRDefault="00E97402">
      <w:pPr>
        <w:pStyle w:val="References"/>
        <w:numPr>
          <w:ilvl w:val="0"/>
          <w:numId w:val="19"/>
        </w:numPr>
      </w:pPr>
      <w:r>
        <w:rPr>
          <w:i/>
          <w:iCs/>
        </w:rPr>
        <w:t>Letter Symbols for Quantities</w:t>
      </w:r>
      <w:r>
        <w:t>, ANSI Standard Y10.5-1968.</w:t>
      </w:r>
    </w:p>
    <w:p w14:paraId="3BC0CBD9" w14:textId="77777777" w:rsidR="00E97402" w:rsidRDefault="00E97402">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6E591E1E" w14:textId="77777777" w:rsidR="00E97402" w:rsidRDefault="00E97402">
      <w:pPr>
        <w:pStyle w:val="References"/>
        <w:numPr>
          <w:ilvl w:val="0"/>
          <w:numId w:val="19"/>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6BE56061" w14:textId="77777777" w:rsidR="00E97402" w:rsidRDefault="00E97402">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59AF5043" w14:textId="77777777" w:rsidR="00E97402" w:rsidRDefault="00E97402">
      <w:pPr>
        <w:pStyle w:val="References"/>
        <w:numPr>
          <w:ilvl w:val="0"/>
          <w:numId w:val="19"/>
        </w:numPr>
      </w:pPr>
      <w:r>
        <w:lastRenderedPageBreak/>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35A71141" w14:textId="77777777"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15" w:history="1">
        <w:r>
          <w:rPr>
            <w:rStyle w:val="Hipervnculo"/>
          </w:rPr>
          <w:t>http://www.(URL</w:t>
        </w:r>
      </w:hyperlink>
      <w:r>
        <w:t>)</w:t>
      </w:r>
    </w:p>
    <w:p w14:paraId="654DA834" w14:textId="77777777" w:rsidR="00E97402" w:rsidRDefault="00E97402">
      <w:pPr>
        <w:pStyle w:val="References"/>
        <w:numPr>
          <w:ilvl w:val="0"/>
          <w:numId w:val="19"/>
        </w:numPr>
      </w:pPr>
      <w:r>
        <w:t xml:space="preserve">J. Jones. (1991, May 10). Networks (2nd ed.) [Online]. Available: </w:t>
      </w:r>
      <w:hyperlink r:id="rId16" w:history="1">
        <w:r>
          <w:rPr>
            <w:rStyle w:val="Hipervnculo"/>
          </w:rPr>
          <w:t>http://www.atm.com</w:t>
        </w:r>
      </w:hyperlink>
    </w:p>
    <w:p w14:paraId="6F3AB891" w14:textId="77777777"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17" w:history="1">
        <w:r>
          <w:rPr>
            <w:rStyle w:val="Hipervnculo"/>
          </w:rPr>
          <w:t>http://www.(URL</w:t>
        </w:r>
      </w:hyperlink>
      <w:r>
        <w:t>)</w:t>
      </w:r>
    </w:p>
    <w:p w14:paraId="3AC77F2C" w14:textId="77777777"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14:paraId="1266956D" w14:textId="77777777" w:rsidR="00E97402" w:rsidRDefault="00E97402">
      <w:pPr>
        <w:pStyle w:val="FigureCaption"/>
        <w:rPr>
          <w:b/>
          <w:bCs/>
        </w:rPr>
      </w:pPr>
    </w:p>
    <w:p w14:paraId="047F334B" w14:textId="77777777" w:rsidR="00E97402" w:rsidRDefault="00E97402">
      <w:pPr>
        <w:pStyle w:val="FigureCaption"/>
        <w:rPr>
          <w:b/>
          <w:bCs/>
        </w:rPr>
      </w:pPr>
    </w:p>
    <w:p w14:paraId="1EDF7CAB" w14:textId="77777777" w:rsidR="00E97402" w:rsidRDefault="00E97402">
      <w:pPr>
        <w:pStyle w:val="FigureCaption"/>
        <w:rPr>
          <w:b/>
          <w:bCs/>
        </w:rPr>
      </w:pPr>
    </w:p>
    <w:p w14:paraId="7EBE7D57" w14:textId="77777777" w:rsidR="00E97402" w:rsidRDefault="00E97402">
      <w:pPr>
        <w:pStyle w:val="FigureCaption"/>
        <w:rPr>
          <w:b/>
          <w:bCs/>
        </w:rPr>
      </w:pPr>
    </w:p>
    <w:p w14:paraId="6CDB6EE9" w14:textId="77777777" w:rsidR="00E97402" w:rsidRDefault="00E97402">
      <w:pPr>
        <w:pStyle w:val="FigureCaption"/>
        <w:rPr>
          <w:b/>
          <w:bCs/>
        </w:rPr>
      </w:pPr>
    </w:p>
    <w:p w14:paraId="393AC7AC" w14:textId="77777777"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14:paraId="1F0AE209" w14:textId="77777777" w:rsidR="00E97402" w:rsidRDefault="00E97402">
      <w:pPr>
        <w:pStyle w:val="FigureCaption"/>
      </w:pPr>
      <w:r>
        <w:tab/>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t>similar to</w:t>
      </w:r>
      <w:proofErr w:type="gramEnd"/>
      <w:r>
        <w:t xml:space="preserve"> a reference. Current and previous research interests end the paragraph.</w:t>
      </w:r>
    </w:p>
    <w:p w14:paraId="7F8E30DB" w14:textId="77777777" w:rsidR="00E97402" w:rsidRDefault="00E97402">
      <w:pPr>
        <w:pStyle w:val="FigureCaption"/>
      </w:pPr>
      <w:r>
        <w:tab/>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21CB" w14:textId="77777777" w:rsidR="008370EE" w:rsidRDefault="008370EE">
      <w:r>
        <w:separator/>
      </w:r>
    </w:p>
  </w:endnote>
  <w:endnote w:type="continuationSeparator" w:id="0">
    <w:p w14:paraId="068F20EC" w14:textId="77777777" w:rsidR="008370EE" w:rsidRDefault="0083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0901A" w14:textId="77777777" w:rsidR="008370EE" w:rsidRDefault="008370EE"/>
  </w:footnote>
  <w:footnote w:type="continuationSeparator" w:id="0">
    <w:p w14:paraId="4A58D2AD" w14:textId="77777777" w:rsidR="008370EE" w:rsidRDefault="008370EE">
      <w:r>
        <w:continuationSeparator/>
      </w:r>
    </w:p>
  </w:footnote>
  <w:footnote w:id="1">
    <w:p w14:paraId="4542CBE7" w14:textId="77777777" w:rsidR="00C21F52" w:rsidRDefault="00C21F52">
      <w:pPr>
        <w:pStyle w:val="Textonotapie"/>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t>field, but</w:t>
      </w:r>
      <w:proofErr w:type="gramEnd"/>
      <w:r>
        <w:t xml:space="preserve"> are not required. Put a space between authors’ initials. </w:t>
      </w:r>
    </w:p>
    <w:p w14:paraId="2E953629" w14:textId="77777777" w:rsidR="00C21F52" w:rsidRDefault="00C21F52">
      <w:pPr>
        <w:pStyle w:val="Textonotapie"/>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14:paraId="2D4B832F" w14:textId="77777777" w:rsidR="00C21F52" w:rsidRDefault="00C21F52">
      <w:pPr>
        <w:pStyle w:val="Textonotapie"/>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author@lamar.colostate.edu).</w:t>
      </w:r>
    </w:p>
    <w:p w14:paraId="44F47612" w14:textId="77777777" w:rsidR="00C21F52" w:rsidRDefault="00C21F52">
      <w:pPr>
        <w:pStyle w:val="Textonotapie"/>
      </w:pPr>
      <w:r>
        <w:t>T. C. Author is with the Electrical Engineering Department, University of Colorado, Boulder, CO 80309 USA, on leave from the National Research Institute for Metals, Tsukuba, Japan (e-mail: author@nrim.go.jp).</w:t>
      </w:r>
    </w:p>
  </w:footnote>
  <w:footnote w:id="2">
    <w:p w14:paraId="71625BC4" w14:textId="77777777" w:rsidR="00C21F52" w:rsidRDefault="00C21F52">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91085" w14:textId="77777777" w:rsidR="00C21F52" w:rsidRDefault="00C21F52">
    <w:pPr>
      <w:framePr w:wrap="auto" w:vAnchor="text" w:hAnchor="margin" w:xAlign="right" w:y="1"/>
    </w:pPr>
    <w:r>
      <w:fldChar w:fldCharType="begin"/>
    </w:r>
    <w:r>
      <w:instrText xml:space="preserve">PAGE  </w:instrText>
    </w:r>
    <w:r>
      <w:fldChar w:fldCharType="separate"/>
    </w:r>
    <w:r>
      <w:rPr>
        <w:noProof/>
      </w:rPr>
      <w:t>6</w:t>
    </w:r>
    <w:r>
      <w:fldChar w:fldCharType="end"/>
    </w:r>
  </w:p>
  <w:p w14:paraId="51BBA0D9" w14:textId="77777777" w:rsidR="00C21F52" w:rsidRDefault="00C21F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72190"/>
    <w:rsid w:val="00144E72"/>
    <w:rsid w:val="001B6A3B"/>
    <w:rsid w:val="002434A1"/>
    <w:rsid w:val="002B24F0"/>
    <w:rsid w:val="002F2BC3"/>
    <w:rsid w:val="00300CD9"/>
    <w:rsid w:val="00312F4D"/>
    <w:rsid w:val="00315FC3"/>
    <w:rsid w:val="003363BF"/>
    <w:rsid w:val="00360269"/>
    <w:rsid w:val="0043144F"/>
    <w:rsid w:val="00431BFA"/>
    <w:rsid w:val="004631BC"/>
    <w:rsid w:val="004950A7"/>
    <w:rsid w:val="004C1E16"/>
    <w:rsid w:val="00537AD9"/>
    <w:rsid w:val="00590D3E"/>
    <w:rsid w:val="005978CC"/>
    <w:rsid w:val="005A2A15"/>
    <w:rsid w:val="005C797E"/>
    <w:rsid w:val="00625E96"/>
    <w:rsid w:val="00760C97"/>
    <w:rsid w:val="007C4336"/>
    <w:rsid w:val="007E2C7B"/>
    <w:rsid w:val="008370EE"/>
    <w:rsid w:val="0087792E"/>
    <w:rsid w:val="009B21EB"/>
    <w:rsid w:val="009E2DD8"/>
    <w:rsid w:val="00A75498"/>
    <w:rsid w:val="00A817D2"/>
    <w:rsid w:val="00AA01F9"/>
    <w:rsid w:val="00AB43F4"/>
    <w:rsid w:val="00AE56A9"/>
    <w:rsid w:val="00BD594F"/>
    <w:rsid w:val="00C0518C"/>
    <w:rsid w:val="00C21F52"/>
    <w:rsid w:val="00CB4B8D"/>
    <w:rsid w:val="00CC7357"/>
    <w:rsid w:val="00D3531F"/>
    <w:rsid w:val="00D373D6"/>
    <w:rsid w:val="00D56935"/>
    <w:rsid w:val="00D758C6"/>
    <w:rsid w:val="00DF2DDE"/>
    <w:rsid w:val="00E50DF6"/>
    <w:rsid w:val="00E97402"/>
    <w:rsid w:val="00F13921"/>
    <w:rsid w:val="00F65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ostalCode"/>
  <w:shapeDefaults>
    <o:shapedefaults v:ext="edit" spidmax="1026"/>
    <o:shapelayout v:ext="edit">
      <o:idmap v:ext="edit" data="1"/>
    </o:shapelayout>
  </w:shapeDefaults>
  <w:decimalSymbol w:val=","/>
  <w:listSeparator w:val=";"/>
  <w14:docId w14:val="6E4A8D9F"/>
  <w15:chartTrackingRefBased/>
  <w15:docId w15:val="{1811A2EC-1D5E-4CF1-9F1D-CB0E935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5978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cz"/><Relationship Id="rId17" Type="http://schemas.openxmlformats.org/officeDocument/2006/relationships/hyperlink" Target="http://www.(URL" TargetMode="External"/><Relationship Id="rId2" Type="http://schemas.openxmlformats.org/officeDocument/2006/relationships/numbering" Target="numbering.xml"/><Relationship Id="rId16" Type="http://schemas.openxmlformats.org/officeDocument/2006/relationships/hyperlink" Target="http://www.at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www.(URL"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cz"/><Relationship Id="rId14" Type="http://schemas.openxmlformats.org/officeDocument/2006/relationships/hyperlink" Target="http://www.ieee.org/web/publications/authors/transjnl/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955D-0CCA-45A0-B5F5-69DAD72B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4509</Words>
  <Characters>24804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29255</CharactersWithSpaces>
  <SharedDoc>false</SharedDoc>
  <HLinks>
    <vt:vector size="60" baseType="variant">
      <vt:variant>
        <vt:i4>6160457</vt:i4>
      </vt:variant>
      <vt:variant>
        <vt:i4>33</vt:i4>
      </vt:variant>
      <vt:variant>
        <vt:i4>0</vt:i4>
      </vt:variant>
      <vt:variant>
        <vt:i4>5</vt:i4>
      </vt:variant>
      <vt:variant>
        <vt:lpwstr>http://www.(url/</vt:lpwstr>
      </vt:variant>
      <vt:variant>
        <vt:lpwstr/>
      </vt:variant>
      <vt:variant>
        <vt:i4>2687077</vt:i4>
      </vt:variant>
      <vt:variant>
        <vt:i4>30</vt:i4>
      </vt:variant>
      <vt:variant>
        <vt:i4>0</vt:i4>
      </vt:variant>
      <vt:variant>
        <vt:i4>5</vt:i4>
      </vt:variant>
      <vt:variant>
        <vt:lpwstr>http://www.atm.com/</vt:lpwstr>
      </vt:variant>
      <vt:variant>
        <vt:lpwstr/>
      </vt:variant>
      <vt:variant>
        <vt:i4>6160457</vt:i4>
      </vt:variant>
      <vt:variant>
        <vt:i4>27</vt:i4>
      </vt:variant>
      <vt:variant>
        <vt:i4>0</vt:i4>
      </vt:variant>
      <vt:variant>
        <vt:i4>5</vt:i4>
      </vt:variant>
      <vt:variant>
        <vt:lpwstr>http://www.(url/</vt:lpwstr>
      </vt:variant>
      <vt:variant>
        <vt:lpwstr/>
      </vt:variant>
      <vt:variant>
        <vt:i4>2031701</vt:i4>
      </vt:variant>
      <vt:variant>
        <vt:i4>24</vt:i4>
      </vt:variant>
      <vt:variant>
        <vt:i4>0</vt:i4>
      </vt:variant>
      <vt:variant>
        <vt:i4>5</vt:i4>
      </vt:variant>
      <vt:variant>
        <vt:lpwstr>http://www.ieee.org/web/publications/authors/transjnl/index.html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2031701</vt:i4>
      </vt:variant>
      <vt:variant>
        <vt:i4>0</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Malena Galié</cp:lastModifiedBy>
  <cp:revision>9</cp:revision>
  <cp:lastPrinted>2007-05-08T11:48:00Z</cp:lastPrinted>
  <dcterms:created xsi:type="dcterms:W3CDTF">2019-06-14T19:29:00Z</dcterms:created>
  <dcterms:modified xsi:type="dcterms:W3CDTF">2019-06-14T22:28:00Z</dcterms:modified>
</cp:coreProperties>
</file>