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E179" w14:textId="58B9C5D5" w:rsidR="00806098" w:rsidRDefault="00806098" w:rsidP="00286B6F">
      <w:r>
        <w:t>Референсы:</w:t>
      </w:r>
    </w:p>
    <w:p w14:paraId="69E76E7E" w14:textId="1C5EF840" w:rsidR="00806098" w:rsidRDefault="00806098" w:rsidP="00806098">
      <w:pPr>
        <w:pStyle w:val="af0"/>
        <w:numPr>
          <w:ilvl w:val="0"/>
          <w:numId w:val="2"/>
        </w:numPr>
      </w:pPr>
      <w:r>
        <w:t xml:space="preserve">Трёзвенный сумматор: </w:t>
      </w:r>
      <w:hyperlink r:id="rId5" w:history="1">
        <w:r w:rsidRPr="00DB7306">
          <w:rPr>
            <w:rStyle w:val="af1"/>
          </w:rPr>
          <w:t>https://www.mdpi.com/2079-9292/10/19/2332</w:t>
        </w:r>
      </w:hyperlink>
      <w:r>
        <w:t xml:space="preserve"> </w:t>
      </w:r>
    </w:p>
    <w:p w14:paraId="57722966" w14:textId="0B245FCB" w:rsidR="00806098" w:rsidRDefault="00806098" w:rsidP="00806098">
      <w:pPr>
        <w:pStyle w:val="af0"/>
        <w:numPr>
          <w:ilvl w:val="0"/>
          <w:numId w:val="2"/>
        </w:numPr>
      </w:pPr>
      <w:r>
        <w:t xml:space="preserve">Мультисекционная линия: </w:t>
      </w:r>
      <w:hyperlink r:id="rId6" w:history="1">
        <w:r w:rsidRPr="00DB7306">
          <w:rPr>
            <w:rStyle w:val="af1"/>
          </w:rPr>
          <w:t>https://ieeexplore.ieee.org/abstract/document/7556295</w:t>
        </w:r>
      </w:hyperlink>
      <w:r>
        <w:t xml:space="preserve"> </w:t>
      </w:r>
    </w:p>
    <w:p w14:paraId="5D48A480" w14:textId="77777777" w:rsidR="00806098" w:rsidRDefault="00806098" w:rsidP="00286B6F"/>
    <w:p w14:paraId="085FC433" w14:textId="4449C649" w:rsidR="009D2ADD" w:rsidRDefault="00286B6F" w:rsidP="00286B6F">
      <w:r w:rsidRPr="00286B6F">
        <w:t>Существует итерационный подход к получению параметров трёхсекционного сумматора, опирающийся на аналитические выражения</w:t>
      </w:r>
      <w:r>
        <w:t xml:space="preserve"> </w:t>
      </w:r>
      <w:r w:rsidRPr="00286B6F">
        <w:t>[1]</w:t>
      </w:r>
      <w:r>
        <w:t>.</w:t>
      </w:r>
      <w:r w:rsidRPr="00286B6F">
        <w:t xml:space="preserve"> </w:t>
      </w:r>
      <w:r>
        <w:t xml:space="preserve">Также описанный подход опирается на двухдиапазонную концепцию, которая заключается в следующем: на рисунке 1, </w:t>
      </w:r>
    </w:p>
    <w:p w14:paraId="4A0D049E" w14:textId="77777777" w:rsidR="00286B6F" w:rsidRDefault="00286B6F" w:rsidP="00286B6F"/>
    <w:p w14:paraId="6E80F934" w14:textId="77777777" w:rsidR="00286B6F" w:rsidRDefault="00286B6F" w:rsidP="008F65E4">
      <w:pPr>
        <w:pStyle w:val="a3"/>
      </w:pPr>
      <w:r>
        <w:drawing>
          <wp:inline distT="0" distB="0" distL="0" distR="0" wp14:anchorId="12F79970" wp14:editId="34CCCFF8">
            <wp:extent cx="5940425" cy="1517015"/>
            <wp:effectExtent l="0" t="0" r="3175" b="6985"/>
            <wp:docPr id="652545017" name="Рисунок 1" descr="Изображение выглядит как линия, диаграмм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5017" name="Рисунок 1" descr="Изображение выглядит как линия, диаграмм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F83C" w14:textId="40B36A32" w:rsidR="00286B6F" w:rsidRDefault="00286B6F" w:rsidP="00286B6F">
      <w:pPr>
        <w:pStyle w:val="a7"/>
      </w:pPr>
      <w:commentRangeStart w:id="0"/>
      <w:r w:rsidRPr="00286B6F">
        <w:t xml:space="preserve">Рисунок </w:t>
      </w:r>
      <w:commentRangeEnd w:id="0"/>
      <w:r>
        <w:rPr>
          <w:rStyle w:val="a9"/>
        </w:rPr>
        <w:commentReference w:id="0"/>
      </w:r>
      <w:fldSimple w:instr=" SEQ Рисунок \* ARABIC ">
        <w:r w:rsidR="008F65E4">
          <w:rPr>
            <w:noProof/>
          </w:rPr>
          <w:t>1</w:t>
        </w:r>
      </w:fldSimple>
    </w:p>
    <w:p w14:paraId="620236D6" w14:textId="77777777" w:rsidR="00286B6F" w:rsidRDefault="00286B6F" w:rsidP="00286B6F">
      <w:pPr>
        <w:pStyle w:val="a7"/>
      </w:pPr>
    </w:p>
    <w:p w14:paraId="06A5D726" w14:textId="366391B2" w:rsidR="00286B6F" w:rsidRDefault="00286B6F" w:rsidP="00286B6F">
      <w:r>
        <w:t>использования этой концепции гарантирует, что полоса пропускания представляется через формулу</w:t>
      </w:r>
    </w:p>
    <w:p w14:paraId="399CE46D" w14:textId="77777777" w:rsidR="00286B6F" w:rsidRDefault="00286B6F" w:rsidP="00286B6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286B6F" w14:paraId="46CDD33B" w14:textId="77777777" w:rsidTr="00286B6F">
        <w:tc>
          <w:tcPr>
            <w:tcW w:w="8500" w:type="dxa"/>
          </w:tcPr>
          <w:p w14:paraId="5523CF4C" w14:textId="3AD27C9F" w:rsidR="00286B6F" w:rsidRPr="00286B6F" w:rsidRDefault="00031B7D" w:rsidP="00286B6F">
            <w:pPr>
              <w:ind w:firstLine="0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59D4765E" w14:textId="77777777" w:rsidR="00286B6F" w:rsidRDefault="00286B6F" w:rsidP="00286B6F">
            <w:pPr>
              <w:ind w:firstLine="0"/>
            </w:pPr>
          </w:p>
        </w:tc>
      </w:tr>
    </w:tbl>
    <w:p w14:paraId="7637913A" w14:textId="77777777" w:rsidR="00286B6F" w:rsidRDefault="00286B6F" w:rsidP="00286B6F"/>
    <w:p w14:paraId="522D93F7" w14:textId="71DD9570" w:rsidR="00286B6F" w:rsidRDefault="00286B6F" w:rsidP="00286B6F">
      <w:r>
        <w:t xml:space="preserve">где </w:t>
      </w:r>
      <w:r w:rsidR="004A59E0" w:rsidRPr="004A59E0">
        <w:rPr>
          <w:i/>
          <w:iCs/>
        </w:rPr>
        <w:t>2</w:t>
      </w:r>
      <w:r w:rsidRPr="00286B6F">
        <w:rPr>
          <w:i/>
          <w:iCs/>
          <w:lang w:val="en-US"/>
        </w:rPr>
        <w:t>f</w:t>
      </w:r>
      <w:r w:rsidRPr="00286B6F">
        <w:rPr>
          <w:i/>
          <w:iCs/>
          <w:vertAlign w:val="subscript"/>
          <w:lang w:val="en-US"/>
        </w:rPr>
        <w:t>ex</w:t>
      </w:r>
      <w:r w:rsidRPr="00286B6F">
        <w:rPr>
          <w:i/>
          <w:iCs/>
          <w:vertAlign w:val="subscript"/>
        </w:rPr>
        <w:t xml:space="preserve"> </w:t>
      </w:r>
      <w:r>
        <w:t>представляется как дополнительная полоса</w:t>
      </w:r>
      <w:r w:rsidR="004A59E0">
        <w:t xml:space="preserve"> для учитывания погрешностей элементов и вычислений. Такой подход часто используют в разработке, где минимальным требованием к полосе является (</w:t>
      </w:r>
      <w:r w:rsidR="004A59E0">
        <w:rPr>
          <w:lang w:val="en-US"/>
        </w:rPr>
        <w:t>f</w:t>
      </w:r>
      <w:r w:rsidR="004A59E0" w:rsidRPr="004A59E0">
        <w:rPr>
          <w:vertAlign w:val="subscript"/>
        </w:rPr>
        <w:t>2</w:t>
      </w:r>
      <w:r w:rsidR="004A59E0" w:rsidRPr="004A59E0">
        <w:t>-</w:t>
      </w:r>
      <w:r w:rsidR="004A59E0">
        <w:rPr>
          <w:lang w:val="en-US"/>
        </w:rPr>
        <w:t>f</w:t>
      </w:r>
      <w:r w:rsidR="004A59E0" w:rsidRPr="004A59E0">
        <w:rPr>
          <w:vertAlign w:val="subscript"/>
        </w:rPr>
        <w:t>1</w:t>
      </w:r>
      <w:r w:rsidR="004A59E0" w:rsidRPr="004A59E0">
        <w:t>)</w:t>
      </w:r>
      <w:r w:rsidR="004A59E0">
        <w:t xml:space="preserve">, но также остается запас </w:t>
      </w:r>
      <w:r w:rsidR="004A59E0" w:rsidRPr="004A59E0">
        <w:rPr>
          <w:i/>
          <w:iCs/>
        </w:rPr>
        <w:t>2</w:t>
      </w:r>
      <w:r w:rsidR="004A59E0" w:rsidRPr="00286B6F">
        <w:rPr>
          <w:i/>
          <w:iCs/>
          <w:lang w:val="en-US"/>
        </w:rPr>
        <w:t>f</w:t>
      </w:r>
      <w:r w:rsidR="004A59E0" w:rsidRPr="00286B6F">
        <w:rPr>
          <w:i/>
          <w:iCs/>
          <w:vertAlign w:val="subscript"/>
          <w:lang w:val="en-US"/>
        </w:rPr>
        <w:t>ex</w:t>
      </w:r>
      <w:r w:rsidR="004A59E0">
        <w:rPr>
          <w:i/>
          <w:iCs/>
        </w:rPr>
        <w:t xml:space="preserve"> </w:t>
      </w:r>
      <w:r w:rsidR="004A59E0" w:rsidRPr="004A59E0">
        <w:t>дл</w:t>
      </w:r>
      <w:r w:rsidR="004A59E0">
        <w:t>я обеспечения запаса и нивелирования различных ошибок и погрешностей проектирования.</w:t>
      </w:r>
    </w:p>
    <w:p w14:paraId="38FB4E84" w14:textId="77777777" w:rsidR="008F65E4" w:rsidRDefault="008F65E4" w:rsidP="008F65E4">
      <w:pPr>
        <w:pStyle w:val="a3"/>
      </w:pPr>
      <w:r w:rsidRPr="008F65E4">
        <w:lastRenderedPageBreak/>
        <w:drawing>
          <wp:inline distT="0" distB="0" distL="0" distR="0" wp14:anchorId="56E90258" wp14:editId="753602F2">
            <wp:extent cx="4148920" cy="1904379"/>
            <wp:effectExtent l="0" t="0" r="4445" b="635"/>
            <wp:docPr id="348657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20" cy="190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4249" w14:textId="65C1B230" w:rsidR="008F65E4" w:rsidRDefault="008F65E4" w:rsidP="008F65E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5DB593FB" w14:textId="5DC4E812" w:rsidR="004B76A5" w:rsidRDefault="004B76A5" w:rsidP="00286B6F">
      <w:r>
        <w:t>Здесь и далее будут использовать следующие термины и обозначения для описания сумматора и аналитических выражений для его описания.</w:t>
      </w:r>
    </w:p>
    <w:p w14:paraId="26886AF9" w14:textId="2E6BCB2A" w:rsidR="004B76A5" w:rsidRDefault="004B76A5" w:rsidP="004B76A5">
      <w:pPr>
        <w:pStyle w:val="af0"/>
        <w:numPr>
          <w:ilvl w:val="0"/>
          <w:numId w:val="1"/>
        </w:numPr>
      </w:pPr>
      <w:r>
        <w:rPr>
          <w:lang w:val="en-US"/>
        </w:rPr>
        <w:t>Z</w:t>
      </w:r>
      <w:r>
        <w:rPr>
          <w:vertAlign w:val="subscript"/>
          <w:lang w:val="en-US"/>
        </w:rPr>
        <w:t xml:space="preserve">n </w:t>
      </w:r>
      <w:r>
        <w:rPr>
          <w:lang w:val="en-US"/>
        </w:rPr>
        <w:t xml:space="preserve">– </w:t>
      </w:r>
      <w:r>
        <w:t>волновое сопротивление линии;</w:t>
      </w:r>
    </w:p>
    <w:p w14:paraId="250CE3D4" w14:textId="785DCB71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>𝜃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– </w:t>
      </w:r>
      <w:r>
        <w:t>электрическая длина линии;</w:t>
      </w:r>
    </w:p>
    <w:p w14:paraId="1C1C038D" w14:textId="00EB25FF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>R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vertAlign w:val="subscript"/>
          <w:lang w:val="en-US"/>
        </w:rPr>
        <w:t>n</w:t>
      </w: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 xml:space="preserve"> </w:t>
      </w:r>
      <w:r w:rsidRPr="004B76A5">
        <w:t xml:space="preserve">– </w:t>
      </w:r>
      <w:r>
        <w:t>изолирующие или баластные сопротивления;</w:t>
      </w:r>
    </w:p>
    <w:p w14:paraId="77884CDD" w14:textId="41556A66" w:rsidR="004B76A5" w:rsidRPr="004B76A5" w:rsidRDefault="004B76A5" w:rsidP="004B76A5">
      <w:pPr>
        <w:pStyle w:val="af0"/>
        <w:numPr>
          <w:ilvl w:val="0"/>
          <w:numId w:val="1"/>
        </w:numPr>
        <w:rPr>
          <w:rFonts w:cs="Times New Roman"/>
          <w:sz w:val="40"/>
          <w:szCs w:val="32"/>
        </w:rPr>
      </w:pP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>Y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vertAlign w:val="subscript"/>
          <w:lang w:val="en-US"/>
        </w:rPr>
        <w:t>n</w:t>
      </w:r>
      <w:r>
        <w:rPr>
          <w:rFonts w:ascii="Cambria Math" w:hAnsi="Cambria Math" w:cs="Cambria Math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– </w:t>
      </w:r>
      <w:r>
        <w:t>проводимость линии.</w:t>
      </w:r>
    </w:p>
    <w:p w14:paraId="119DA430" w14:textId="3909D6F8" w:rsidR="004B76A5" w:rsidRDefault="008F65E4" w:rsidP="004B76A5">
      <w:r>
        <w:t>Так как сумматор является симметричным относительно горизонтальной оси устройством, для его анализа можно использовать метод четных и нечетных мод. Еквивалентные схемы для анализа при помощи этих методов представлены на рисунке</w:t>
      </w:r>
    </w:p>
    <w:p w14:paraId="1F0059F0" w14:textId="77777777" w:rsidR="008F65E4" w:rsidRDefault="008F65E4" w:rsidP="004B76A5"/>
    <w:p w14:paraId="23EB3AC6" w14:textId="77777777" w:rsidR="008F65E4" w:rsidRDefault="008F65E4" w:rsidP="008F65E4">
      <w:pPr>
        <w:pStyle w:val="a3"/>
      </w:pPr>
      <w:r>
        <w:drawing>
          <wp:inline distT="0" distB="0" distL="0" distR="0" wp14:anchorId="1F40275A" wp14:editId="175746C9">
            <wp:extent cx="5940425" cy="1645285"/>
            <wp:effectExtent l="0" t="0" r="3175" b="0"/>
            <wp:docPr id="1390642766" name="Рисунок 3" descr="Изображение выглядит как диаграмма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766" name="Рисунок 3" descr="Изображение выглядит как диаграмма, линия, Шрифт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35FD" w14:textId="1D553FB9" w:rsidR="008F65E4" w:rsidRDefault="008F65E4" w:rsidP="008F65E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58CCBEE" w14:textId="77777777" w:rsidR="008F65E4" w:rsidRDefault="008F65E4" w:rsidP="004B76A5"/>
    <w:p w14:paraId="0047E355" w14:textId="0C699212" w:rsidR="008F65E4" w:rsidRPr="008F65E4" w:rsidRDefault="008F65E4" w:rsidP="004B76A5">
      <w:pPr>
        <w:rPr>
          <w:b/>
          <w:bCs/>
        </w:rPr>
      </w:pPr>
      <w:r w:rsidRPr="008F65E4">
        <w:rPr>
          <w:b/>
          <w:bCs/>
        </w:rPr>
        <w:t>Анализ четных мод</w:t>
      </w:r>
    </w:p>
    <w:p w14:paraId="53EE8184" w14:textId="28A950A3" w:rsidR="008F65E4" w:rsidRDefault="008F65E4" w:rsidP="004B76A5">
      <w:r>
        <w:t xml:space="preserve">Видно, что эквивалентная схема для метода четных мод представляет из себя несекционную линию с элементами разной электрической длинны и </w:t>
      </w:r>
      <w:r>
        <w:lastRenderedPageBreak/>
        <w:t xml:space="preserve">волнового сопротивления. Аналилитические выражения для такого случая известны </w:t>
      </w:r>
      <w:r w:rsidRPr="008F65E4">
        <w:t>[2]</w:t>
      </w:r>
      <w:r>
        <w:t xml:space="preserve"> и представляют из себя следующее выражение:</w:t>
      </w:r>
    </w:p>
    <w:p w14:paraId="18E7D684" w14:textId="77777777" w:rsidR="008F65E4" w:rsidRDefault="008F65E4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F65E4" w14:paraId="278C61D3" w14:textId="77777777" w:rsidTr="00FC7D56">
        <w:tc>
          <w:tcPr>
            <w:tcW w:w="8500" w:type="dxa"/>
          </w:tcPr>
          <w:p w14:paraId="1B629A5F" w14:textId="33EFC2C8" w:rsidR="00FB0D78" w:rsidRPr="00FB0D78" w:rsidRDefault="00B566CB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45" w:type="dxa"/>
          </w:tcPr>
          <w:p w14:paraId="30C8EF2D" w14:textId="77777777" w:rsidR="008F65E4" w:rsidRDefault="008F65E4" w:rsidP="00FC7D56">
            <w:pPr>
              <w:ind w:firstLine="0"/>
            </w:pPr>
          </w:p>
        </w:tc>
      </w:tr>
    </w:tbl>
    <w:p w14:paraId="7A9E063F" w14:textId="77777777" w:rsidR="008F65E4" w:rsidRDefault="008F65E4" w:rsidP="004B76A5"/>
    <w:p w14:paraId="5831A566" w14:textId="590B60E9" w:rsidR="00FB0D78" w:rsidRDefault="00FB0D78" w:rsidP="004B76A5">
      <w:r>
        <w:t xml:space="preserve">где </w:t>
      </w:r>
      <w:r>
        <w:rPr>
          <w:lang w:val="en-US"/>
        </w:rPr>
        <w:t>p</w:t>
      </w:r>
      <w:r>
        <w:rPr>
          <w:vertAlign w:val="subscript"/>
          <w:lang w:val="en-US"/>
        </w:rPr>
        <w:t xml:space="preserve">1 </w:t>
      </w:r>
      <w:r>
        <w:t>выражается как: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21A90B6F" w14:textId="77777777" w:rsidTr="00FC7D56">
        <w:tc>
          <w:tcPr>
            <w:tcW w:w="8500" w:type="dxa"/>
          </w:tcPr>
          <w:p w14:paraId="4BCD5C2E" w14:textId="77777777" w:rsidR="00FB0D78" w:rsidRPr="00FB0D78" w:rsidRDefault="00B566CB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=a+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oMath>
            </m:oMathPara>
          </w:p>
          <w:p w14:paraId="6B5B6455" w14:textId="1BAA50C6" w:rsidR="00FB0D78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2C24FA74" w14:textId="77777777" w:rsidR="00FB0D78" w:rsidRDefault="00FB0D78" w:rsidP="00FC7D56">
            <w:pPr>
              <w:ind w:firstLine="0"/>
            </w:pPr>
          </w:p>
        </w:tc>
      </w:tr>
    </w:tbl>
    <w:p w14:paraId="055118D7" w14:textId="77777777" w:rsidR="00FB0D78" w:rsidRDefault="00FB0D78" w:rsidP="004B76A5"/>
    <w:p w14:paraId="6D722860" w14:textId="324CBF2A" w:rsidR="00FB0D78" w:rsidRDefault="00FB0D78" w:rsidP="004B76A5">
      <w:r>
        <w:t xml:space="preserve">Выражения для </w:t>
      </w:r>
      <w:r>
        <w:rPr>
          <w:lang w:val="en-US"/>
        </w:rPr>
        <w:t>Z</w:t>
      </w:r>
      <w:r w:rsidRPr="00FB0D78">
        <w:rPr>
          <w:vertAlign w:val="subscript"/>
        </w:rPr>
        <w:t>3</w:t>
      </w:r>
      <w:r>
        <w:t xml:space="preserve"> моет быть получено из уравнения четвертого порядка, имеющего следующий вид:</w:t>
      </w:r>
    </w:p>
    <w:p w14:paraId="6E49D576" w14:textId="77777777" w:rsidR="00FB0D78" w:rsidRDefault="00FB0D7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1A221CD0" w14:textId="77777777" w:rsidTr="00031B7D">
        <w:tc>
          <w:tcPr>
            <w:tcW w:w="8500" w:type="dxa"/>
          </w:tcPr>
          <w:p w14:paraId="1302974F" w14:textId="6145D1BA" w:rsidR="00FB0D78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5737A27" w14:textId="77777777" w:rsidR="00FB0D78" w:rsidRDefault="00FB0D78" w:rsidP="00031B7D">
            <w:pPr>
              <w:ind w:firstLine="0"/>
              <w:jc w:val="center"/>
            </w:pPr>
          </w:p>
        </w:tc>
      </w:tr>
    </w:tbl>
    <w:p w14:paraId="5EB5B5E6" w14:textId="77777777" w:rsidR="00FB0D78" w:rsidRDefault="00FB0D78" w:rsidP="004B76A5"/>
    <w:p w14:paraId="61C8EA06" w14:textId="41C3EF28" w:rsidR="00FB0D78" w:rsidRDefault="00FB0D78" w:rsidP="004B76A5">
      <w:r>
        <w:t xml:space="preserve">где коэффициенты входящие в </w:t>
      </w:r>
      <w:commentRangeStart w:id="1"/>
      <w:r>
        <w:t>уравнения</w:t>
      </w:r>
      <w:commentRangeEnd w:id="1"/>
      <w:r w:rsidR="00CD1FDB">
        <w:rPr>
          <w:rStyle w:val="a9"/>
        </w:rPr>
        <w:commentReference w:id="1"/>
      </w:r>
      <w:r>
        <w:t>:</w:t>
      </w:r>
    </w:p>
    <w:p w14:paraId="587B2B1D" w14:textId="77777777" w:rsidR="00FB0D78" w:rsidRDefault="00FB0D7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FB0D78" w14:paraId="056D1ABB" w14:textId="77777777" w:rsidTr="00031B7D">
        <w:tc>
          <w:tcPr>
            <w:tcW w:w="8500" w:type="dxa"/>
          </w:tcPr>
          <w:p w14:paraId="0F633216" w14:textId="0B89BC42" w:rsidR="00FB0D78" w:rsidRP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7132BB3C" w14:textId="77777777" w:rsidR="00031B7D" w:rsidRPr="00FB0D78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2375057A" w14:textId="5D226BA6" w:rsidR="00FB0D78" w:rsidRPr="00031B7D" w:rsidRDefault="0047244C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14:paraId="0C88B924" w14:textId="77777777" w:rsidR="00031B7D" w:rsidRPr="0047244C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0EDE738B" w14:textId="77777777" w:rsidR="0047244C" w:rsidRPr="00031B7D" w:rsidRDefault="0047244C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  <w:p w14:paraId="27B3F8B4" w14:textId="3E58E6CF" w:rsid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739B6FBC" w14:textId="16A5996C" w:rsidR="00031B7D" w:rsidRP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D=8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9FB7EFA" w14:textId="7043263E" w:rsidR="00031B7D" w:rsidRDefault="00031B7D" w:rsidP="00FC7D56">
            <w:pPr>
              <w:ind w:firstLine="0"/>
              <w:rPr>
                <w:rFonts w:eastAsiaTheme="minorEastAsia"/>
                <w:lang w:val="en-US"/>
              </w:rPr>
            </w:pPr>
          </w:p>
          <w:p w14:paraId="2AE77CF9" w14:textId="0E3B8DBE" w:rsidR="00031B7D" w:rsidRPr="00FB0D78" w:rsidRDefault="00031B7D" w:rsidP="00031B7D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E=8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0DB21F72" w14:textId="77777777" w:rsidR="00FB0D78" w:rsidRDefault="00FB0D78" w:rsidP="00031B7D">
            <w:pPr>
              <w:ind w:firstLine="0"/>
              <w:jc w:val="center"/>
            </w:pPr>
          </w:p>
        </w:tc>
      </w:tr>
    </w:tbl>
    <w:p w14:paraId="65D80292" w14:textId="1DB96B45" w:rsidR="00FB0D78" w:rsidRDefault="00FB0D78" w:rsidP="004B76A5"/>
    <w:p w14:paraId="6D550736" w14:textId="11C135E9" w:rsidR="00031B7D" w:rsidRDefault="00031B7D" w:rsidP="004B76A5">
      <w:r>
        <w:t xml:space="preserve">Найти корни представленного уравнения рациональнее всего, используя пакеты математического моделирования. Далее будут рассматривать только положительные и действительные корни, полученные в ходе решения уравнения. Корни будут использованы для нахождения </w:t>
      </w:r>
      <w:r>
        <w:rPr>
          <w:lang w:val="en-US"/>
        </w:rPr>
        <w:t>Z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t>из выражения выше.</w:t>
      </w:r>
    </w:p>
    <w:p w14:paraId="3C3DD96D" w14:textId="4B76EEA8" w:rsidR="00031B7D" w:rsidRDefault="00031B7D" w:rsidP="004B76A5">
      <w:r>
        <w:t xml:space="preserve">Для итерационного поиска </w:t>
      </w:r>
      <w:r w:rsidRPr="00031B7D">
        <w:rPr>
          <w:lang w:val="en-US"/>
        </w:rPr>
        <w:t>Z</w:t>
      </w:r>
      <w:r w:rsidRPr="00031B7D">
        <w:rPr>
          <w:vertAlign w:val="subscript"/>
        </w:rPr>
        <w:t xml:space="preserve">2 </w:t>
      </w:r>
      <w:r>
        <w:t>во</w:t>
      </w:r>
      <w:r w:rsidRPr="00031B7D">
        <w:t>лновое</w:t>
      </w:r>
      <w:r>
        <w:t xml:space="preserve"> сопротивление </w:t>
      </w:r>
      <w:r>
        <w:rPr>
          <w:lang w:val="en-US"/>
        </w:rPr>
        <w:t>Z</w:t>
      </w:r>
      <w:r w:rsidRPr="00031B7D">
        <w:rPr>
          <w:vertAlign w:val="subscript"/>
        </w:rPr>
        <w:t>1</w:t>
      </w:r>
      <w:r w:rsidRPr="00031B7D">
        <w:t xml:space="preserve"> </w:t>
      </w:r>
      <w:r>
        <w:t xml:space="preserve">предлагается выбрать произвольно </w:t>
      </w:r>
      <w:r w:rsidR="00806098">
        <w:t>в</w:t>
      </w:r>
      <w:r>
        <w:t xml:space="preserve"> диапазоне от 20 до 120 Ом. Такой диапазон предложен из конструктивных соображений, так как сопротивление напрямую связано с шириной дорожки диэлектрика. Исходя из используемого в работе диэлектрика рационально использовать этот диапазон</w:t>
      </w:r>
      <w:r w:rsidR="00806098">
        <w:t>, если брать сопротивление выше 120, то дорожка получится слишком узкая, что вызовет сложности при изготовлении печатной платы, если выбрать сопротивление ниже 20 Ом, то дорожка, наоборот, окажется достаточно широкой, из-за чего будет сложнее выполнить кольцевую структуру сумматора. Предложенный диапазон может корректироваться исходя из параметров диэлектриков и технологических возможностей производства печатных плат.</w:t>
      </w:r>
    </w:p>
    <w:p w14:paraId="3911A591" w14:textId="08338E98" w:rsidR="00806098" w:rsidRDefault="00806098" w:rsidP="004B76A5">
      <w:pPr>
        <w:rPr>
          <w:rFonts w:ascii="Cambria Math" w:hAnsi="Cambria Math" w:cs="Cambria Math"/>
          <w:color w:val="222222"/>
          <w:szCs w:val="28"/>
          <w:shd w:val="clear" w:color="auto" w:fill="FFFFFF"/>
        </w:rPr>
      </w:pPr>
      <w:r>
        <w:t xml:space="preserve">Для расчета электрической длинны </w:t>
      </w:r>
      <w:r w:rsidRPr="004B76A5">
        <w:rPr>
          <w:rFonts w:ascii="Cambria Math" w:hAnsi="Cambria Math" w:cs="Cambria Math"/>
          <w:color w:val="222222"/>
          <w:szCs w:val="28"/>
          <w:shd w:val="clear" w:color="auto" w:fill="FFFFFF"/>
        </w:rPr>
        <w:t>𝜃</w:t>
      </w:r>
      <w:r>
        <w:rPr>
          <w:rFonts w:ascii="Cambria Math" w:hAnsi="Cambria Math" w:cs="Cambria Math"/>
          <w:color w:val="222222"/>
          <w:szCs w:val="28"/>
          <w:shd w:val="clear" w:color="auto" w:fill="FFFFFF"/>
        </w:rPr>
        <w:t xml:space="preserve"> можно использовать формулу:</w:t>
      </w:r>
    </w:p>
    <w:p w14:paraId="3CF200A9" w14:textId="721CD82A" w:rsidR="00806098" w:rsidRDefault="00806098" w:rsidP="004B76A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098" w14:paraId="671E3B8A" w14:textId="77777777" w:rsidTr="00706D03">
        <w:tc>
          <w:tcPr>
            <w:tcW w:w="8500" w:type="dxa"/>
          </w:tcPr>
          <w:p w14:paraId="568C23CA" w14:textId="5B01F34A" w:rsidR="00B566CB" w:rsidRPr="00B566CB" w:rsidRDefault="00B566CB" w:rsidP="00706D03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945D58C" w14:textId="77777777" w:rsidR="00806098" w:rsidRDefault="00806098" w:rsidP="00706D03">
            <w:pPr>
              <w:ind w:firstLine="0"/>
              <w:jc w:val="center"/>
            </w:pPr>
          </w:p>
        </w:tc>
      </w:tr>
    </w:tbl>
    <w:p w14:paraId="579DA9E9" w14:textId="74DF3D1D" w:rsidR="00806098" w:rsidRDefault="00806098" w:rsidP="004B76A5"/>
    <w:p w14:paraId="33387C92" w14:textId="40124485" w:rsidR="00B566CB" w:rsidRPr="00B566CB" w:rsidRDefault="00B566CB" w:rsidP="004B76A5">
      <w:r>
        <w:t>Таким образом предложенных данных достаточно для поиска волновых сопротивлений, исходя из заданной полосы пропускания сумматора.</w:t>
      </w:r>
    </w:p>
    <w:sectPr w:rsidR="00B566CB" w:rsidRPr="00B5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ey Elfimov" w:date="2023-06-22T16:34:00Z" w:initials="AE">
    <w:p w14:paraId="6B61D751" w14:textId="77777777" w:rsidR="00286B6F" w:rsidRDefault="00286B6F" w:rsidP="002C7627">
      <w:pPr>
        <w:pStyle w:val="aa"/>
        <w:ind w:firstLine="0"/>
        <w:jc w:val="left"/>
      </w:pPr>
      <w:r>
        <w:rPr>
          <w:rStyle w:val="a9"/>
        </w:rPr>
        <w:annotationRef/>
      </w:r>
      <w:r>
        <w:t>Перерисовать и оставить только рисунок справа</w:t>
      </w:r>
    </w:p>
  </w:comment>
  <w:comment w:id="1" w:author="Alexey Elfimov" w:date="2023-06-22T17:28:00Z" w:initials="AE">
    <w:p w14:paraId="38941647" w14:textId="77777777" w:rsidR="00CD1FDB" w:rsidRDefault="00CD1FDB" w:rsidP="00085C27">
      <w:pPr>
        <w:pStyle w:val="aa"/>
        <w:ind w:firstLine="0"/>
        <w:jc w:val="left"/>
      </w:pPr>
      <w:r>
        <w:rPr>
          <w:rStyle w:val="a9"/>
        </w:rPr>
        <w:annotationRef/>
      </w:r>
      <w:hyperlink r:id="rId1" w:history="1">
        <w:r w:rsidRPr="00085C27">
          <w:rPr>
            <w:rStyle w:val="af1"/>
          </w:rPr>
          <w:t>https://snip.mat</w:t>
        </w:r>
        <w:r w:rsidRPr="00085C27">
          <w:rPr>
            <w:rStyle w:val="af1"/>
          </w:rPr>
          <w:t>h</w:t>
        </w:r>
        <w:r w:rsidRPr="00085C27">
          <w:rPr>
            <w:rStyle w:val="af1"/>
          </w:rPr>
          <w:t>pix.c</w:t>
        </w:r>
        <w:r w:rsidRPr="00085C27">
          <w:rPr>
            <w:rStyle w:val="af1"/>
          </w:rPr>
          <w:t>o</w:t>
        </w:r>
        <w:r w:rsidRPr="00085C27">
          <w:rPr>
            <w:rStyle w:val="af1"/>
          </w:rPr>
          <w:t>m/</w:t>
        </w:r>
      </w:hyperlink>
      <w:r>
        <w:t xml:space="preserve"> - сайт для конвертации в латех скриншотов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61D751" w15:done="0"/>
  <w15:commentEx w15:paraId="389416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EF68C" w16cex:dateUtc="2023-06-22T13:34:00Z"/>
  <w16cex:commentExtensible w16cex:durableId="283F0331" w16cex:dateUtc="2023-06-22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61D751" w16cid:durableId="283EF68C"/>
  <w16cid:commentId w16cid:paraId="38941647" w16cid:durableId="283F03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791"/>
    <w:multiLevelType w:val="hybridMultilevel"/>
    <w:tmpl w:val="76BC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854404"/>
    <w:multiLevelType w:val="hybridMultilevel"/>
    <w:tmpl w:val="FF94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F"/>
    <w:rsid w:val="00031B7D"/>
    <w:rsid w:val="00286B6F"/>
    <w:rsid w:val="0047244C"/>
    <w:rsid w:val="004A59E0"/>
    <w:rsid w:val="004B76A5"/>
    <w:rsid w:val="006D182B"/>
    <w:rsid w:val="00806098"/>
    <w:rsid w:val="008F65E4"/>
    <w:rsid w:val="0098725B"/>
    <w:rsid w:val="009D2ADD"/>
    <w:rsid w:val="00B566CB"/>
    <w:rsid w:val="00CD1FDB"/>
    <w:rsid w:val="00FB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25EF"/>
  <w15:chartTrackingRefBased/>
  <w15:docId w15:val="{06D818E6-9150-43BC-93F6-4E24E59F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09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8F65E4"/>
    <w:pPr>
      <w:keepNext/>
      <w:ind w:firstLine="0"/>
      <w:jc w:val="center"/>
    </w:pPr>
    <w:rPr>
      <w:noProof/>
    </w:rPr>
  </w:style>
  <w:style w:type="paragraph" w:styleId="a5">
    <w:name w:val="caption"/>
    <w:basedOn w:val="a"/>
    <w:next w:val="a"/>
    <w:link w:val="a6"/>
    <w:uiPriority w:val="35"/>
    <w:unhideWhenUsed/>
    <w:qFormat/>
    <w:rsid w:val="00286B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Рисунок Знак"/>
    <w:basedOn w:val="a0"/>
    <w:link w:val="a3"/>
    <w:rsid w:val="008F65E4"/>
    <w:rPr>
      <w:rFonts w:ascii="Times New Roman" w:hAnsi="Times New Roman"/>
      <w:noProof/>
      <w:sz w:val="28"/>
    </w:rPr>
  </w:style>
  <w:style w:type="paragraph" w:customStyle="1" w:styleId="a7">
    <w:name w:val="Подпись к рисунку"/>
    <w:basedOn w:val="a5"/>
    <w:link w:val="a8"/>
    <w:qFormat/>
    <w:rsid w:val="00286B6F"/>
    <w:pPr>
      <w:jc w:val="center"/>
    </w:pPr>
    <w:rPr>
      <w:i w:val="0"/>
      <w:iCs w:val="0"/>
      <w:color w:val="auto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286B6F"/>
    <w:rPr>
      <w:sz w:val="16"/>
      <w:szCs w:val="16"/>
    </w:rPr>
  </w:style>
  <w:style w:type="character" w:customStyle="1" w:styleId="a6">
    <w:name w:val="Название объекта Знак"/>
    <w:basedOn w:val="a0"/>
    <w:link w:val="a5"/>
    <w:uiPriority w:val="35"/>
    <w:rsid w:val="00286B6F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8">
    <w:name w:val="Подпись к рисунку Знак"/>
    <w:basedOn w:val="a6"/>
    <w:link w:val="a7"/>
    <w:rsid w:val="00286B6F"/>
    <w:rPr>
      <w:rFonts w:ascii="Times New Roman" w:hAnsi="Times New Roman"/>
      <w:i w:val="0"/>
      <w:iCs w:val="0"/>
      <w:color w:val="44546A" w:themeColor="text2"/>
      <w:sz w:val="28"/>
      <w:szCs w:val="28"/>
    </w:rPr>
  </w:style>
  <w:style w:type="paragraph" w:styleId="aa">
    <w:name w:val="annotation text"/>
    <w:basedOn w:val="a"/>
    <w:link w:val="ab"/>
    <w:uiPriority w:val="99"/>
    <w:unhideWhenUsed/>
    <w:rsid w:val="00286B6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86B6F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86B6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86B6F"/>
    <w:rPr>
      <w:rFonts w:ascii="Times New Roman" w:hAnsi="Times New Roman"/>
      <w:b/>
      <w:bCs/>
      <w:sz w:val="20"/>
      <w:szCs w:val="20"/>
    </w:rPr>
  </w:style>
  <w:style w:type="table" w:styleId="ae">
    <w:name w:val="Table Grid"/>
    <w:basedOn w:val="a1"/>
    <w:uiPriority w:val="39"/>
    <w:rsid w:val="0028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286B6F"/>
    <w:rPr>
      <w:color w:val="808080"/>
    </w:rPr>
  </w:style>
  <w:style w:type="paragraph" w:styleId="af0">
    <w:name w:val="List Paragraph"/>
    <w:basedOn w:val="a"/>
    <w:uiPriority w:val="34"/>
    <w:qFormat/>
    <w:rsid w:val="004B76A5"/>
    <w:pPr>
      <w:ind w:left="720"/>
    </w:pPr>
  </w:style>
  <w:style w:type="character" w:styleId="af1">
    <w:name w:val="Hyperlink"/>
    <w:basedOn w:val="a0"/>
    <w:uiPriority w:val="99"/>
    <w:unhideWhenUsed/>
    <w:rsid w:val="00CD1FD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D1FD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31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nip.mathpix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7556295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www.mdpi.com/2079-9292/10/19/2332" TargetMode="Externa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Elfimov</dc:creator>
  <cp:keywords/>
  <dc:description/>
  <cp:lastModifiedBy>Алексей Елфимов</cp:lastModifiedBy>
  <cp:revision>5</cp:revision>
  <dcterms:created xsi:type="dcterms:W3CDTF">2023-06-22T13:28:00Z</dcterms:created>
  <dcterms:modified xsi:type="dcterms:W3CDTF">2023-06-23T06:15:00Z</dcterms:modified>
</cp:coreProperties>
</file>