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53.png" ContentType="image/png"/>
  <Override PartName="/word/media/rId62.png" ContentType="image/png"/>
  <Override PartName="/word/media/rId27.png" ContentType="image/png"/>
  <Override PartName="/word/media/rId23.png" ContentType="image/png"/>
  <Override PartName="/word/media/rId37.png" ContentType="image/png"/>
  <Override PartName="/word/media/rId31.png" ContentType="image/png"/>
  <Override PartName="/word/media/rId58.png" ContentType="image/png"/>
  <Override PartName="/word/media/rId44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eLeDia.ai Tutor — Solution Overview</w:t>
      </w:r>
    </w:p>
    <w:p>
      <w:pPr>
        <w:pStyle w:val="BlockText"/>
      </w:pPr>
      <w:r>
        <w:rPr>
          <w:b/>
          <w:bCs/>
        </w:rPr>
        <w:t xml:space="preserve">An agentic AI tutor for Moodle that actually knows your courses.</w:t>
      </w:r>
      <w:r>
        <w:t xml:space="preserve"> </w:t>
      </w:r>
      <w:r>
        <w:t xml:space="preserve">A retrieval-augmented (RAG) assistant that lives inside Moodle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 any</w:t>
      </w:r>
      <w:r>
        <w:t xml:space="preserve"> </w:t>
      </w:r>
      <w:r>
        <w:t xml:space="preserve">AI client your team already uses — grounded in your course content, able to act</w:t>
      </w:r>
      <w:r>
        <w:t xml:space="preserve"> </w:t>
      </w:r>
      <w:r>
        <w:t xml:space="preserve">on live Moodle data, fully brandable to your institution, and powered by the</w:t>
      </w:r>
      <w:r>
        <w:t xml:space="preserve"> </w:t>
      </w:r>
      <w:r>
        <w:t xml:space="preserve">language model of your choice.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Solution Overview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14 June 2026 ·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eLeDia GmbH, Berlin</w:t>
      </w:r>
    </w:p>
    <w:p>
      <w:r>
        <w:br w:type="page"/>
      </w:r>
    </w:p>
    <w:p>
      <w:pPr>
        <w:pStyle w:val="Inhaltsverzeichnisberschrift"/>
      </w:pPr>
      <w:r>
        <w:t xml:space="preserve">Contents</w:t>
      </w:r>
    </w:p>
    <w:p>
      <w:pPr>
        <w:pStyle w:val="Verzeichnis1"/>
        <w:tabs>
          <w:tab w:val="right" w:leader="dot" w:pos="9026"/>
        </w:tabs>
      </w:pPr>
      <w:hyperlink w:anchor="what-we-offer" w:history="1">
        <w:r>
          <w:t xml:space="preserve">1. What we offer</w:t>
        </w:r>
      </w:hyperlink>
      <w:r>
        <w:tab/>
      </w:r>
      <w:r>
        <w:fldChar w:fldCharType="begin"/>
      </w:r>
      <w:r>
        <w:instrText xml:space="preserve"> PAGEREF what-we-offer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the-learner-experience-in-moodle" w:history="1">
        <w:r>
          <w:t xml:space="preserve">2. The learner experience in Moodle</w:t>
        </w:r>
      </w:hyperlink>
      <w:r>
        <w:tab/>
      </w:r>
      <w:r>
        <w:fldChar w:fldCharType="begin"/>
      </w:r>
      <w:r>
        <w:instrText xml:space="preserve"> PAGEREF the-learner-experience-in-moodle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395270fda295cfc93f26ea15030ba4a193c9d6b" w:history="1">
        <w:r>
          <w:t xml:space="preserve">3. Make it your own — branding, personas &amp; “tutor profiles”</w:t>
        </w:r>
      </w:hyperlink>
      <w:r>
        <w:tab/>
      </w:r>
      <w:r>
        <w:fldChar w:fldCharType="begin"/>
      </w:r>
      <w:r>
        <w:instrText xml:space="preserve"> PAGEREF X395270fda295cfc93f26ea15030ba4a193c9d6b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9e9453a51bf88a9f22db8ef7c462da933514517" w:history="1">
        <w:r>
          <w:t xml:space="preserve">4. Who controls what — admin governance &amp; teacher self-service</w:t>
        </w:r>
      </w:hyperlink>
      <w:r>
        <w:tab/>
      </w:r>
      <w:r>
        <w:fldChar w:fldCharType="begin"/>
      </w:r>
      <w:r>
        <w:instrText xml:space="preserve"> PAGEREF X9e9453a51bf88a9f22db8ef7c462da933514517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two-ways-to-use-the-same-tutor" w:history="1">
        <w:r>
          <w:t xml:space="preserve">5. Two ways to use the same tutor</w:t>
        </w:r>
      </w:hyperlink>
      <w:r>
        <w:tab/>
      </w:r>
      <w:r>
        <w:fldChar w:fldCharType="begin"/>
      </w:r>
      <w:r>
        <w:instrText xml:space="preserve"> PAGEREF two-ways-to-use-the-same-tutor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agentic-and-grounded-not-just-a-chatbot" w:history="1">
        <w:r>
          <w:t xml:space="preserve">6. Agentic and grounded — not just a chatbot</w:t>
        </w:r>
      </w:hyperlink>
      <w:r>
        <w:tab/>
      </w:r>
      <w:r>
        <w:fldChar w:fldCharType="begin"/>
      </w:r>
      <w:r>
        <w:instrText xml:space="preserve"> PAGEREF agentic-and-grounded-not-just-a-chatbot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f2435f274ba7b2764839ea4fda95c9aac049502" w:history="1">
        <w:r>
          <w:t xml:space="preserve">7. Always current — automatic content ingestion</w:t>
        </w:r>
      </w:hyperlink>
      <w:r>
        <w:tab/>
      </w:r>
      <w:r>
        <w:fldChar w:fldCharType="begin"/>
      </w:r>
      <w:r>
        <w:instrText xml:space="preserve"> PAGEREF Xf2435f274ba7b2764839ea4fda95c9aac049502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insight-for-teachers-question-analytics" w:history="1">
        <w:r>
          <w:t xml:space="preserve">8. Insight for teachers — question analytics</w:t>
        </w:r>
      </w:hyperlink>
      <w:r>
        <w:tab/>
      </w:r>
      <w:r>
        <w:fldChar w:fldCharType="begin"/>
      </w:r>
      <w:r>
        <w:instrText xml:space="preserve"> PAGEREF insight-for-teachers-question-analytics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your-model-your-data-your-choice" w:history="1">
        <w:r>
          <w:t xml:space="preserve">9. Your model, your data — your choice</w:t>
        </w:r>
      </w:hyperlink>
      <w:r>
        <w:tab/>
      </w:r>
      <w:r>
        <w:fldChar w:fldCharType="begin"/>
      </w:r>
      <w:r>
        <w:instrText xml:space="preserve"> PAGEREF your-model-your-data-your-choice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security-privacy-data-sovereignty" w:history="1">
        <w:r>
          <w:t xml:space="preserve">10. Security, privacy &amp; data sovereignty</w:t>
        </w:r>
      </w:hyperlink>
      <w:r>
        <w:tab/>
      </w:r>
      <w:r>
        <w:fldChar w:fldCharType="begin"/>
      </w:r>
      <w:r>
        <w:instrText xml:space="preserve"> PAGEREF security-privacy-data-sovereignty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how-it-works" w:history="1">
        <w:r>
          <w:t xml:space="preserve">11. How it works</w:t>
        </w:r>
      </w:hyperlink>
      <w:r>
        <w:tab/>
      </w:r>
      <w:r>
        <w:fldChar w:fldCharType="begin"/>
      </w:r>
      <w:r>
        <w:instrText xml:space="preserve"> PAGEREF how-it-works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what-you-get" w:history="1">
        <w:r>
          <w:t xml:space="preserve">12. What you get</w:t>
        </w:r>
      </w:hyperlink>
      <w:r>
        <w:tab/>
      </w:r>
      <w:r>
        <w:fldChar w:fldCharType="begin"/>
      </w:r>
      <w:r>
        <w:instrText xml:space="preserve"> PAGEREF what-you-get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why-eledia" w:history="1">
        <w:r>
          <w:t xml:space="preserve">13. Why eLeDia</w:t>
        </w:r>
      </w:hyperlink>
      <w:r>
        <w:tab/>
      </w:r>
      <w:r>
        <w:fldChar w:fldCharType="begin"/>
      </w:r>
      <w:r>
        <w:instrText xml:space="preserve"> PAGEREF why-eledia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in-plain-words-glossary-box" w:history="1">
        <w:r>
          <w:t xml:space="preserve">14. In plain words (glossary box)</w:t>
        </w:r>
      </w:hyperlink>
      <w:r>
        <w:tab/>
      </w:r>
      <w:r>
        <w:fldChar w:fldCharType="begin"/>
      </w:r>
      <w:r>
        <w:instrText xml:space="preserve"> PAGEREF in-plain-words-glossary-box \h </w:instrText>
      </w:r>
      <w:r>
        <w:fldChar w:fldCharType="separate"/>
      </w:r>
      <w:r>
        <w:t xml:space="preserve"> </w:t>
      </w:r>
      <w:r>
        <w:fldChar w:fldCharType="end"/>
      </w:r>
    </w:p>
    <w:p>
      <w:r>
        <w:br w:type="page"/>
      </w:r>
    </w:p>
    <w:bookmarkStart w:id="26" w:name="what-we-offer"/>
    <w:p>
      <w:pPr>
        <w:pStyle w:val="berschrift1"/>
      </w:pPr>
      <w:r>
        <w:t xml:space="preserve">1. What we offer</w:t>
      </w:r>
    </w:p>
    <w:p>
      <w:pPr>
        <w:pStyle w:val="FirstParagraph"/>
      </w:pPr>
      <w:r>
        <w:t xml:space="preserve">eLeDia combines several building blocks into one seamless learning assistant: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eLeDia.ai Tutor</w:t>
      </w:r>
      <w:r>
        <w:t xml:space="preserve"> </w:t>
      </w:r>
      <w:r>
        <w:t xml:space="preserve">— a polished, native chat experience embedded directly in</w:t>
      </w:r>
      <w:r>
        <w:t xml:space="preserve"> </w:t>
      </w:r>
      <w:r>
        <w:t xml:space="preserve">Moodle, fully brandable and configurable per course or site-wide.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Moodle MCP Server</w:t>
      </w:r>
      <w:r>
        <w:t xml:space="preserve"> </w:t>
      </w:r>
      <w:r>
        <w:t xml:space="preserve">— a secure gateway that turns Moodle into a</w:t>
      </w:r>
      <w:r>
        <w:t xml:space="preserve"> </w:t>
      </w:r>
      <w:r>
        <w:rPr>
          <w:i/>
          <w:iCs/>
        </w:rPr>
        <w:t xml:space="preserve">tool</w:t>
      </w:r>
      <w:r>
        <w:rPr>
          <w:i/>
          <w:iCs/>
        </w:rP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any AI agent can use, on behalf of the individual learner and</w:t>
      </w:r>
      <w:r>
        <w:t xml:space="preserve"> </w:t>
      </w:r>
      <w:r>
        <w:t xml:space="preserve">strictly within their permissions.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agentic RAG / Tutor service</w:t>
      </w:r>
      <w:r>
        <w:t xml:space="preserve"> </w:t>
      </w:r>
      <w:r>
        <w:t xml:space="preserve">— the</w:t>
      </w:r>
      <w:r>
        <w:t xml:space="preserve"> </w:t>
      </w:r>
      <w:r>
        <w:t xml:space="preserve">“brain”</w:t>
      </w:r>
      <w:r>
        <w:t xml:space="preserve">: it retrieves knowledge from</w:t>
      </w:r>
      <w:r>
        <w:t xml:space="preserve"> </w:t>
      </w:r>
      <w:r>
        <w:t xml:space="preserve">your course materials, reasons in multiple steps, calls Moodle when it needs</w:t>
      </w:r>
      <w:r>
        <w:t xml:space="preserve"> </w:t>
      </w:r>
      <w:r>
        <w:t xml:space="preserve">live data, and answers in natural language — driven by the AI model you choose.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content ingestion</w:t>
      </w:r>
      <w:r>
        <w:t xml:space="preserve"> </w:t>
      </w:r>
      <w:r>
        <w:t xml:space="preserve">— keeps the tutor’s knowledge base current as</w:t>
      </w:r>
      <w:r>
        <w:t xml:space="preserve"> </w:t>
      </w:r>
      <w:r>
        <w:t xml:space="preserve">your courses change (Section 7).</w:t>
      </w:r>
    </w:p>
    <w:p>
      <w:pPr>
        <w:pStyle w:val="FirstParagraph"/>
      </w:pPr>
      <w:r>
        <w:t xml:space="preserve">Together they deliver a tutor that is</w:t>
      </w:r>
      <w:r>
        <w:t xml:space="preserve"> </w:t>
      </w:r>
      <w:r>
        <w:rPr>
          <w:b/>
          <w:bCs/>
        </w:rPr>
        <w:t xml:space="preserve">grounded</w:t>
      </w:r>
      <w:r>
        <w:t xml:space="preserve"> </w:t>
      </w:r>
      <w:r>
        <w:t xml:space="preserve">(it cites real sources),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(it looks things up in Moodle in real time),</w:t>
      </w:r>
      <w:r>
        <w:t xml:space="preserve"> </w:t>
      </w:r>
      <w:r>
        <w:rPr>
          <w:b/>
          <w:bCs/>
        </w:rPr>
        <w:t xml:space="preserve">on-brand</w:t>
      </w:r>
      <w:r>
        <w:t xml:space="preserve"> </w:t>
      </w:r>
      <w:r>
        <w:t xml:space="preserve">(it looks</w:t>
      </w:r>
      <w:r>
        <w:t xml:space="preserve"> </w:t>
      </w:r>
      <w:r>
        <w:t xml:space="preserve">and speaks like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institution), and</w:t>
      </w:r>
      <w:r>
        <w:t xml:space="preserve"> </w:t>
      </w:r>
      <w:r>
        <w:rPr>
          <w:b/>
          <w:bCs/>
        </w:rPr>
        <w:t xml:space="preserve">flexible</w:t>
      </w:r>
      <w:r>
        <w:t xml:space="preserve"> </w:t>
      </w:r>
      <w:r>
        <w:t xml:space="preserve">(it runs on our models or</w:t>
      </w:r>
      <w:r>
        <w:t xml:space="preserve"> </w:t>
      </w:r>
      <w:r>
        <w:t xml:space="preserve">yours).</w:t>
      </w:r>
    </w:p>
    <w:p>
      <w:pPr>
        <w:pStyle w:val="Standard"/>
        <w:jc w:val="center"/>
      </w:pPr>
      <w:r>
        <w:drawing>
          <wp:inline>
            <wp:extent cx="2879999" cy="4244210"/>
            <wp:effectExtent b="0" l="0" r="0" t="0"/>
            <wp:docPr descr="The eLeDia.ai Tutor open inside a Moodle course — the greeting, one-click prompt starters, the Explain / Hints only / Quiz me answer-style selector, and the composer." title="" id="24" name="Picture"/>
            <a:graphic>
              <a:graphicData uri="http://schemas.openxmlformats.org/drawingml/2006/picture">
                <pic:pic>
                  <pic:nvPicPr>
                    <pic:cNvPr descr="img/hero_e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24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The eLeDia.ai Tutor open inside a Moodle course — the greeting, one-click prompt starters, the Explain / Hints only / Quiz me answer-style selector, and the composer.</w:t>
      </w:r>
    </w:p>
    <w:bookmarkEnd w:id="26"/>
    <w:bookmarkStart w:id="30" w:name="the-learner-experience-in-moodle"/>
    <w:p>
      <w:pPr>
        <w:pStyle w:val="berschrift1"/>
      </w:pPr>
      <w:r>
        <w:t xml:space="preserve">2. The learner experience in Moodle</w:t>
      </w:r>
    </w:p>
    <w:p>
      <w:pPr>
        <w:pStyle w:val="FirstParagraph"/>
      </w:pPr>
      <w:r>
        <w:t xml:space="preserve">A beautiful, accessible chat assistant sits right inside the course. No new</w:t>
      </w:r>
      <w:r>
        <w:t xml:space="preserve"> </w:t>
      </w:r>
      <w:r>
        <w:t xml:space="preserve">logins, no context switching — learners ask questions in plain language and get</w:t>
      </w:r>
      <w:r>
        <w:t xml:space="preserve"> </w:t>
      </w:r>
      <w:r>
        <w:t xml:space="preserve">clear, formatted answers that link back to the right course resources.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Display modes to fit any page.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docked floating panel</w:t>
      </w:r>
      <w:r>
        <w:t xml:space="preserve"> </w:t>
      </w:r>
      <w:r>
        <w:t xml:space="preserve">(the default — a</w:t>
      </w:r>
      <w:r>
        <w:t xml:space="preserve"> </w:t>
      </w:r>
      <w:r>
        <w:t xml:space="preserve">launch button that opens a tidy chat window), an</w:t>
      </w:r>
      <w:r>
        <w:t xml:space="preserve"> </w:t>
      </w:r>
      <w:r>
        <w:rPr>
          <w:b/>
          <w:bCs/>
        </w:rPr>
        <w:t xml:space="preserve">embedded</w:t>
      </w:r>
      <w:r>
        <w:t xml:space="preserve"> </w:t>
      </w:r>
      <w:r>
        <w:t xml:space="preserve">in-page panel, a</w:t>
      </w:r>
      <w:r>
        <w:t xml:space="preserve"> </w:t>
      </w:r>
      <w:r>
        <w:t xml:space="preserve">centred</w:t>
      </w:r>
      <w:r>
        <w:t xml:space="preserve"> </w:t>
      </w:r>
      <w:r>
        <w:rPr>
          <w:b/>
          <w:bCs/>
        </w:rPr>
        <w:t xml:space="preserve">modal</w:t>
      </w:r>
      <w:r>
        <w:t xml:space="preserve">, or</w:t>
      </w:r>
      <w:r>
        <w:t xml:space="preserve"> </w:t>
      </w:r>
      <w:r>
        <w:rPr>
          <w:b/>
          <w:bCs/>
        </w:rPr>
        <w:t xml:space="preserve">full-screen</w:t>
      </w:r>
      <w:r>
        <w:t xml:space="preserve">. Choose per site and per course.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and accessible.</w:t>
      </w:r>
      <w:r>
        <w:t xml:space="preserve"> </w:t>
      </w:r>
      <w:r>
        <w:t xml:space="preserve">Responsive layouts, keyboard navigation,</w:t>
      </w:r>
      <w:r>
        <w:t xml:space="preserve"> </w:t>
      </w:r>
      <w:r>
        <w:t xml:space="preserve">screen-reader labels and reduced-motion support throughout.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Suggested questions (</w:t>
      </w:r>
      <w:r>
        <w:rPr>
          <w:b/>
          <w:bCs/>
        </w:rPr>
        <w:t xml:space="preserve">“prompt starters”</w:t>
      </w:r>
      <w:r>
        <w:rPr>
          <w:b/>
          <w:bCs/>
        </w:rPr>
        <w:t xml:space="preserve">).</w:t>
      </w:r>
      <w:r>
        <w:t xml:space="preserve"> </w:t>
      </w:r>
      <w:r>
        <w:t xml:space="preserve">Greet learners with one-click</w:t>
      </w:r>
      <w:r>
        <w:t xml:space="preserve"> </w:t>
      </w:r>
      <w:r>
        <w:t xml:space="preserve">starter questions so they always know how to begin.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Answer styles.</w:t>
      </w:r>
      <w:r>
        <w:t xml:space="preserve"> </w:t>
      </w:r>
      <w:r>
        <w:t xml:space="preserve">Switch the teaching mode between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(full</w:t>
      </w:r>
      <w:r>
        <w:t xml:space="preserve"> </w:t>
      </w:r>
      <w:r>
        <w:t xml:space="preserve">explanations),</w:t>
      </w:r>
      <w:r>
        <w:t xml:space="preserve"> </w:t>
      </w:r>
      <w:r>
        <w:rPr>
          <w:b/>
          <w:bCs/>
        </w:rPr>
        <w:t xml:space="preserve">Hints only</w:t>
      </w:r>
      <w:r>
        <w:t xml:space="preserve"> </w:t>
      </w:r>
      <w:r>
        <w:t xml:space="preserve">(guides without giving the solution away), and</w:t>
      </w:r>
      <w:r>
        <w:t xml:space="preserve"> </w:t>
      </w:r>
      <w:r>
        <w:rPr>
          <w:b/>
          <w:bCs/>
        </w:rPr>
        <w:t xml:space="preserve">Quiz me</w:t>
      </w:r>
      <w:r>
        <w:t xml:space="preserve"> </w:t>
      </w:r>
      <w:r>
        <w:t xml:space="preserve">(practice questions) — teachers can pin a style or let learners</w:t>
      </w:r>
      <w:r>
        <w:t xml:space="preserve"> </w:t>
      </w:r>
      <w:r>
        <w:t xml:space="preserve">choose.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 history.</w:t>
      </w:r>
      <w:r>
        <w:t xml:space="preserve"> </w:t>
      </w:r>
      <w:r>
        <w:t xml:space="preserve">Learners can revisit and resume their earlier</w:t>
      </w:r>
      <w:r>
        <w:t xml:space="preserve"> </w:t>
      </w:r>
      <w:r>
        <w:t xml:space="preserve">conversations; history is kept separately per course (or combined in a global</w:t>
      </w:r>
      <w:r>
        <w:t xml:space="preserve"> </w:t>
      </w:r>
      <w:r>
        <w:t xml:space="preserve">placement).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first.</w:t>
      </w:r>
      <w:r>
        <w:t xml:space="preserve"> </w:t>
      </w:r>
      <w:r>
        <w:t xml:space="preserve">Before the first use, learners read and acknowledge your</w:t>
      </w:r>
      <w:r>
        <w:t xml:space="preserve"> </w:t>
      </w:r>
      <w:r>
        <w:t xml:space="preserve">privacy guidelines; they can review them any time and delete their own data.</w:t>
      </w:r>
    </w:p>
    <w:p>
      <w:pPr>
        <w:pStyle w:val="Standard"/>
        <w:jc w:val="center"/>
      </w:pPr>
      <w:r>
        <w:drawing>
          <wp:inline>
            <wp:extent cx="5579999" cy="4142727"/>
            <wp:effectExtent b="0" l="0" r="0" t="0"/>
            <wp:docPr descr="The default presentation: a docked floating panel that opens over any course page." title="" id="28" name="Picture"/>
            <a:graphic>
              <a:graphicData uri="http://schemas.openxmlformats.org/drawingml/2006/picture">
                <pic:pic>
                  <pic:nvPicPr>
                    <pic:cNvPr descr="img/course_e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14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The default presentation: a docked floating panel that opens over any course page.</w:t>
      </w:r>
    </w:p>
    <w:bookmarkEnd w:id="30"/>
    <w:bookmarkStart w:id="43" w:name="X395270fda295cfc93f26ea15030ba4a193c9d6b"/>
    <w:p>
      <w:pPr>
        <w:pStyle w:val="berschrift1"/>
      </w:pPr>
      <w:r>
        <w:t xml:space="preserve">3. Make it your own — branding, personas &amp;</w:t>
      </w:r>
      <w:r>
        <w:t xml:space="preserve"> </w:t>
      </w:r>
      <w:r>
        <w:t xml:space="preserve">“tutor profiles”</w:t>
      </w:r>
    </w:p>
    <w:p>
      <w:pPr>
        <w:pStyle w:val="FirstParagraph"/>
      </w:pPr>
      <w:r>
        <w:t xml:space="preserve">The eLeDia.ai Tutor is</w:t>
      </w:r>
      <w:r>
        <w:t xml:space="preserve"> </w:t>
      </w:r>
      <w:r>
        <w:rPr>
          <w:b/>
          <w:bCs/>
        </w:rPr>
        <w:t xml:space="preserve">fully brandable</w:t>
      </w:r>
      <w:r>
        <w:t xml:space="preserve"> </w:t>
      </w:r>
      <w:r>
        <w:t xml:space="preserve">— it can look and sound like a natural</w:t>
      </w:r>
      <w:r>
        <w:t xml:space="preserve"> </w:t>
      </w:r>
      <w:r>
        <w:t xml:space="preserve">part of your institution rather than a generic chatbot.</w:t>
      </w:r>
    </w:p>
    <w:bookmarkStart w:id="34" w:name="every-visual-detail-is-a-setting"/>
    <w:p>
      <w:pPr>
        <w:pStyle w:val="berschrift2"/>
      </w:pPr>
      <w:r>
        <w:t xml:space="preserve">Every visual detail is a setting</w:t>
      </w:r>
    </w:p>
    <w:p>
      <w:pPr>
        <w:pStyle w:val="FirstParagraph"/>
      </w:pPr>
      <w:r>
        <w:t xml:space="preserve">Colours, surfaces, text, message bubbles, fonts, corner roundness, spacing,</w:t>
      </w:r>
      <w:r>
        <w:t xml:space="preserve"> </w:t>
      </w:r>
      <w:r>
        <w:t xml:space="preserve">shadows, the avatar glow, the launcher button —</w:t>
      </w:r>
      <w:r>
        <w:t xml:space="preserve"> </w:t>
      </w:r>
      <w:r>
        <w:rPr>
          <w:b/>
          <w:bCs/>
        </w:rPr>
        <w:t xml:space="preserve">every design detail is editable</w:t>
      </w:r>
      <w:r>
        <w:rPr>
          <w:b/>
          <w:bCs/>
        </w:rPr>
        <w:t xml:space="preserve"> </w:t>
      </w:r>
      <w:r>
        <w:rPr>
          <w:b/>
          <w:bCs/>
        </w:rPr>
        <w:t xml:space="preserve">through friendly controls</w:t>
      </w:r>
      <w:r>
        <w:t xml:space="preserve">: real colour pickers (click a swatch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paste a hex</w:t>
      </w:r>
      <w:r>
        <w:t xml:space="preserve"> </w:t>
      </w:r>
      <w:r>
        <w:t xml:space="preserve">code) and plain-language dropdowns (</w:t>
      </w:r>
      <w:r>
        <w:t xml:space="preserve">“Small / Medium / Large”</w:t>
      </w:r>
      <w:r>
        <w:t xml:space="preserve">,</w:t>
      </w:r>
      <w:r>
        <w:t xml:space="preserve"> </w:t>
      </w:r>
      <w:r>
        <w:t xml:space="preserve">“Subtle / Strong”</w:t>
      </w:r>
      <w:r>
        <w:t xml:space="preserve">),</w:t>
      </w:r>
      <w:r>
        <w:t xml:space="preserve"> </w:t>
      </w:r>
      <w:r>
        <w:t xml:space="preserve">never raw code. Each setting carries a short explanation and example.</w:t>
      </w:r>
    </w:p>
    <w:p>
      <w:pPr>
        <w:pStyle w:val="Standard"/>
        <w:jc w:val="center"/>
      </w:pPr>
      <w:r>
        <w:drawing>
          <wp:inline>
            <wp:extent cx="5579999" cy="1900919"/>
            <wp:effectExtent b="0" l="0" r="0" t="0"/>
            <wp:docPr descr="Friendly, no-code design controls in the tutor editor — the persona fields flow straight into a real colour picker (click a swatch or paste a hex code)." title="" id="32" name="Picture"/>
            <a:graphic>
              <a:graphicData uri="http://schemas.openxmlformats.org/drawingml/2006/picture">
                <pic:pic>
                  <pic:nvPicPr>
                    <pic:cNvPr descr="img/persona_e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900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Friendly, no-code design controls in the tutor editor — the persona fields flow straight into a real colour picker (click a swatch or paste a hex code).</w:t>
      </w:r>
    </w:p>
    <w:bookmarkEnd w:id="34"/>
    <w:bookmarkStart w:id="35" w:name="a-custom-persona-system-prompt"/>
    <w:p>
      <w:pPr>
        <w:pStyle w:val="berschrift2"/>
      </w:pPr>
      <w:r>
        <w:t xml:space="preserve">A custom persona &amp; system prompt</w:t>
      </w:r>
    </w:p>
    <w:p>
      <w:pPr>
        <w:pStyle w:val="FirstParagraph"/>
      </w:pPr>
      <w:r>
        <w:t xml:space="preserve">Give the tutor a</w:t>
      </w:r>
      <w:r>
        <w:t xml:space="preserve"> </w:t>
      </w:r>
      <w:r>
        <w:rPr>
          <w:b/>
          <w:bCs/>
        </w:rPr>
        <w:t xml:space="preserve">name, role, tone and audience</w:t>
      </w:r>
      <w:r>
        <w:t xml:space="preserve">, plus free-text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that shape how it speaks — e.g. </w:t>
      </w:r>
      <w:r>
        <w:t xml:space="preserve">“a patient first-year maths tutor; warm and</w:t>
      </w:r>
      <w:r>
        <w:t xml:space="preserve"> </w:t>
      </w:r>
      <w:r>
        <w:t xml:space="preserve">encouraging.”</w:t>
      </w:r>
      <w:r>
        <w:t xml:space="preserve"> </w:t>
      </w:r>
      <w:r>
        <w:t xml:space="preserve">This persona is sent to the AI as guidance (it never overrides</w:t>
      </w:r>
      <w:r>
        <w:t xml:space="preserve"> </w:t>
      </w:r>
      <w:r>
        <w:t xml:space="preserve">safety or grounding rules).</w:t>
      </w:r>
    </w:p>
    <w:bookmarkEnd w:id="35"/>
    <w:bookmarkStart w:id="36" w:name="your-logo-and-avatar"/>
    <w:p>
      <w:pPr>
        <w:pStyle w:val="berschrift2"/>
      </w:pPr>
      <w:r>
        <w:t xml:space="preserve">Your logo and avatar</w:t>
      </w:r>
    </w:p>
    <w:p>
      <w:pPr>
        <w:pStyle w:val="FirstParagraph"/>
      </w:pPr>
      <w:r>
        <w:t xml:space="preserve">Upload your own</w:t>
      </w:r>
      <w:r>
        <w:t xml:space="preserve"> </w:t>
      </w:r>
      <w:r>
        <w:rPr>
          <w:b/>
          <w:bCs/>
        </w:rPr>
        <w:t xml:space="preserve">tutor logo</w:t>
      </w:r>
      <w:r>
        <w:t xml:space="preserve"> </w:t>
      </w:r>
      <w:r>
        <w:t xml:space="preserve">(header + launcher) and</w:t>
      </w:r>
      <w:r>
        <w:t xml:space="preserve"> </w:t>
      </w:r>
      <w:r>
        <w:rPr>
          <w:b/>
          <w:bCs/>
        </w:rPr>
        <w:t xml:space="preserve">conversation avatar</w:t>
      </w:r>
      <w:r>
        <w:t xml:space="preserve">;</w:t>
      </w:r>
      <w:r>
        <w:t xml:space="preserve"> </w:t>
      </w:r>
      <w:r>
        <w:t xml:space="preserve">they appear throughout the chat.</w:t>
      </w:r>
    </w:p>
    <w:bookmarkEnd w:id="36"/>
    <w:bookmarkStart w:id="40" w:name="ready-made-looks-and-a-bit-of-fun"/>
    <w:p>
      <w:pPr>
        <w:pStyle w:val="berschrift2"/>
      </w:pPr>
      <w:r>
        <w:t xml:space="preserve">Ready-made looks — and a bit of fun</w:t>
      </w:r>
    </w:p>
    <w:p>
      <w:pPr>
        <w:pStyle w:val="FirstParagraph"/>
      </w:pPr>
      <w:r>
        <w:t xml:space="preserve">Ship with</w:t>
      </w:r>
      <w:r>
        <w:t xml:space="preserve"> </w:t>
      </w:r>
      <w:r>
        <w:rPr>
          <w:b/>
          <w:bCs/>
        </w:rPr>
        <w:t xml:space="preserve">five built-in presets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eLeDia (default)</w:t>
      </w:r>
      <w:r>
        <w:t xml:space="preserve">,</w:t>
      </w:r>
      <w:r>
        <w:t xml:space="preserve"> </w:t>
      </w:r>
      <w:r>
        <w:rPr>
          <w:i/>
          <w:iCs/>
        </w:rPr>
        <w:t xml:space="preserve">Forest</w:t>
      </w:r>
      <w:r>
        <w:t xml:space="preserve">,</w:t>
      </w:r>
      <w:r>
        <w:t xml:space="preserve"> </w:t>
      </w:r>
      <w:r>
        <w:rPr>
          <w:i/>
          <w:iCs/>
        </w:rPr>
        <w:t xml:space="preserve">Midnight</w:t>
      </w:r>
      <w:r>
        <w:t xml:space="preserve">,</w:t>
      </w:r>
      <w:r>
        <w:t xml:space="preserve"> </w:t>
      </w:r>
      <w:r>
        <w:rPr>
          <w:i/>
          <w:iCs/>
        </w:rPr>
        <w:t xml:space="preserve">High contrast</w:t>
      </w:r>
      <w:r>
        <w:t xml:space="preserve">, and the playful</w:t>
      </w:r>
      <w:r>
        <w:t xml:space="preserve"> </w:t>
      </w:r>
      <w:r>
        <w:rPr>
          <w:i/>
          <w:iCs/>
        </w:rPr>
        <w:t xml:space="preserve">HAL 9000</w:t>
      </w:r>
      <w:r>
        <w:t xml:space="preserve"> </w:t>
      </w:r>
      <w:r>
        <w:t xml:space="preserve">— each a complete, legible palette</w:t>
      </w:r>
      <w:r>
        <w:t xml:space="preserve"> </w:t>
      </w:r>
      <w:r>
        <w:t xml:space="preserve">plus a starter persona. Apply one with a single click as your site default or to</w:t>
      </w:r>
      <w:r>
        <w:t xml:space="preserve"> </w:t>
      </w:r>
      <w:r>
        <w:t xml:space="preserve">any individual block. Every preset opens as the docked floating panel.</w:t>
      </w:r>
    </w:p>
    <w:p>
      <w:pPr>
        <w:pStyle w:val="Standard"/>
        <w:jc w:val="center"/>
      </w:pPr>
      <w:r>
        <w:drawing>
          <wp:inline>
            <wp:extent cx="5399999" cy="5576399"/>
            <wp:effectExtent b="0" l="0" r="0" t="0"/>
            <wp:docPr descr="The Tutors library: built-in presets and your own saved profiles, each with a live palette preview — apply to the whole site or any single block, export or import in one click." title="" id="38" name="Picture"/>
            <a:graphic>
              <a:graphicData uri="http://schemas.openxmlformats.org/drawingml/2006/picture">
                <pic:pic>
                  <pic:nvPicPr>
                    <pic:cNvPr descr="img/lib_e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57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The Tutors library: built-in presets and your own saved profiles, each with a live palette preview — apply to the whole site or any single block, export or import in one click.</w:t>
      </w:r>
    </w:p>
    <w:bookmarkEnd w:id="40"/>
    <w:bookmarkStart w:id="41" w:name="save-share-and-reuse-with-tutor-profiles"/>
    <w:p>
      <w:pPr>
        <w:pStyle w:val="berschrift2"/>
      </w:pPr>
      <w:r>
        <w:t xml:space="preserve">Save, share and reuse with</w:t>
      </w:r>
      <w:r>
        <w:t xml:space="preserve"> </w:t>
      </w:r>
      <w:r>
        <w:t xml:space="preserve">“Tutor profiles”</w:t>
      </w:r>
    </w:p>
    <w:p>
      <w:pPr>
        <w:pStyle w:val="FirstParagraph"/>
      </w:pPr>
      <w:r>
        <w:t xml:space="preserve">Create your own named</w:t>
      </w:r>
      <w:r>
        <w:t xml:space="preserve"> </w:t>
      </w:r>
      <w:r>
        <w:rPr>
          <w:b/>
          <w:bCs/>
        </w:rPr>
        <w:t xml:space="preserve">tutor profiles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 / import</w:t>
      </w:r>
      <w:r>
        <w:t xml:space="preserve"> </w:t>
      </w:r>
      <w:r>
        <w:t xml:space="preserve">them as a single</w:t>
      </w:r>
      <w:r>
        <w:t xml:space="preserve"> </w:t>
      </w:r>
      <w:r>
        <w:t xml:space="preserve">file — settings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images included. Build a look once and reuse it across</w:t>
      </w:r>
      <w:r>
        <w:t xml:space="preserve"> </w:t>
      </w:r>
      <w:r>
        <w:t xml:space="preserve">courses or even other Moodle sites. Importing a profile snapshots it onto the</w:t>
      </w:r>
      <w:r>
        <w:t xml:space="preserve"> </w:t>
      </w:r>
      <w:r>
        <w:t xml:space="preserve">target (no hidden links to break later).</w:t>
      </w:r>
    </w:p>
    <w:bookmarkEnd w:id="41"/>
    <w:bookmarkStart w:id="42" w:name="white-label"/>
    <w:p>
      <w:pPr>
        <w:pStyle w:val="berschrift2"/>
      </w:pPr>
      <w:r>
        <w:t xml:space="preserve">White-label</w:t>
      </w:r>
    </w:p>
    <w:p>
      <w:pPr>
        <w:pStyle w:val="FirstParagraph"/>
      </w:pPr>
      <w:r>
        <w:t xml:space="preserve">Replace or hide the footer credit for a fully white-labelled assistant, and add</w:t>
      </w:r>
      <w:r>
        <w:t xml:space="preserve"> </w:t>
      </w:r>
      <w:r>
        <w:t xml:space="preserve">institution-specific custom CSS where you want pixel-level control.</w:t>
      </w:r>
    </w:p>
    <w:bookmarkEnd w:id="42"/>
    <w:bookmarkEnd w:id="43"/>
    <w:bookmarkStart w:id="47" w:name="X9e9453a51bf88a9f22db8ef7c462da933514517"/>
    <w:p>
      <w:pPr>
        <w:pStyle w:val="berschrift1"/>
      </w:pPr>
      <w:r>
        <w:t xml:space="preserve">4. Who controls what — admin governance &amp; teacher self-service</w:t>
      </w:r>
    </w:p>
    <w:p>
      <w:pPr>
        <w:pStyle w:val="FirstParagraph"/>
      </w:pPr>
      <w:r>
        <w:t xml:space="preserve">The tutor balances</w:t>
      </w:r>
      <w:r>
        <w:t xml:space="preserve"> </w:t>
      </w:r>
      <w:r>
        <w:rPr>
          <w:b/>
          <w:bCs/>
        </w:rPr>
        <w:t xml:space="preserve">institutional consistency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course-level freedom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Admins set the site-wide default tutor</w:t>
      </w:r>
      <w:r>
        <w:t xml:space="preserve"> </w:t>
      </w:r>
      <w:r>
        <w:t xml:space="preserve">and,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setting, decide</w:t>
      </w:r>
      <w:r>
        <w:t xml:space="preserve"> </w:t>
      </w:r>
      <w:r>
        <w:t xml:space="preserve">whether teachers may override it per course. By default all visual/persona</w:t>
      </w:r>
      <w:r>
        <w:t xml:space="preserve"> </w:t>
      </w:r>
      <w:r>
        <w:t xml:space="preserve">settings are open to teachers; an admin can lock any of them down to keep a</w:t>
      </w:r>
      <w:r>
        <w:t xml:space="preserve"> </w:t>
      </w:r>
      <w:r>
        <w:t xml:space="preserve">consistent look.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Teachers tailor their course tutor</w:t>
      </w:r>
      <w:r>
        <w:t xml:space="preserve"> </w:t>
      </w:r>
      <w:r>
        <w:t xml:space="preserve">using only the settings the admin has</w:t>
      </w:r>
      <w:r>
        <w:t xml:space="preserve"> </w:t>
      </w:r>
      <w:r>
        <w:t xml:space="preserve">opened up — with the same friendly colour pickers and dropdowns.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Teacher self-service import/export.</w:t>
      </w:r>
      <w:r>
        <w:t xml:space="preserve"> </w:t>
      </w:r>
      <w:r>
        <w:t xml:space="preserve">From the block’s configuration, an</w:t>
      </w:r>
      <w:r>
        <w:t xml:space="preserve"> </w:t>
      </w:r>
      <w:r>
        <w:t xml:space="preserve">editing teacher can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their tutor,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one they were sent, or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one of the institution’s ready-made tutors — scoped to their own</w:t>
      </w:r>
      <w:r>
        <w:t xml:space="preserve"> </w:t>
      </w:r>
      <w:r>
        <w:t xml:space="preserve">course.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 management.</w:t>
      </w:r>
      <w:r>
        <w:t xml:space="preserve"> </w:t>
      </w:r>
      <w:r>
        <w:t xml:space="preserve">Admins manage the whole tutor library (presets and saved</w:t>
      </w:r>
      <w:r>
        <w:t xml:space="preserve"> </w:t>
      </w:r>
      <w:r>
        <w:t xml:space="preserve">profiles), apply a tutor to the site or to any specific block, and import/export</w:t>
      </w:r>
      <w:r>
        <w:t xml:space="preserve"> </w:t>
      </w:r>
      <w:r>
        <w:t xml:space="preserve">site-wide tutors — all from one page.</w:t>
      </w:r>
    </w:p>
    <w:p>
      <w:pPr>
        <w:pStyle w:val="Standard"/>
        <w:jc w:val="center"/>
      </w:pPr>
      <w:r>
        <w:drawing>
          <wp:inline>
            <wp:extent cx="5579999" cy="3719999"/>
            <wp:effectExtent b="0" l="0" r="0" t="0"/>
            <wp:docPr descr="The block’s site settings: the secure connection to the RAG / Tutor service and the central place where admins configure the tutor and choose which settings teachers may override per course." title="" id="45" name="Picture"/>
            <a:graphic>
              <a:graphicData uri="http://schemas.openxmlformats.org/drawingml/2006/picture">
                <pic:pic>
                  <pic:nvPicPr>
                    <pic:cNvPr descr="img/settings_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The block’s site settings: the secure connection to the RAG / Tutor service and the central place where admins configure the tutor and choose which settings teachers may override per course.</w:t>
      </w:r>
    </w:p>
    <w:bookmarkEnd w:id="47"/>
    <w:bookmarkStart w:id="50" w:name="two-ways-to-use-the-same-tutor"/>
    <w:p>
      <w:pPr>
        <w:pStyle w:val="berschrift1"/>
      </w:pPr>
      <w:r>
        <w:t xml:space="preserve">5. Two ways to use the same tutor</w:t>
      </w:r>
    </w:p>
    <w:p>
      <w:pPr>
        <w:pStyle w:val="FirstParagraph"/>
      </w:pPr>
      <w:r>
        <w:t xml:space="preserve">The same assistant is available wherever your users work.</w:t>
      </w:r>
    </w:p>
    <w:bookmarkStart w:id="48" w:name="in-moodle-for-every-learner-and-teacher"/>
    <w:p>
      <w:pPr>
        <w:pStyle w:val="berschrift2"/>
      </w:pPr>
      <w:r>
        <w:t xml:space="preserve">In Moodle — for every learner and teacher</w:t>
      </w:r>
    </w:p>
    <w:p>
      <w:pPr>
        <w:pStyle w:val="FirstParagraph"/>
      </w:pPr>
      <w:r>
        <w:t xml:space="preserve">The native chat block (Sections 2–3), embedded directly in the course.</w:t>
      </w:r>
    </w:p>
    <w:bookmarkEnd w:id="48"/>
    <w:bookmarkStart w:id="49" w:name="X88fba6935da9f4eb42b6aa057baf926f4ea6db1"/>
    <w:p>
      <w:pPr>
        <w:pStyle w:val="berschrift2"/>
      </w:pPr>
      <w:r>
        <w:t xml:space="preserve">In any MCP host — for power users, staff and integrations</w:t>
      </w:r>
    </w:p>
    <w:p>
      <w:pPr>
        <w:pStyle w:val="FirstParagraph"/>
      </w:pPr>
      <w:r>
        <w:t xml:space="preserve">Because Moodle is exposed as a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server, the very</w:t>
      </w:r>
      <w:r>
        <w:t xml:space="preserve"> </w:t>
      </w:r>
      <w:r>
        <w:t xml:space="preserve">same Moodle capabilities can be used from external AI clients — for example</w:t>
      </w:r>
      <w:r>
        <w:t xml:space="preserve"> </w:t>
      </w:r>
      <w:r>
        <w:rPr>
          <w:b/>
          <w:bCs/>
        </w:rPr>
        <w:t xml:space="preserve">Claude Desktop</w:t>
      </w:r>
      <w:r>
        <w:t xml:space="preserve">, AI-enabled IDEs, or a</w:t>
      </w:r>
      <w:r>
        <w:t xml:space="preserve"> </w:t>
      </w:r>
      <w:r>
        <w:rPr>
          <w:b/>
          <w:bCs/>
        </w:rPr>
        <w:t xml:space="preserve">custom MCP host</w:t>
      </w:r>
      <w:r>
        <w:t xml:space="preserve"> </w:t>
      </w:r>
      <w:r>
        <w:t xml:space="preserve">you build. A staff</w:t>
      </w:r>
      <w:r>
        <w:t xml:space="preserve"> </w:t>
      </w:r>
      <w:r>
        <w:t xml:space="preserve">member connects their preferred AI app and works with Moodle data directly, using</w:t>
      </w:r>
      <w:r>
        <w:t xml:space="preserve"> </w:t>
      </w:r>
      <w:r>
        <w:t xml:space="preserve">a personal, permission-scoped token.</w:t>
      </w:r>
    </w:p>
    <w:bookmarkEnd w:id="49"/>
    <w:bookmarkEnd w:id="50"/>
    <w:bookmarkStart w:id="51" w:name="agentic-and-grounded-not-just-a-chatbot"/>
    <w:p>
      <w:pPr>
        <w:pStyle w:val="berschrift1"/>
      </w:pPr>
      <w:r>
        <w:t xml:space="preserve">6. Agentic and grounded — not just a chatbot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Retrieval-augmented (RAG):</w:t>
      </w:r>
      <w:r>
        <w:t xml:space="preserve"> </w:t>
      </w:r>
      <w:r>
        <w:t xml:space="preserve">answers are based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course content, not</w:t>
      </w:r>
      <w:r>
        <w:t xml:space="preserve"> </w:t>
      </w:r>
      <w:r>
        <w:t xml:space="preserve">just the model’s training data — reducing hallucination and keeping responses</w:t>
      </w:r>
      <w:r>
        <w:t xml:space="preserve"> </w:t>
      </w:r>
      <w:r>
        <w:t xml:space="preserve">on-curriculum. Sources are shown alongside the answer.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Agentic:</w:t>
      </w:r>
      <w:r>
        <w:t xml:space="preserve"> </w:t>
      </w:r>
      <w:r>
        <w:t xml:space="preserve">the tutor reasons in steps and uses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— it can look up the</w:t>
      </w:r>
      <w:r>
        <w:t xml:space="preserve"> </w:t>
      </w:r>
      <w:r>
        <w:t xml:space="preserve">learner’s enrolled courses, upcoming assignments and deadlines, grades, course</w:t>
      </w:r>
      <w:r>
        <w:t xml:space="preserve"> </w:t>
      </w:r>
      <w:r>
        <w:t xml:space="preserve">contents and announcements, search content, and more — live, from Moodle.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Permission-aware by design:</w:t>
      </w:r>
      <w:r>
        <w:t xml:space="preserve"> </w:t>
      </w:r>
      <w:r>
        <w:t xml:space="preserve">every Moodle lookup runs under the learner’s own</w:t>
      </w:r>
      <w:r>
        <w:t xml:space="preserve"> </w:t>
      </w:r>
      <w:r>
        <w:t xml:space="preserve">identity and capabilities. The tutor can never reveal data the user couldn’t</w:t>
      </w:r>
      <w:r>
        <w:t xml:space="preserve"> </w:t>
      </w:r>
      <w:r>
        <w:t xml:space="preserve">already access themselves.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General-knowledge mode.</w:t>
      </w:r>
      <w:r>
        <w:t xml:space="preserve"> </w:t>
      </w:r>
      <w:r>
        <w:t xml:space="preserve">Where a course has no knowledge base yet, the tutor</w:t>
      </w:r>
      <w:r>
        <w:t xml:space="preserve"> </w:t>
      </w:r>
      <w:r>
        <w:t xml:space="preserve">can still help from the model’s general knowledge (clearly indicated) — or be</w:t>
      </w:r>
      <w:r>
        <w:t xml:space="preserve"> </w:t>
      </w:r>
      <w:r>
        <w:t xml:space="preserve">restricted to grounded answers only.</w:t>
      </w:r>
    </w:p>
    <w:p>
      <w:pPr>
        <w:pStyle w:val="FirstParagraph"/>
      </w:pPr>
      <w:r>
        <w:rPr>
          <w:b/>
          <w:bCs/>
        </w:rPr>
        <w:t xml:space="preserve">Example questions it handles well</w:t>
      </w:r>
    </w:p>
    <w:p>
      <w:pPr>
        <w:pStyle w:val="Compact"/>
        <w:numPr>
          <w:ilvl w:val="0"/>
          <w:numId w:val="1005"/>
        </w:numPr>
      </w:pPr>
      <w:r>
        <w:t xml:space="preserve">“Which courses am I enrolled in, and what should I focus on this week?”</w:t>
      </w:r>
    </w:p>
    <w:p>
      <w:pPr>
        <w:pStyle w:val="Compact"/>
        <w:numPr>
          <w:ilvl w:val="0"/>
          <w:numId w:val="1005"/>
        </w:numPr>
      </w:pPr>
      <w:r>
        <w:t xml:space="preserve">“What do I need to do for this week’s assignment, and when is it due?”</w:t>
      </w:r>
    </w:p>
    <w:p>
      <w:pPr>
        <w:pStyle w:val="Compact"/>
        <w:numPr>
          <w:ilvl w:val="0"/>
          <w:numId w:val="1005"/>
        </w:numPr>
      </w:pPr>
      <w:r>
        <w:t xml:space="preserve">“Explain this week’s topic and point me to the right resource in the course.”</w:t>
      </w:r>
    </w:p>
    <w:p>
      <w:pPr>
        <w:pStyle w:val="Compact"/>
        <w:numPr>
          <w:ilvl w:val="0"/>
          <w:numId w:val="1005"/>
        </w:numPr>
      </w:pPr>
      <w:r>
        <w:t xml:space="preserve">“How am I doing so far — what are my current grades?”</w:t>
      </w:r>
    </w:p>
    <w:bookmarkEnd w:id="51"/>
    <w:bookmarkStart w:id="52" w:name="Xf2435f274ba7b2764839ea4fda95c9aac049502"/>
    <w:p>
      <w:pPr>
        <w:pStyle w:val="berschrift1"/>
      </w:pPr>
      <w:r>
        <w:t xml:space="preserve">7. Always current — automatic content ingestion</w:t>
      </w:r>
    </w:p>
    <w:p>
      <w:pPr>
        <w:pStyle w:val="FirstParagraph"/>
      </w:pPr>
      <w:r>
        <w:t xml:space="preserve">A tutor is only as good as its knowledge. eLeDia’s ingestion continuously feeds</w:t>
      </w:r>
      <w:r>
        <w:t xml:space="preserve"> </w:t>
      </w:r>
      <w:r>
        <w:t xml:space="preserve">your course content into the RAG knowledge base so answers stay grounded and</w:t>
      </w:r>
      <w:r>
        <w:t xml:space="preserve"> </w:t>
      </w:r>
      <w:r>
        <w:t xml:space="preserve">up to date. It extracts the teaching text from your activities and resources and</w:t>
      </w:r>
      <w:r>
        <w:t xml:space="preserve"> </w:t>
      </w:r>
      <w:r>
        <w:t xml:space="preserve">hands it to the RAG service — automatically on every change, and on demand via a</w:t>
      </w:r>
      <w:r>
        <w:t xml:space="preserve"> </w:t>
      </w:r>
      <w:r>
        <w:t xml:space="preserve">bulk re-index.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Broad coverage:</w:t>
      </w:r>
      <w:r>
        <w:t xml:space="preserve"> </w:t>
      </w:r>
      <w:r>
        <w:t xml:space="preserve">Moodle’s core activities and resources (Book, Page, Lesson,</w:t>
      </w:r>
      <w:r>
        <w:t xml:space="preserve"> </w:t>
      </w:r>
      <w:r>
        <w:t xml:space="preserve">Quiz, Glossary, Assignment, File, Folder, SCORM, IMS packages, H5P and more)</w:t>
      </w:r>
      <w:r>
        <w:t xml:space="preserve"> </w:t>
      </w:r>
      <w:r>
        <w:t xml:space="preserve">plus popular add-ons.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Automatic and incremental:</w:t>
      </w:r>
      <w:r>
        <w:t xml:space="preserve"> </w:t>
      </w:r>
      <w:r>
        <w:t xml:space="preserve">new, changed or deleted content syncs straight</w:t>
      </w:r>
      <w:r>
        <w:t xml:space="preserve"> </w:t>
      </w:r>
      <w:r>
        <w:t xml:space="preserve">away; a single re-index refreshes an entire course.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Privacy-friendly: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teaching content</w:t>
      </w:r>
      <w:r>
        <w:t xml:space="preserve"> </w:t>
      </w:r>
      <w:r>
        <w:t xml:space="preserve">is ingested — never learner</w:t>
      </w:r>
      <w:r>
        <w:t xml:space="preserve"> </w:t>
      </w:r>
      <w:r>
        <w:t xml:space="preserve">submissions or answers.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Multi-tenant clean:</w:t>
      </w:r>
      <w:r>
        <w:t xml:space="preserve"> </w:t>
      </w:r>
      <w:r>
        <w:t xml:space="preserve">deterministic source identifiers keep the knowledge base</w:t>
      </w:r>
      <w:r>
        <w:t xml:space="preserve"> </w:t>
      </w:r>
      <w:r>
        <w:t xml:space="preserve">tidy across many Moodle instances.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Extensible:</w:t>
      </w:r>
      <w:r>
        <w:t xml:space="preserve"> </w:t>
      </w:r>
      <w:r>
        <w:t xml:space="preserve">new activity types can be supported without changing core code.</w:t>
      </w:r>
    </w:p>
    <w:bookmarkEnd w:id="52"/>
    <w:bookmarkStart w:id="56" w:name="insight-for-teachers-question-analytics"/>
    <w:p>
      <w:pPr>
        <w:pStyle w:val="berschrift1"/>
      </w:pPr>
      <w:r>
        <w:t xml:space="preserve">8. Insight for teachers — question analytics</w:t>
      </w:r>
    </w:p>
    <w:p>
      <w:pPr>
        <w:pStyle w:val="FirstParagraph"/>
      </w:pPr>
      <w:r>
        <w:t xml:space="preserve">An opt-in,</w:t>
      </w:r>
      <w:r>
        <w:t xml:space="preserve"> </w:t>
      </w:r>
      <w:r>
        <w:rPr>
          <w:b/>
          <w:bCs/>
        </w:rPr>
        <w:t xml:space="preserve">privacy-safe</w:t>
      </w:r>
      <w:r>
        <w:t xml:space="preserve"> </w:t>
      </w:r>
      <w:r>
        <w:t xml:space="preserve">analytics report shows teachers what learners are</w:t>
      </w:r>
      <w:r>
        <w:t xml:space="preserve"> </w:t>
      </w:r>
      <w:r>
        <w:t xml:space="preserve">asking —</w:t>
      </w:r>
      <w:r>
        <w:t xml:space="preserve"> </w:t>
      </w:r>
      <w:r>
        <w:rPr>
          <w:b/>
          <w:bCs/>
        </w:rPr>
        <w:t xml:space="preserve">without any learner identities</w:t>
      </w:r>
      <w:r>
        <w:t xml:space="preserve">. It turns everyday questions into a</w:t>
      </w:r>
      <w:r>
        <w:t xml:space="preserve"> </w:t>
      </w:r>
      <w:r>
        <w:t xml:space="preserve">picture of where a cohort needs help.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At-a-glance stats:</w:t>
      </w:r>
      <w:r>
        <w:t xml:space="preserve"> </w:t>
      </w:r>
      <w:r>
        <w:t xml:space="preserve">total questions, questions in the last 7 days, and how</w:t>
      </w:r>
      <w:r>
        <w:t xml:space="preserve"> </w:t>
      </w:r>
      <w:r>
        <w:t xml:space="preserve">many answers were grounded in course materials.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Confusion hotspots:</w:t>
      </w:r>
      <w:r>
        <w:t xml:space="preserve"> </w:t>
      </w:r>
      <w:r>
        <w:t xml:space="preserve">questions clustered by topic / primary source, so you</w:t>
      </w:r>
      <w:r>
        <w:t xml:space="preserve"> </w:t>
      </w:r>
      <w:r>
        <w:t xml:space="preserve">can see which materials trigger the most questions — linked to the activity.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Trend over time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recent-questions</w:t>
      </w:r>
      <w:r>
        <w:t xml:space="preserve"> </w:t>
      </w:r>
      <w:r>
        <w:t xml:space="preserve">list (question text only, no</w:t>
      </w:r>
      <w:r>
        <w:t xml:space="preserve"> </w:t>
      </w:r>
      <w:r>
        <w:t xml:space="preserve">names), with the answer style used.</w:t>
      </w:r>
    </w:p>
    <w:p>
      <w:pPr>
        <w:pStyle w:val="Compact"/>
        <w:numPr>
          <w:ilvl w:val="0"/>
          <w:numId w:val="1007"/>
        </w:numPr>
      </w:pPr>
      <w:r>
        <w:t xml:space="preserve">Data is retained only as long as you configure and is covered by the privacy</w:t>
      </w:r>
      <w:r>
        <w:t xml:space="preserve"> </w:t>
      </w:r>
      <w:r>
        <w:t xml:space="preserve">tools.</w:t>
      </w:r>
    </w:p>
    <w:p>
      <w:pPr>
        <w:pStyle w:val="Standard"/>
        <w:jc w:val="center"/>
      </w:pPr>
      <w:r>
        <w:drawing>
          <wp:inline>
            <wp:extent cx="4679999" cy="6080879"/>
            <wp:effectExtent b="0" l="0" r="0" t="0"/>
            <wp:docPr descr="The privacy-safe question-analytics report: at-a-glance stats, confusion hotspots clustered by topic, a questions-per-day trend and the name-free recent-questions list." title="" id="54" name="Picture"/>
            <a:graphic>
              <a:graphicData uri="http://schemas.openxmlformats.org/drawingml/2006/picture">
                <pic:pic>
                  <pic:nvPicPr>
                    <pic:cNvPr descr="img/analytics_e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08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The privacy-safe question-analytics report: at-a-glance stats, confusion hotspots clustered by topic, a questions-per-day trend and the name-free recent-questions list.</w:t>
      </w:r>
    </w:p>
    <w:bookmarkEnd w:id="56"/>
    <w:bookmarkStart w:id="57" w:name="your-model-your-data-your-choice"/>
    <w:p>
      <w:pPr>
        <w:pStyle w:val="berschrift1"/>
      </w:pPr>
      <w:r>
        <w:t xml:space="preserve">9. Your model, your data — your choice</w:t>
      </w:r>
    </w:p>
    <w:p>
      <w:pPr>
        <w:pStyle w:val="FirstParagraph"/>
      </w:pPr>
      <w:r>
        <w:t xml:space="preserve">The RAG service connects to a</w:t>
      </w:r>
      <w:r>
        <w:t xml:space="preserve"> </w:t>
      </w:r>
      <w:r>
        <w:rPr>
          <w:b/>
          <w:bCs/>
        </w:rPr>
        <w:t xml:space="preserve">LiteLLM gateway</w:t>
      </w:r>
      <w:r>
        <w:t xml:space="preserve">, giving you full control over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large language model powers the tutor: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eLeDia-hosted models</w:t>
      </w:r>
      <w:r>
        <w:t xml:space="preserve"> </w:t>
      </w:r>
      <w:r>
        <w:t xml:space="preserve">— we operate the gateway and provide access to</w:t>
      </w:r>
      <w:r>
        <w:t xml:space="preserve"> </w:t>
      </w:r>
      <w:r>
        <w:t xml:space="preserve">leading models (for example OpenAI), with European hosting options.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Bring your own provider</w:t>
      </w:r>
      <w:r>
        <w:t xml:space="preserve"> </w:t>
      </w:r>
      <w:r>
        <w:t xml:space="preserve">— point the gateway at your own foundation-model</w:t>
      </w:r>
      <w:r>
        <w:t xml:space="preserve"> </w:t>
      </w:r>
      <w:r>
        <w:t xml:space="preserve">subscription or a self-hosted/open model. Switch or mix providers without</w:t>
      </w:r>
      <w:r>
        <w:t xml:space="preserve"> </w:t>
      </w:r>
      <w:r>
        <w:t xml:space="preserve">changing anything in Moodle.</w:t>
      </w:r>
    </w:p>
    <w:p>
      <w:pPr>
        <w:pStyle w:val="FirstParagraph"/>
      </w:pPr>
      <w:r>
        <w:t xml:space="preserve">This means</w:t>
      </w:r>
      <w:r>
        <w:t xml:space="preserve"> </w:t>
      </w:r>
      <w:r>
        <w:rPr>
          <w:b/>
          <w:bCs/>
        </w:rPr>
        <w:t xml:space="preserve">no vendor lock-in at the model layer</w:t>
      </w:r>
      <w:r>
        <w:t xml:space="preserve">, predictable cost control, and</w:t>
      </w:r>
      <w:r>
        <w:t xml:space="preserve"> </w:t>
      </w:r>
      <w:r>
        <w:t xml:space="preserve">the ability to meet data-residency and procurement requirements.</w:t>
      </w:r>
    </w:p>
    <w:bookmarkEnd w:id="57"/>
    <w:bookmarkStart w:id="61" w:name="security-privacy-data-sovereignty"/>
    <w:p>
      <w:pPr>
        <w:pStyle w:val="berschrift1"/>
      </w:pPr>
      <w:r>
        <w:t xml:space="preserve">10. Security, privacy &amp; data sovereignty</w:t>
      </w:r>
    </w:p>
    <w:p>
      <w:pPr>
        <w:pStyle w:val="FirstParagraph"/>
      </w:pPr>
      <w:r>
        <w:t xml:space="preserve">Built to Moodle and enterprise security standards from day one: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Secrets stay server-side.</w:t>
      </w:r>
      <w:r>
        <w:t xml:space="preserve"> </w:t>
      </w:r>
      <w:r>
        <w:t xml:space="preserve">Moodle tokens and model/provider credentials are</w:t>
      </w:r>
      <w:r>
        <w:t xml:space="preserve"> </w:t>
      </w:r>
      <w:r>
        <w:t xml:space="preserve">never exposed to the browser; the learner’s app only ever talks to Moodle.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User-scoped, short-lived tokens.</w:t>
      </w:r>
      <w:r>
        <w:t xml:space="preserve"> </w:t>
      </w:r>
      <w:r>
        <w:t xml:space="preserve">Each AI interaction uses a token bound to</w:t>
      </w:r>
      <w:r>
        <w:t xml:space="preserve"> </w:t>
      </w:r>
      <w:r>
        <w:t xml:space="preserve">the individual learner and the configured service — automatically provisioned,</w:t>
      </w:r>
      <w:r>
        <w:t xml:space="preserve"> </w:t>
      </w:r>
      <w:r>
        <w:t xml:space="preserve">rotated, revoked and auditable.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Least privilege.</w:t>
      </w:r>
      <w:r>
        <w:t xml:space="preserve"> </w:t>
      </w:r>
      <w:r>
        <w:t xml:space="preserve">The tutor sees exactly what the learner sees — nothing more.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Documented consent.</w:t>
      </w:r>
      <w:r>
        <w:t xml:space="preserve"> </w:t>
      </w:r>
      <w:r>
        <w:t xml:space="preserve">First-use acknowledgement of your privacy guidelines,</w:t>
      </w:r>
      <w:r>
        <w:t xml:space="preserve"> </w:t>
      </w:r>
      <w:r>
        <w:t xml:space="preserve">with self-service data deletion.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GDPR-ready.</w:t>
      </w:r>
      <w:r>
        <w:t xml:space="preserve"> </w:t>
      </w:r>
      <w:r>
        <w:t xml:space="preserve">Full Moodle Privacy API support; conversation data and its</w:t>
      </w:r>
      <w:r>
        <w:t xml:space="preserve"> </w:t>
      </w:r>
      <w:r>
        <w:t xml:space="preserve">retention are transparent, exportable and erasable.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 stay in control of the data flow.</w:t>
      </w:r>
      <w:r>
        <w:t xml:space="preserve"> </w:t>
      </w:r>
      <w:r>
        <w:t xml:space="preserve">Choose where the RAG service and the</w:t>
      </w:r>
      <w:r>
        <w:t xml:space="preserve"> </w:t>
      </w:r>
      <w:r>
        <w:t xml:space="preserve">models run; on-prem / EU hosting options are available.</w:t>
      </w:r>
    </w:p>
    <w:p>
      <w:pPr>
        <w:pStyle w:val="Standard"/>
        <w:jc w:val="center"/>
      </w:pPr>
      <w:r>
        <w:drawing>
          <wp:inline>
            <wp:extent cx="2879999" cy="4244210"/>
            <wp:effectExtent b="0" l="0" r="0" t="0"/>
            <wp:docPr descr="First-use privacy consent: before the first message, learners read and acknowledge your privacy guidelines; they can review them any time and delete their own data." title="" id="59" name="Picture"/>
            <a:graphic>
              <a:graphicData uri="http://schemas.openxmlformats.org/drawingml/2006/picture">
                <pic:pic>
                  <pic:nvPicPr>
                    <pic:cNvPr descr="img/privacy_e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24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First-use privacy consent: before the first message, learners read and acknowledge your privacy guidelines; they can review them any time and delete their own data.</w:t>
      </w:r>
    </w:p>
    <w:bookmarkEnd w:id="61"/>
    <w:bookmarkStart w:id="65" w:name="how-it-works"/>
    <w:p>
      <w:pPr>
        <w:pStyle w:val="berschrift1"/>
      </w:pPr>
      <w:r>
        <w:t xml:space="preserve">11. How it works</w:t>
      </w:r>
    </w:p>
    <w:p>
      <w:pPr>
        <w:pStyle w:val="Standard"/>
        <w:jc w:val="center"/>
      </w:pPr>
      <w:r>
        <w:drawing>
          <wp:inline>
            <wp:extent cx="5727700" cy="3232059"/>
            <wp:effectExtent b="0" l="0" r="0" t="0"/>
            <wp:docPr descr="How the pieces fit together — from where people ask, through the agentic RAG service and the Moodle MCP server, to the model gateway and the model you choose." title="" id="63" name="Picture"/>
            <a:graphic>
              <a:graphicData uri="http://schemas.openxmlformats.org/drawingml/2006/picture">
                <pic:pic>
                  <pic:nvPicPr>
                    <pic:cNvPr descr="img/architecture_e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How the pieces fit together — from where people ask, through the agentic RAG service and the Moodle MCP server, to the model gateway and the model you choose.</w:t>
      </w:r>
    </w:p>
    <w:p>
      <w:pPr>
        <w:pStyle w:val="BodyText"/>
      </w:pPr>
      <w:r>
        <w:rPr>
          <w:b/>
          <w:bCs/>
        </w:rPr>
        <w:t xml:space="preserve">Step by step, when a learner asks a question:</w:t>
      </w:r>
    </w:p>
    <w:p>
      <w:pPr>
        <w:pStyle w:val="Compact"/>
        <w:numPr>
          <w:ilvl w:val="0"/>
          <w:numId w:val="1010"/>
        </w:numPr>
      </w:pPr>
      <w:r>
        <w:t xml:space="preserve">They type into the eLeDia.ai Tutor block in Moodle (or their MCP client).</w:t>
      </w:r>
    </w:p>
    <w:p>
      <w:pPr>
        <w:pStyle w:val="Compact"/>
        <w:numPr>
          <w:ilvl w:val="0"/>
          <w:numId w:val="1010"/>
        </w:numPr>
      </w:pPr>
      <w:r>
        <w:t xml:space="preserve">Moodle hands the request to the</w:t>
      </w:r>
      <w:r>
        <w:t xml:space="preserve"> </w:t>
      </w:r>
      <w:r>
        <w:rPr>
          <w:b/>
          <w:bCs/>
        </w:rPr>
        <w:t xml:space="preserve">agentic RAG service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short-lived,</w:t>
      </w:r>
      <w:r>
        <w:rPr>
          <w:b/>
          <w:bCs/>
        </w:rPr>
        <w:t xml:space="preserve"> </w:t>
      </w:r>
      <w:r>
        <w:rPr>
          <w:b/>
          <w:bCs/>
        </w:rPr>
        <w:t xml:space="preserve">user-scoped token</w:t>
      </w:r>
      <w:r>
        <w:t xml:space="preserve"> </w:t>
      </w:r>
      <w:r>
        <w:t xml:space="preserve">— never exposed to the browser — and the tutor’s persona.</w:t>
      </w:r>
    </w:p>
    <w:p>
      <w:pPr>
        <w:pStyle w:val="Compact"/>
        <w:numPr>
          <w:ilvl w:val="0"/>
          <w:numId w:val="1010"/>
        </w:numPr>
      </w:pPr>
      <w:r>
        <w:t xml:space="preserve">The RAG service</w:t>
      </w:r>
      <w:r>
        <w:t xml:space="preserve"> </w:t>
      </w:r>
      <w:r>
        <w:rPr>
          <w:b/>
          <w:bCs/>
        </w:rPr>
        <w:t xml:space="preserve">retrieves</w:t>
      </w:r>
      <w:r>
        <w:t xml:space="preserve"> </w:t>
      </w:r>
      <w:r>
        <w:t xml:space="preserve">relevant passages from your course knowledge base</w:t>
      </w:r>
      <w:r>
        <w:t xml:space="preserve"> </w:t>
      </w:r>
      <w:r>
        <w:t xml:space="preserve">and, when it needs live information (courses, deadlines, grades, a resource),</w:t>
      </w:r>
      <w:r>
        <w:t xml:space="preserve"> </w:t>
      </w:r>
      <w:r>
        <w:rPr>
          <w:b/>
          <w:bCs/>
        </w:rPr>
        <w:t xml:space="preserve">calls back into Moodle</w:t>
      </w:r>
      <w:r>
        <w:t xml:space="preserve"> </w:t>
      </w:r>
      <w:r>
        <w:t xml:space="preserve">through the MCP server — acting as that learner and</w:t>
      </w:r>
      <w:r>
        <w:t xml:space="preserve"> </w:t>
      </w:r>
      <w:r>
        <w:t xml:space="preserve">only seeing what they’re allowed to see.</w:t>
      </w:r>
    </w:p>
    <w:p>
      <w:pPr>
        <w:pStyle w:val="Compact"/>
        <w:numPr>
          <w:ilvl w:val="0"/>
          <w:numId w:val="1010"/>
        </w:numPr>
      </w:pPr>
      <w:r>
        <w:t xml:space="preserve">It composes the answer using the</w:t>
      </w:r>
      <w:r>
        <w:t xml:space="preserve"> </w:t>
      </w:r>
      <w:r>
        <w:rPr>
          <w:b/>
          <w:bCs/>
        </w:rPr>
        <w:t xml:space="preserve">language model you selected</w:t>
      </w:r>
      <w:r>
        <w:t xml:space="preserve"> </w:t>
      </w:r>
      <w:r>
        <w:t xml:space="preserve">(via the</w:t>
      </w:r>
      <w:r>
        <w:t xml:space="preserve"> </w:t>
      </w:r>
      <w:r>
        <w:t xml:space="preserve">LiteLLM gateway) and returns a grounded, cited response.</w:t>
      </w:r>
    </w:p>
    <w:bookmarkEnd w:id="65"/>
    <w:bookmarkStart w:id="66" w:name="what-you-get"/>
    <w:p>
      <w:pPr>
        <w:pStyle w:val="berschrift1"/>
      </w:pPr>
      <w:r>
        <w:t xml:space="preserve">12. What you 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eLeDia.ai Tutor</w:t>
            </w:r>
            <w:r>
              <w:t xml:space="preserve"> </w:t>
            </w:r>
            <w:r>
              <w:t xml:space="preserve">(Moodle block)</w:t>
            </w:r>
          </w:p>
        </w:tc>
        <w:tc>
          <w:tcPr/>
          <w:p>
            <w:pPr>
              <w:pStyle w:val="Compact"/>
            </w:pPr>
            <w:r>
              <w:t xml:space="preserve">The in-Moodle chat experience, full branding &amp; tutor profiles, and the secure connector.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Moodle MCP Server</w:t>
            </w:r>
            <w:r>
              <w:t xml:space="preserve"> </w:t>
            </w:r>
            <w:r>
              <w:t xml:space="preserve">(web service)</w:t>
            </w:r>
          </w:p>
        </w:tc>
        <w:tc>
          <w:tcPr/>
          <w:p>
            <w:pPr>
              <w:pStyle w:val="Compact"/>
            </w:pPr>
            <w:r>
              <w:t xml:space="preserve">Exposes Moodle as permission-scoped tools for any AI agent; self-service token management for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RAG / Tutor service</w:t>
            </w:r>
          </w:p>
        </w:tc>
        <w:tc>
          <w:tcPr/>
          <w:p>
            <w:pPr>
              <w:pStyle w:val="Compact"/>
            </w:pPr>
            <w:r>
              <w:t xml:space="preserve">Retrieval over your content + multi-step reasoning + Moodle tool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ingestion</w:t>
            </w:r>
          </w:p>
        </w:tc>
        <w:tc>
          <w:tcPr/>
          <w:p>
            <w:pPr>
              <w:pStyle w:val="Compact"/>
            </w:pPr>
            <w:r>
              <w:t xml:space="preserve">Extracts course content and feeds the RAG knowledge base — automatically and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LiteLLM model gateway</w:t>
            </w:r>
          </w:p>
        </w:tc>
        <w:tc>
          <w:tcPr/>
          <w:p>
            <w:pPr>
              <w:pStyle w:val="Compact"/>
            </w:pPr>
            <w:r>
              <w:t xml:space="preserve">Routes to eLeDia-hosted models or your own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&amp; onboarding</w:t>
            </w:r>
          </w:p>
        </w:tc>
        <w:tc>
          <w:tcPr/>
          <w:p>
            <w:pPr>
              <w:pStyle w:val="Compact"/>
            </w:pPr>
            <w:r>
              <w:t xml:space="preserve">Setup, knowledge-base ingestion, model configuration, branding and training.</w:t>
            </w:r>
          </w:p>
        </w:tc>
      </w:tr>
    </w:tbl>
    <w:bookmarkEnd w:id="66"/>
    <w:bookmarkStart w:id="67" w:name="why-eledia"/>
    <w:p>
      <w:pPr>
        <w:pStyle w:val="berschrift1"/>
      </w:pPr>
      <w:r>
        <w:t xml:space="preserve">13. Why eLeDia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complete, integrated</w:t>
      </w:r>
      <w:r>
        <w:t xml:space="preserve"> </w:t>
      </w:r>
      <w:r>
        <w:t xml:space="preserve">solution — not a bolt-on chatbot: the LMS, the agent,</w:t>
      </w:r>
      <w:r>
        <w:t xml:space="preserve"> </w:t>
      </w:r>
      <w:r>
        <w:t xml:space="preserve">the tools and the model layer are designed to work together.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On-brand:</w:t>
      </w:r>
      <w:r>
        <w:t xml:space="preserve"> </w:t>
      </w:r>
      <w:r>
        <w:t xml:space="preserve">fully customisable look and persona, with shareable tutor profiles.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standards (MCP):</w:t>
      </w:r>
      <w:r>
        <w:t xml:space="preserve"> </w:t>
      </w:r>
      <w:r>
        <w:t xml:space="preserve">the same investment serves Moodle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external AI</w:t>
      </w:r>
      <w:r>
        <w:t xml:space="preserve"> </w:t>
      </w:r>
      <w:r>
        <w:t xml:space="preserve">tooling.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Model-agnostic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data-sovereign</w:t>
      </w:r>
      <w:r>
        <w:t xml:space="preserve"> </w:t>
      </w:r>
      <w:r>
        <w:t xml:space="preserve">— you choose the AI and where it runs.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Native, accessible, bilingual</w:t>
      </w:r>
      <w:r>
        <w:t xml:space="preserve"> </w:t>
      </w:r>
      <w:r>
        <w:t xml:space="preserve">(English &amp; German) Moodle plugins, CI-tested</w:t>
      </w:r>
      <w:r>
        <w:t xml:space="preserve"> </w:t>
      </w:r>
      <w:r>
        <w:t xml:space="preserve">against current Moodle releases.</w:t>
      </w:r>
    </w:p>
    <w:p>
      <w:pPr>
        <w:pStyle w:val="Compact"/>
        <w:numPr>
          <w:ilvl w:val="0"/>
          <w:numId w:val="1011"/>
        </w:numPr>
      </w:pPr>
      <w:r>
        <w:t xml:space="preserve">Delivered and supported by</w:t>
      </w:r>
      <w:r>
        <w:t xml:space="preserve"> </w:t>
      </w:r>
      <w:r>
        <w:rPr>
          <w:b/>
          <w:bCs/>
        </w:rPr>
        <w:t xml:space="preserve">eLeDia</w:t>
      </w:r>
      <w:r>
        <w:t xml:space="preserve">, a specialist Moodle partner.</w:t>
      </w:r>
    </w:p>
    <w:bookmarkEnd w:id="67"/>
    <w:bookmarkStart w:id="68" w:name="in-plain-words-glossary-box"/>
    <w:p>
      <w:pPr>
        <w:pStyle w:val="berschrift1"/>
      </w:pPr>
      <w:r>
        <w:t xml:space="preserve">14. In plain words (glossary box)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MCP (Model Context Protocol):</w:t>
      </w:r>
      <w:r>
        <w:t xml:space="preserve"> </w:t>
      </w:r>
      <w:r>
        <w:t xml:space="preserve">an open standard that lets AI assistants use</w:t>
      </w:r>
      <w:r>
        <w:t xml:space="preserve"> </w:t>
      </w:r>
      <w:r>
        <w:t xml:space="preserve">external tools and data sources securely. We use it so any AI client can work</w:t>
      </w:r>
      <w:r>
        <w:t xml:space="preserve"> </w:t>
      </w:r>
      <w:r>
        <w:t xml:space="preserve">with Moodle, and so the tutor can use Moodle as a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RAG (Retrieval-Augmented Generation):</w:t>
      </w:r>
      <w:r>
        <w:t xml:space="preserve"> </w:t>
      </w:r>
      <w:r>
        <w:t xml:space="preserve">grounding AI answers in your own</w:t>
      </w:r>
      <w:r>
        <w:t xml:space="preserve"> </w:t>
      </w:r>
      <w:r>
        <w:t xml:space="preserve">content instead of relying solely on the model’s memory.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Agentic:</w:t>
      </w:r>
      <w:r>
        <w:t xml:space="preserve"> </w:t>
      </w:r>
      <w:r>
        <w:t xml:space="preserve">the AI takes multiple reasoning steps and calls tools (look things</w:t>
      </w:r>
      <w:r>
        <w:t xml:space="preserve"> </w:t>
      </w:r>
      <w:r>
        <w:t xml:space="preserve">up, act) rather than producing a single one-shot reply.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Tutor profile / preset:</w:t>
      </w:r>
      <w:r>
        <w:t xml:space="preserve"> </w:t>
      </w:r>
      <w:r>
        <w:t xml:space="preserve">a complete, named look-and-persona for the tutor that</w:t>
      </w:r>
      <w:r>
        <w:t xml:space="preserve"> </w:t>
      </w:r>
      <w:r>
        <w:t xml:space="preserve">can be applied, saved, exported and imported.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LiteLLM:</w:t>
      </w:r>
      <w:r>
        <w:t xml:space="preserve"> </w:t>
      </w:r>
      <w:r>
        <w:t xml:space="preserve">a gateway that gives a single, consistent way to connect to many</w:t>
      </w:r>
      <w:r>
        <w:t xml:space="preserve"> </w:t>
      </w:r>
      <w:r>
        <w:t xml:space="preserve">language-model providers — so the model can be swapped or chosen freely.</w:t>
      </w:r>
    </w:p>
    <w:p>
      <w:pPr>
        <w:pStyle w:val="FirstParagraph"/>
      </w:pPr>
      <w:r>
        <w:t xml:space="preserve">*Prepared for sales enablement. Technical references — the plugin README, the</w:t>
      </w:r>
    </w:p>
    <w:bookmarkEnd w:id="68"/>
    <w:sectPr w:rsidR="004A7BF2" w:rsidRPr="001B50CC" w:rsidSect="007B7C0E">
      <w:headerReference r:id="rId11" w:type="default"/>
      <w:footerReference r:id="rId12" w:type="default"/>
      <w:headerReference r:id="rId13" w:type="first"/>
      <w:footerReference r:id="rId14" w:type="first"/>
      <w:pgSz w:h="16838" w:w="11906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BDE6" w14:textId="77777777" w:rsidR="007B7C0E" w:rsidRPr="00867307" w:rsidRDefault="46F59FBB" w:rsidP="00867307">
    <w:pPr>
      <w:pStyle w:val="Fuzeile"/>
    </w:pPr>
    <w:r w:rsidRPr="00867307">
      <w:t xml:space="preserve">14 June 2026 | </w:t>
    </w:r>
    <w:r w:rsidR="00FC59AE">
      <w:t xml:space="preserve">eLeDia.ai Tutor – Solution Overview · v2.0</w:t>
    </w:r>
    <w:r w:rsidR="00380E0E" w:rsidRPr="00867307">
      <w:tab/>
    </w:r>
    <w:r w:rsidR="00380E0E" w:rsidRPr="00867307">
      <w:tab/>
    </w:r>
    <w:r w:rsidRPr="00867307">
      <w:t xml:space="preserve">Page </w:t>
    </w:r>
    <w:r w:rsidR="00380E0E" w:rsidRPr="00867307">
      <w:fldChar w:fldCharType="begin"/>
    </w:r>
    <w:r w:rsidR="00380E0E" w:rsidRPr="00867307">
      <w:instrText xml:space="preserve"> PAGE \* ARABIC </w:instrText>
    </w:r>
    <w:r w:rsidR="00380E0E" w:rsidRPr="00867307">
      <w:fldChar w:fldCharType="separate"/>
    </w:r>
    <w:r w:rsidRPr="00867307">
      <w:t>1</w:t>
    </w:r>
    <w:r w:rsidR="00380E0E" w:rsidRPr="00867307">
      <w:fldChar w:fldCharType="end"/>
    </w:r>
    <w:r w:rsidRPr="00867307">
      <w:t xml:space="preserve"> of </w:t>
    </w:r>
    <w:fldSimple w:instr=" NUMPAGES \* ARABIC ">
      <w:r w:rsidRPr="00867307"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71"/>
      <w:gridCol w:w="5495"/>
    </w:tblGrid>
    <w:tr w:rsidR="002B5C28" w:rsidRPr="008C115F" w14:paraId="7BF3118F" w14:textId="77777777" w:rsidTr="00A36C5B">
      <w:trPr>
        <w:trHeight w:val="1020"/>
      </w:trPr>
      <w:tc>
        <w:tcPr>
          <w:tcW w:w="1871" w:type="dxa"/>
        </w:tcPr>
        <w:p w14:paraId="353EBEAA" w14:textId="77777777" w:rsidR="002B5C28" w:rsidRPr="00A36C5B" w:rsidRDefault="002B5C28" w:rsidP="00867307">
          <w:pPr>
            <w:pStyle w:val="Fuzeile"/>
          </w:pPr>
          <w:r w:rsidRPr="00A36C5B">
            <w:t>Sitz der Gesellschaft</w:t>
          </w:r>
        </w:p>
        <w:p w14:paraId="43254FB5" w14:textId="77777777" w:rsidR="002B5C28" w:rsidRPr="00A36C5B" w:rsidRDefault="002B5C28" w:rsidP="00867307">
          <w:pPr>
            <w:pStyle w:val="Fuzeile"/>
          </w:pPr>
          <w:r w:rsidRPr="00A36C5B">
            <w:t>Umsatzsteuer ID</w:t>
          </w:r>
        </w:p>
        <w:p w14:paraId="096FBC55" w14:textId="77777777" w:rsidR="002B5C28" w:rsidRPr="00A36C5B" w:rsidRDefault="002B5C28" w:rsidP="00867307">
          <w:pPr>
            <w:pStyle w:val="Fuzeile"/>
          </w:pPr>
          <w:r w:rsidRPr="00A36C5B">
            <w:t>DUNS-Nr.</w:t>
          </w:r>
        </w:p>
        <w:p w14:paraId="1E98B9BC" w14:textId="77777777" w:rsidR="002B5C28" w:rsidRPr="00A36C5B" w:rsidRDefault="002B5C28" w:rsidP="00867307">
          <w:pPr>
            <w:pStyle w:val="Fuzeile"/>
          </w:pPr>
          <w:r w:rsidRPr="00A36C5B">
            <w:t>Geschäftsführer</w:t>
          </w:r>
        </w:p>
        <w:p w14:paraId="641A2541" w14:textId="77777777" w:rsidR="002B5C28" w:rsidRPr="00A36C5B" w:rsidRDefault="002B5C28" w:rsidP="00867307">
          <w:pPr>
            <w:pStyle w:val="Fuzeile"/>
          </w:pPr>
          <w:r w:rsidRPr="00A36C5B">
            <w:t>Bankverbindung</w:t>
          </w:r>
        </w:p>
      </w:tc>
      <w:tc>
        <w:tcPr>
          <w:tcW w:w="5495" w:type="dxa"/>
        </w:tcPr>
        <w:p w14:paraId="5A142526" w14:textId="77777777" w:rsidR="002B5C28" w:rsidRPr="00A36C5B" w:rsidRDefault="002B5C28" w:rsidP="00867307">
          <w:pPr>
            <w:pStyle w:val="Fuzeile"/>
          </w:pPr>
          <w:r w:rsidRPr="00A36C5B">
            <w:t>Berlin • Amtsregister Charlottenburg • Registernummer: HRB 126668 B</w:t>
          </w:r>
        </w:p>
        <w:p w14:paraId="51E20A48" w14:textId="77777777" w:rsidR="002B5C28" w:rsidRPr="00A36C5B" w:rsidRDefault="002B5C28" w:rsidP="00867307">
          <w:pPr>
            <w:pStyle w:val="Fuzeile"/>
          </w:pPr>
          <w:r w:rsidRPr="00A36C5B">
            <w:t>DE270979748</w:t>
          </w:r>
        </w:p>
        <w:p w14:paraId="67B14013" w14:textId="77777777" w:rsidR="002B5C28" w:rsidRPr="00A36C5B" w:rsidRDefault="002B5C28" w:rsidP="00867307">
          <w:pPr>
            <w:pStyle w:val="Fuzeile"/>
          </w:pPr>
          <w:r w:rsidRPr="00A36C5B">
            <w:t>341623529</w:t>
          </w:r>
        </w:p>
        <w:p w14:paraId="15F40387" w14:textId="77777777" w:rsidR="002B5C28" w:rsidRPr="00A36C5B" w:rsidRDefault="002B5C28" w:rsidP="00867307">
          <w:pPr>
            <w:pStyle w:val="Fuzeile"/>
          </w:pPr>
          <w:r w:rsidRPr="00A36C5B">
            <w:t xml:space="preserve">Dr. Johannes </w:t>
          </w:r>
          <w:proofErr w:type="spellStart"/>
          <w:r w:rsidRPr="00A36C5B">
            <w:t>Moskaliuk</w:t>
          </w:r>
          <w:proofErr w:type="spellEnd"/>
        </w:p>
        <w:p w14:paraId="4D3817BA" w14:textId="77777777" w:rsidR="002B5C28" w:rsidRPr="00A36C5B" w:rsidRDefault="002B5C28" w:rsidP="00867307">
          <w:pPr>
            <w:pStyle w:val="Fuzeile"/>
          </w:pPr>
          <w:r w:rsidRPr="00A36C5B">
            <w:t>GLS Bank • IBAN: DE12 4306 0967 1116 7164 00 • BIC: GENO DEM1 GLS</w:t>
          </w:r>
        </w:p>
      </w:tc>
    </w:tr>
  </w:tbl>
  <w:p w14:paraId="36F596BB" w14:textId="77777777" w:rsidR="002B5C28" w:rsidRDefault="002B5C28" w:rsidP="00867307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0159" w14:textId="77777777" w:rsidR="007B7C0E" w:rsidRDefault="007B7C0E" w:rsidP="009F4A31">
    <w:pPr>
      <w:pStyle w:val="berschrift2"/>
      <w:rPr>
        <w:noProof/>
      </w:rPr>
    </w:pPr>
    <w:r w:rsidRPr="00A37E77">
      <w:rPr>
        <w:noProof/>
      </w:rPr>
      <w:drawing>
        <wp:anchor distT="0" distB="0" distL="0" distR="0" simplePos="0" relativeHeight="251658241" behindDoc="1" locked="0" layoutInCell="1" allowOverlap="1" wp14:anchorId="6E407B09" wp14:editId="3ABD0BC5">
          <wp:simplePos x="0" y="0"/>
          <wp:positionH relativeFrom="column">
            <wp:posOffset>4322445</wp:posOffset>
          </wp:positionH>
          <wp:positionV relativeFrom="paragraph">
            <wp:posOffset>-10795</wp:posOffset>
          </wp:positionV>
          <wp:extent cx="1511935" cy="647700"/>
          <wp:effectExtent l="0" t="0" r="0" b="0"/>
          <wp:wrapNone/>
          <wp:docPr id="1439285354" name="Grafik 2 Kopi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 Kopi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1193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53630">
      <w:rPr>
        <w:noProof/>
      </w:rPr>
      <w:t xml:space="preserve">eLeDia.ai Tutor — Solution Overview</w:t>
    </w:r>
    <w:r w:rsidR="007638A0">
      <w:rPr>
        <w:noProof/>
      </w:rPr>
      <w:t/>
    </w:r>
    <w:r w:rsidR="007638A0">
      <w:rPr>
        <w:noProof/>
      </w:rPr>
      <w:t/>
    </w:r>
  </w:p>
  <w:p w14:paraId="5E81A200" w14:textId="77777777" w:rsidR="009F4A31" w:rsidRPr="009F4A31" w:rsidRDefault="009F4A31" w:rsidP="009F4A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7466" w14:textId="77777777" w:rsidR="007B7C0E" w:rsidRDefault="007B7C0E" w:rsidP="007B7C0E">
    <w:pPr>
      <w:spacing w:before="240"/>
    </w:pPr>
    <w:r>
      <w:rPr>
        <w:noProof/>
      </w:rPr>
      <w:drawing>
        <wp:anchor distT="0" distB="0" distL="0" distR="0" simplePos="0" relativeHeight="251658240" behindDoc="1" locked="0" layoutInCell="1" allowOverlap="1" wp14:anchorId="1DF4345D" wp14:editId="3C89A4EF">
          <wp:simplePos x="0" y="0"/>
          <wp:positionH relativeFrom="column">
            <wp:posOffset>4322445</wp:posOffset>
          </wp:positionH>
          <wp:positionV relativeFrom="paragraph">
            <wp:posOffset>-10795</wp:posOffset>
          </wp:positionV>
          <wp:extent cx="1511935" cy="647700"/>
          <wp:effectExtent l="0" t="0" r="0" b="0"/>
          <wp:wrapNone/>
          <wp:docPr id="1" name="Grafik 2 Kopi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 Kopi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1193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8D7619" w14:textId="77777777" w:rsidR="007B7C0E" w:rsidRDefault="007B7C0E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FF3144D"/>
    <w:multiLevelType w:val="hybridMultilevel"/>
    <w:tmpl w:val="0456BD9A"/>
    <w:lvl w:ilvl="0" w:tplc="04070001">
      <w:start w:val="1"/>
      <w:numFmt w:val="bullet"/>
      <w:lvlText w:val=""/>
      <w:lvlJc w:val="left"/>
      <w:pPr>
        <w:ind w:hanging="360" w:left="768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88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208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928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48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68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88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808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528"/>
      </w:pPr>
      <w:rPr>
        <w:rFonts w:ascii="Wingdings" w:hAnsi="Wingdings" w:hint="default"/>
      </w:rPr>
    </w:lvl>
  </w:abstractNum>
  <w:abstractNum w15:restartNumberingAfterBreak="0" w:abstractNumId="1">
    <w:nsid w:val="10C17B5D"/>
    <w:multiLevelType w:val="hybridMultilevel"/>
    <w:tmpl w:val="0798D402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0A17E04"/>
    <w:multiLevelType w:val="hybridMultilevel"/>
    <w:tmpl w:val="566CCC82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AE142CE"/>
    <w:multiLevelType w:val="hybridMultilevel"/>
    <w:tmpl w:val="FDDC96E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B4A636A"/>
    <w:multiLevelType w:val="hybridMultilevel"/>
    <w:tmpl w:val="65C80616"/>
    <w:lvl w:ilvl="0" w:tplc="D9C608E6">
      <w:start w:val="1"/>
      <w:numFmt w:val="bullet"/>
      <w:lvlText w:val="•"/>
      <w:lvlJc w:val="left"/>
      <w:pPr>
        <w:ind w:hanging="360" w:left="720"/>
      </w:pPr>
    </w:lvl>
    <w:lvl w:ilvl="1" w:tplc="D5CC96EC">
      <w:numFmt w:val="decimal"/>
      <w:lvlText w:val=""/>
      <w:lvlJc w:val="left"/>
    </w:lvl>
    <w:lvl w:ilvl="2" w:tplc="6FAEC0C2">
      <w:numFmt w:val="decimal"/>
      <w:lvlText w:val=""/>
      <w:lvlJc w:val="left"/>
    </w:lvl>
    <w:lvl w:ilvl="3" w:tplc="5FD2584A">
      <w:numFmt w:val="decimal"/>
      <w:lvlText w:val=""/>
      <w:lvlJc w:val="left"/>
    </w:lvl>
    <w:lvl w:ilvl="4" w:tplc="A8902070">
      <w:numFmt w:val="decimal"/>
      <w:lvlText w:val=""/>
      <w:lvlJc w:val="left"/>
    </w:lvl>
    <w:lvl w:ilvl="5" w:tplc="DDCA4EFC">
      <w:numFmt w:val="decimal"/>
      <w:lvlText w:val=""/>
      <w:lvlJc w:val="left"/>
    </w:lvl>
    <w:lvl w:ilvl="6" w:tplc="6846A108">
      <w:numFmt w:val="decimal"/>
      <w:lvlText w:val=""/>
      <w:lvlJc w:val="left"/>
    </w:lvl>
    <w:lvl w:ilvl="7" w:tplc="53DCA0E6">
      <w:numFmt w:val="decimal"/>
      <w:lvlText w:val=""/>
      <w:lvlJc w:val="left"/>
    </w:lvl>
    <w:lvl w:ilvl="8" w:tplc="3BCEB54C">
      <w:numFmt w:val="decimal"/>
      <w:lvlText w:val=""/>
      <w:lvlJc w:val="left"/>
    </w:lvl>
  </w:abstractNum>
  <w:abstractNum w15:restartNumberingAfterBreak="0" w:abstractNumId="5">
    <w:nsid w:val="2B8973BC"/>
    <w:multiLevelType w:val="hybridMultilevel"/>
    <w:tmpl w:val="907C70AE"/>
    <w:lvl w:ilvl="0" w:tplc="2FF8A7DC">
      <w:start w:val="1"/>
      <w:numFmt w:val="bullet"/>
      <w:lvlText w:val="•"/>
      <w:lvlJc w:val="left"/>
      <w:pPr>
        <w:ind w:hanging="360" w:left="720"/>
      </w:pPr>
    </w:lvl>
    <w:lvl w:ilvl="1" w:tplc="4B52DA4A">
      <w:numFmt w:val="decimal"/>
      <w:lvlText w:val=""/>
      <w:lvlJc w:val="left"/>
    </w:lvl>
    <w:lvl w:ilvl="2" w:tplc="F6A602BC">
      <w:numFmt w:val="decimal"/>
      <w:lvlText w:val=""/>
      <w:lvlJc w:val="left"/>
    </w:lvl>
    <w:lvl w:ilvl="3" w:tplc="66880662">
      <w:numFmt w:val="decimal"/>
      <w:lvlText w:val=""/>
      <w:lvlJc w:val="left"/>
    </w:lvl>
    <w:lvl w:ilvl="4" w:tplc="374CEC2C">
      <w:numFmt w:val="decimal"/>
      <w:lvlText w:val=""/>
      <w:lvlJc w:val="left"/>
    </w:lvl>
    <w:lvl w:ilvl="5" w:tplc="DC683FBA">
      <w:numFmt w:val="decimal"/>
      <w:lvlText w:val=""/>
      <w:lvlJc w:val="left"/>
    </w:lvl>
    <w:lvl w:ilvl="6" w:tplc="2CFC487A">
      <w:numFmt w:val="decimal"/>
      <w:lvlText w:val=""/>
      <w:lvlJc w:val="left"/>
    </w:lvl>
    <w:lvl w:ilvl="7" w:tplc="0528472C">
      <w:numFmt w:val="decimal"/>
      <w:lvlText w:val=""/>
      <w:lvlJc w:val="left"/>
    </w:lvl>
    <w:lvl w:ilvl="8" w:tplc="F69EA216">
      <w:numFmt w:val="decimal"/>
      <w:lvlText w:val=""/>
      <w:lvlJc w:val="left"/>
    </w:lvl>
  </w:abstractNum>
  <w:abstractNum w15:restartNumberingAfterBreak="0" w:abstractNumId="6">
    <w:nsid w:val="3C067A8E"/>
    <w:multiLevelType w:val="hybridMultilevel"/>
    <w:tmpl w:val="CC404C22"/>
    <w:lvl w:ilvl="0" w:tplc="5C883556">
      <w:start w:val="1"/>
      <w:numFmt w:val="bullet"/>
      <w:lvlText w:val="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42E349B4"/>
    <w:multiLevelType w:val="hybridMultilevel"/>
    <w:tmpl w:val="76B0DA64"/>
    <w:lvl w:ilvl="0" w:tplc="F3BABE1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8761ED9"/>
    <w:multiLevelType w:val="hybridMultilevel"/>
    <w:tmpl w:val="EE642FCE"/>
    <w:lvl w:ilvl="0" w:tplc="0407000F">
      <w:start w:val="1"/>
      <w:numFmt w:val="decimal"/>
      <w:lvlText w:val="%1."/>
      <w:lvlJc w:val="left"/>
      <w:pPr>
        <w:ind w:hanging="360" w:left="720"/>
      </w:pPr>
    </w:lvl>
    <w:lvl w:ilvl="1" w:tplc="B67098AE">
      <w:numFmt w:val="decimal"/>
      <w:lvlText w:val=""/>
      <w:lvlJc w:val="left"/>
    </w:lvl>
    <w:lvl w:ilvl="2" w:tplc="C100A736">
      <w:numFmt w:val="decimal"/>
      <w:lvlText w:val=""/>
      <w:lvlJc w:val="left"/>
    </w:lvl>
    <w:lvl w:ilvl="3" w:tplc="34B44908">
      <w:numFmt w:val="decimal"/>
      <w:lvlText w:val=""/>
      <w:lvlJc w:val="left"/>
    </w:lvl>
    <w:lvl w:ilvl="4" w:tplc="0832EB1C">
      <w:numFmt w:val="decimal"/>
      <w:lvlText w:val=""/>
      <w:lvlJc w:val="left"/>
    </w:lvl>
    <w:lvl w:ilvl="5" w:tplc="21A2BA0A">
      <w:numFmt w:val="decimal"/>
      <w:lvlText w:val=""/>
      <w:lvlJc w:val="left"/>
    </w:lvl>
    <w:lvl w:ilvl="6" w:tplc="8F74E438">
      <w:numFmt w:val="decimal"/>
      <w:lvlText w:val=""/>
      <w:lvlJc w:val="left"/>
    </w:lvl>
    <w:lvl w:ilvl="7" w:tplc="C2C48A74">
      <w:numFmt w:val="decimal"/>
      <w:lvlText w:val=""/>
      <w:lvlJc w:val="left"/>
    </w:lvl>
    <w:lvl w:ilvl="8" w:tplc="0ACCB20E">
      <w:numFmt w:val="decimal"/>
      <w:lvlText w:val=""/>
      <w:lvlJc w:val="left"/>
    </w:lvl>
  </w:abstractNum>
  <w:abstractNum w15:restartNumberingAfterBreak="0" w:abstractNumId="9">
    <w:nsid w:val="4C9D707F"/>
    <w:multiLevelType w:val="hybridMultilevel"/>
    <w:tmpl w:val="2DAEBD2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D80723A"/>
    <w:multiLevelType w:val="hybridMultilevel"/>
    <w:tmpl w:val="241EDF64"/>
    <w:lvl w:ilvl="0" w:tplc="FFFFFFFF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61082D8B"/>
    <w:multiLevelType w:val="hybridMultilevel"/>
    <w:tmpl w:val="ADD6644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22D2869"/>
    <w:multiLevelType w:val="hybridMultilevel"/>
    <w:tmpl w:val="FE5E00D0"/>
    <w:lvl w:ilvl="0" w:tplc="8AB6E978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75CA1DD4"/>
    <w:multiLevelType w:val="hybridMultilevel"/>
    <w:tmpl w:val="0E10C466"/>
    <w:lvl w:ilvl="0" w:tplc="F35A86DA">
      <w:start w:val="1"/>
      <w:numFmt w:val="bullet"/>
      <w:lvlText w:val="•"/>
      <w:lvlJc w:val="left"/>
      <w:pPr>
        <w:ind w:hanging="360" w:left="720"/>
      </w:pPr>
    </w:lvl>
    <w:lvl w:ilvl="1" w:tplc="FD788736">
      <w:numFmt w:val="decimal"/>
      <w:lvlText w:val=""/>
      <w:lvlJc w:val="left"/>
    </w:lvl>
    <w:lvl w:ilvl="2" w:tplc="B3AEA604">
      <w:numFmt w:val="decimal"/>
      <w:lvlText w:val=""/>
      <w:lvlJc w:val="left"/>
    </w:lvl>
    <w:lvl w:ilvl="3" w:tplc="8A9874F4">
      <w:numFmt w:val="decimal"/>
      <w:lvlText w:val=""/>
      <w:lvlJc w:val="left"/>
    </w:lvl>
    <w:lvl w:ilvl="4" w:tplc="4852E146">
      <w:numFmt w:val="decimal"/>
      <w:lvlText w:val=""/>
      <w:lvlJc w:val="left"/>
    </w:lvl>
    <w:lvl w:ilvl="5" w:tplc="D818B7C8">
      <w:numFmt w:val="decimal"/>
      <w:lvlText w:val=""/>
      <w:lvlJc w:val="left"/>
    </w:lvl>
    <w:lvl w:ilvl="6" w:tplc="F89E8F02">
      <w:numFmt w:val="decimal"/>
      <w:lvlText w:val=""/>
      <w:lvlJc w:val="left"/>
    </w:lvl>
    <w:lvl w:ilvl="7" w:tplc="B6DEE602">
      <w:numFmt w:val="decimal"/>
      <w:lvlText w:val=""/>
      <w:lvlJc w:val="left"/>
    </w:lvl>
    <w:lvl w:ilvl="8" w:tplc="81201F78">
      <w:numFmt w:val="decimal"/>
      <w:lvlText w:val=""/>
      <w:lvlJc w:val="left"/>
    </w:lvl>
  </w:abstractNum>
  <w:abstractNum w15:restartNumberingAfterBreak="0" w:abstractNumId="14">
    <w:nsid w:val="7C7E4F8D"/>
    <w:multiLevelType w:val="hybridMultilevel"/>
    <w:tmpl w:val="FB2C5674"/>
    <w:lvl w:ilvl="0" w:tplc="5C883556">
      <w:start w:val="1"/>
      <w:numFmt w:val="bullet"/>
      <w:lvlText w:val="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57992439" w:numId="1">
    <w:abstractNumId w:val="14"/>
  </w:num>
  <w:num w16cid:durableId="1997804102" w:numId="2">
    <w:abstractNumId w:val="6"/>
  </w:num>
  <w:num w16cid:durableId="562637774" w:numId="3">
    <w:abstractNumId w:val="3"/>
  </w:num>
  <w:num w16cid:durableId="397751552" w:numId="4">
    <w:abstractNumId w:val="0"/>
  </w:num>
  <w:num w16cid:durableId="1047486195" w:numId="5">
    <w:abstractNumId w:val="9"/>
  </w:num>
  <w:num w16cid:durableId="1006403342" w:numId="6">
    <w:abstractNumId w:val="1"/>
  </w:num>
  <w:num w16cid:durableId="304434833" w:numId="7">
    <w:abstractNumId w:val="11"/>
  </w:num>
  <w:num w16cid:durableId="414474226" w:numId="8">
    <w:abstractNumId w:val="2"/>
  </w:num>
  <w:num w16cid:durableId="2015261159" w:numId="9">
    <w:abstractNumId w:val="13"/>
    <w:lvlOverride w:ilvl="0">
      <w:startOverride w:val="1"/>
    </w:lvlOverride>
  </w:num>
  <w:num w16cid:durableId="496959874" w:numId="10">
    <w:abstractNumId w:val="5"/>
    <w:lvlOverride w:ilvl="0">
      <w:startOverride w:val="1"/>
    </w:lvlOverride>
  </w:num>
  <w:num w16cid:durableId="93282719" w:numId="11">
    <w:abstractNumId w:val="4"/>
    <w:lvlOverride w:ilvl="0">
      <w:startOverride w:val="1"/>
    </w:lvlOverride>
  </w:num>
  <w:num w16cid:durableId="588585245" w:numId="12">
    <w:abstractNumId w:val="8"/>
  </w:num>
  <w:num w16cid:durableId="1291126973" w:numId="13">
    <w:abstractNumId w:val="8"/>
  </w:num>
  <w:num w16cid:durableId="1981768887" w:numId="14">
    <w:abstractNumId w:val="10"/>
  </w:num>
  <w:num w16cid:durableId="630475599" w:numId="15">
    <w:abstractNumId w:val="12"/>
  </w:num>
  <w:num w16cid:durableId="2040204930" w:numId="16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7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706"/>
    <w:rsid w:val="000049A8"/>
    <w:rsid w:val="00010891"/>
    <w:rsid w:val="00011256"/>
    <w:rsid w:val="0001469E"/>
    <w:rsid w:val="00014D5C"/>
    <w:rsid w:val="000157FD"/>
    <w:rsid w:val="00024FE4"/>
    <w:rsid w:val="00026469"/>
    <w:rsid w:val="000315BA"/>
    <w:rsid w:val="00033E8F"/>
    <w:rsid w:val="00041F5C"/>
    <w:rsid w:val="00044C94"/>
    <w:rsid w:val="000475B6"/>
    <w:rsid w:val="0005260B"/>
    <w:rsid w:val="00056410"/>
    <w:rsid w:val="00056691"/>
    <w:rsid w:val="00056F0A"/>
    <w:rsid w:val="00061E71"/>
    <w:rsid w:val="00063150"/>
    <w:rsid w:val="0006326F"/>
    <w:rsid w:val="00067499"/>
    <w:rsid w:val="0007472E"/>
    <w:rsid w:val="000760F5"/>
    <w:rsid w:val="00076B68"/>
    <w:rsid w:val="00077786"/>
    <w:rsid w:val="000856E5"/>
    <w:rsid w:val="00093B88"/>
    <w:rsid w:val="00096D3C"/>
    <w:rsid w:val="000A03D5"/>
    <w:rsid w:val="000A1F89"/>
    <w:rsid w:val="000A4D87"/>
    <w:rsid w:val="000A71DF"/>
    <w:rsid w:val="000A7798"/>
    <w:rsid w:val="000B5155"/>
    <w:rsid w:val="000B62DE"/>
    <w:rsid w:val="000C4B0F"/>
    <w:rsid w:val="000D28DC"/>
    <w:rsid w:val="000D51D1"/>
    <w:rsid w:val="000D6B43"/>
    <w:rsid w:val="000E18FC"/>
    <w:rsid w:val="000E4BE0"/>
    <w:rsid w:val="000F00A3"/>
    <w:rsid w:val="000F66E2"/>
    <w:rsid w:val="000F68D5"/>
    <w:rsid w:val="0010288C"/>
    <w:rsid w:val="0010409B"/>
    <w:rsid w:val="00110DE3"/>
    <w:rsid w:val="00114C46"/>
    <w:rsid w:val="001218C8"/>
    <w:rsid w:val="00121E2A"/>
    <w:rsid w:val="0012525F"/>
    <w:rsid w:val="00130925"/>
    <w:rsid w:val="00130F2E"/>
    <w:rsid w:val="00137F82"/>
    <w:rsid w:val="00143EB7"/>
    <w:rsid w:val="001479CA"/>
    <w:rsid w:val="00154C93"/>
    <w:rsid w:val="00160731"/>
    <w:rsid w:val="00161236"/>
    <w:rsid w:val="0017196B"/>
    <w:rsid w:val="00172589"/>
    <w:rsid w:val="0017449C"/>
    <w:rsid w:val="00176839"/>
    <w:rsid w:val="0018274B"/>
    <w:rsid w:val="00185F0C"/>
    <w:rsid w:val="00190EF8"/>
    <w:rsid w:val="00191187"/>
    <w:rsid w:val="0019507C"/>
    <w:rsid w:val="00196684"/>
    <w:rsid w:val="001A12D4"/>
    <w:rsid w:val="001B0B7E"/>
    <w:rsid w:val="001B1162"/>
    <w:rsid w:val="001B4D06"/>
    <w:rsid w:val="001B50CC"/>
    <w:rsid w:val="001C67FC"/>
    <w:rsid w:val="001D041C"/>
    <w:rsid w:val="001F2279"/>
    <w:rsid w:val="001F4A08"/>
    <w:rsid w:val="002008BF"/>
    <w:rsid w:val="00202870"/>
    <w:rsid w:val="00215828"/>
    <w:rsid w:val="002175D4"/>
    <w:rsid w:val="0022023E"/>
    <w:rsid w:val="0022170B"/>
    <w:rsid w:val="00224777"/>
    <w:rsid w:val="00224FA3"/>
    <w:rsid w:val="00232C32"/>
    <w:rsid w:val="00232EF5"/>
    <w:rsid w:val="00233553"/>
    <w:rsid w:val="00240805"/>
    <w:rsid w:val="00240CBF"/>
    <w:rsid w:val="002425E5"/>
    <w:rsid w:val="002467AD"/>
    <w:rsid w:val="00253AF8"/>
    <w:rsid w:val="00255396"/>
    <w:rsid w:val="00255CCB"/>
    <w:rsid w:val="0025655E"/>
    <w:rsid w:val="0025709C"/>
    <w:rsid w:val="0026108B"/>
    <w:rsid w:val="00266DB7"/>
    <w:rsid w:val="002754F6"/>
    <w:rsid w:val="00277AAE"/>
    <w:rsid w:val="00283690"/>
    <w:rsid w:val="00285119"/>
    <w:rsid w:val="00285C73"/>
    <w:rsid w:val="002B22E2"/>
    <w:rsid w:val="002B5C28"/>
    <w:rsid w:val="002C05A0"/>
    <w:rsid w:val="002C087F"/>
    <w:rsid w:val="002C6F9C"/>
    <w:rsid w:val="002D5257"/>
    <w:rsid w:val="002E740A"/>
    <w:rsid w:val="002F07F3"/>
    <w:rsid w:val="002F5B17"/>
    <w:rsid w:val="002F6197"/>
    <w:rsid w:val="002F7713"/>
    <w:rsid w:val="0030311E"/>
    <w:rsid w:val="003069CA"/>
    <w:rsid w:val="003175FD"/>
    <w:rsid w:val="0032031D"/>
    <w:rsid w:val="00321D42"/>
    <w:rsid w:val="00321F38"/>
    <w:rsid w:val="003239AD"/>
    <w:rsid w:val="003245E9"/>
    <w:rsid w:val="00324980"/>
    <w:rsid w:val="003311DD"/>
    <w:rsid w:val="00340021"/>
    <w:rsid w:val="00350B43"/>
    <w:rsid w:val="00353CF2"/>
    <w:rsid w:val="00357561"/>
    <w:rsid w:val="00360106"/>
    <w:rsid w:val="003776A6"/>
    <w:rsid w:val="00380023"/>
    <w:rsid w:val="00380E0E"/>
    <w:rsid w:val="003824E0"/>
    <w:rsid w:val="00393CC0"/>
    <w:rsid w:val="003B2AB7"/>
    <w:rsid w:val="003B70D9"/>
    <w:rsid w:val="003C1075"/>
    <w:rsid w:val="003C5845"/>
    <w:rsid w:val="003C6114"/>
    <w:rsid w:val="003C6474"/>
    <w:rsid w:val="003D0955"/>
    <w:rsid w:val="003D0B85"/>
    <w:rsid w:val="003D188B"/>
    <w:rsid w:val="003E75BF"/>
    <w:rsid w:val="003E7798"/>
    <w:rsid w:val="003F7992"/>
    <w:rsid w:val="0040193E"/>
    <w:rsid w:val="004038A8"/>
    <w:rsid w:val="00403F2B"/>
    <w:rsid w:val="00411800"/>
    <w:rsid w:val="00413D5D"/>
    <w:rsid w:val="0042146F"/>
    <w:rsid w:val="00422914"/>
    <w:rsid w:val="00423EB3"/>
    <w:rsid w:val="00425C47"/>
    <w:rsid w:val="004412DB"/>
    <w:rsid w:val="00444017"/>
    <w:rsid w:val="00445C02"/>
    <w:rsid w:val="004468B2"/>
    <w:rsid w:val="00447355"/>
    <w:rsid w:val="00447A03"/>
    <w:rsid w:val="00452133"/>
    <w:rsid w:val="00453468"/>
    <w:rsid w:val="004557C8"/>
    <w:rsid w:val="00455A1C"/>
    <w:rsid w:val="00455F03"/>
    <w:rsid w:val="00456D48"/>
    <w:rsid w:val="00457F27"/>
    <w:rsid w:val="00461167"/>
    <w:rsid w:val="004634A3"/>
    <w:rsid w:val="00471F4E"/>
    <w:rsid w:val="00472A03"/>
    <w:rsid w:val="00472AC5"/>
    <w:rsid w:val="00475165"/>
    <w:rsid w:val="0047602A"/>
    <w:rsid w:val="004766F5"/>
    <w:rsid w:val="0048563A"/>
    <w:rsid w:val="004858BF"/>
    <w:rsid w:val="00492E4D"/>
    <w:rsid w:val="004A1004"/>
    <w:rsid w:val="004A3056"/>
    <w:rsid w:val="004A46B3"/>
    <w:rsid w:val="004A7BF2"/>
    <w:rsid w:val="004B109D"/>
    <w:rsid w:val="004B679C"/>
    <w:rsid w:val="004B6861"/>
    <w:rsid w:val="004C182C"/>
    <w:rsid w:val="004D675B"/>
    <w:rsid w:val="004E2158"/>
    <w:rsid w:val="004E5F2E"/>
    <w:rsid w:val="004E7973"/>
    <w:rsid w:val="004E7F9C"/>
    <w:rsid w:val="004F650A"/>
    <w:rsid w:val="004F74AC"/>
    <w:rsid w:val="00500918"/>
    <w:rsid w:val="00501A9C"/>
    <w:rsid w:val="00516833"/>
    <w:rsid w:val="00525429"/>
    <w:rsid w:val="00530BBA"/>
    <w:rsid w:val="005329ED"/>
    <w:rsid w:val="00536067"/>
    <w:rsid w:val="00541A04"/>
    <w:rsid w:val="0054493B"/>
    <w:rsid w:val="00547780"/>
    <w:rsid w:val="00562C54"/>
    <w:rsid w:val="00567E59"/>
    <w:rsid w:val="0057121B"/>
    <w:rsid w:val="00571E65"/>
    <w:rsid w:val="00572B26"/>
    <w:rsid w:val="00572BB6"/>
    <w:rsid w:val="00583992"/>
    <w:rsid w:val="00586564"/>
    <w:rsid w:val="00587567"/>
    <w:rsid w:val="00597950"/>
    <w:rsid w:val="005A4F51"/>
    <w:rsid w:val="005A507F"/>
    <w:rsid w:val="005B5BF3"/>
    <w:rsid w:val="005C0B2A"/>
    <w:rsid w:val="005C1FAE"/>
    <w:rsid w:val="005C588F"/>
    <w:rsid w:val="005C5C2A"/>
    <w:rsid w:val="005D1D61"/>
    <w:rsid w:val="005D4DBC"/>
    <w:rsid w:val="005E527E"/>
    <w:rsid w:val="005F0CEE"/>
    <w:rsid w:val="005F2E8E"/>
    <w:rsid w:val="005F6980"/>
    <w:rsid w:val="00600A7B"/>
    <w:rsid w:val="00602361"/>
    <w:rsid w:val="00604B5B"/>
    <w:rsid w:val="00604BC9"/>
    <w:rsid w:val="00607123"/>
    <w:rsid w:val="006116C9"/>
    <w:rsid w:val="00611BDF"/>
    <w:rsid w:val="00615C86"/>
    <w:rsid w:val="0061654F"/>
    <w:rsid w:val="006204FC"/>
    <w:rsid w:val="006258D1"/>
    <w:rsid w:val="0062611E"/>
    <w:rsid w:val="006268C4"/>
    <w:rsid w:val="00627D97"/>
    <w:rsid w:val="00630ED4"/>
    <w:rsid w:val="00632DF1"/>
    <w:rsid w:val="0064129C"/>
    <w:rsid w:val="0064230A"/>
    <w:rsid w:val="0064728C"/>
    <w:rsid w:val="00652885"/>
    <w:rsid w:val="00654984"/>
    <w:rsid w:val="00655E8E"/>
    <w:rsid w:val="006742EB"/>
    <w:rsid w:val="00677BD3"/>
    <w:rsid w:val="006805A5"/>
    <w:rsid w:val="00683B89"/>
    <w:rsid w:val="00684F0A"/>
    <w:rsid w:val="0069268D"/>
    <w:rsid w:val="00696606"/>
    <w:rsid w:val="006A023A"/>
    <w:rsid w:val="006A0351"/>
    <w:rsid w:val="006A32B0"/>
    <w:rsid w:val="006A42C0"/>
    <w:rsid w:val="006B649B"/>
    <w:rsid w:val="006C1180"/>
    <w:rsid w:val="006C4A73"/>
    <w:rsid w:val="006D0722"/>
    <w:rsid w:val="006D221B"/>
    <w:rsid w:val="006E37AD"/>
    <w:rsid w:val="006F1B3E"/>
    <w:rsid w:val="006F4CEF"/>
    <w:rsid w:val="006F4FAA"/>
    <w:rsid w:val="00700914"/>
    <w:rsid w:val="00712522"/>
    <w:rsid w:val="00713667"/>
    <w:rsid w:val="00713C71"/>
    <w:rsid w:val="00716967"/>
    <w:rsid w:val="00717C65"/>
    <w:rsid w:val="007208B8"/>
    <w:rsid w:val="00727333"/>
    <w:rsid w:val="00730039"/>
    <w:rsid w:val="007343D9"/>
    <w:rsid w:val="007343E3"/>
    <w:rsid w:val="00737160"/>
    <w:rsid w:val="00740100"/>
    <w:rsid w:val="007416C5"/>
    <w:rsid w:val="00750154"/>
    <w:rsid w:val="00751CCC"/>
    <w:rsid w:val="00756700"/>
    <w:rsid w:val="00757114"/>
    <w:rsid w:val="007638A0"/>
    <w:rsid w:val="00766EE8"/>
    <w:rsid w:val="007703E4"/>
    <w:rsid w:val="00770B79"/>
    <w:rsid w:val="00771011"/>
    <w:rsid w:val="00775C1E"/>
    <w:rsid w:val="00777B42"/>
    <w:rsid w:val="00780406"/>
    <w:rsid w:val="007A2602"/>
    <w:rsid w:val="007A37A1"/>
    <w:rsid w:val="007A5F30"/>
    <w:rsid w:val="007A670F"/>
    <w:rsid w:val="007B17F3"/>
    <w:rsid w:val="007B2396"/>
    <w:rsid w:val="007B485E"/>
    <w:rsid w:val="007B4B21"/>
    <w:rsid w:val="007B736F"/>
    <w:rsid w:val="007B7C0E"/>
    <w:rsid w:val="007C0047"/>
    <w:rsid w:val="007C3821"/>
    <w:rsid w:val="007C79B7"/>
    <w:rsid w:val="007D1CE9"/>
    <w:rsid w:val="007D4104"/>
    <w:rsid w:val="007E124A"/>
    <w:rsid w:val="007E2078"/>
    <w:rsid w:val="007F0624"/>
    <w:rsid w:val="007F37F8"/>
    <w:rsid w:val="007F42C6"/>
    <w:rsid w:val="007F5B53"/>
    <w:rsid w:val="007F7A7C"/>
    <w:rsid w:val="008026CC"/>
    <w:rsid w:val="008055C4"/>
    <w:rsid w:val="00815581"/>
    <w:rsid w:val="00817631"/>
    <w:rsid w:val="008201BF"/>
    <w:rsid w:val="00820FA8"/>
    <w:rsid w:val="008217AA"/>
    <w:rsid w:val="00822003"/>
    <w:rsid w:val="00823E87"/>
    <w:rsid w:val="00825366"/>
    <w:rsid w:val="008254DB"/>
    <w:rsid w:val="00830501"/>
    <w:rsid w:val="0083256C"/>
    <w:rsid w:val="00832C4E"/>
    <w:rsid w:val="00835597"/>
    <w:rsid w:val="0083613B"/>
    <w:rsid w:val="00845536"/>
    <w:rsid w:val="008549B4"/>
    <w:rsid w:val="008609B1"/>
    <w:rsid w:val="008669AE"/>
    <w:rsid w:val="00867307"/>
    <w:rsid w:val="0087731C"/>
    <w:rsid w:val="00892273"/>
    <w:rsid w:val="00895620"/>
    <w:rsid w:val="008967E1"/>
    <w:rsid w:val="008A0BC8"/>
    <w:rsid w:val="008A6F2A"/>
    <w:rsid w:val="008A740D"/>
    <w:rsid w:val="008A7C9D"/>
    <w:rsid w:val="008B0984"/>
    <w:rsid w:val="008B1A87"/>
    <w:rsid w:val="008B4CFB"/>
    <w:rsid w:val="008C20C8"/>
    <w:rsid w:val="008C4697"/>
    <w:rsid w:val="008D1810"/>
    <w:rsid w:val="008D22C6"/>
    <w:rsid w:val="008E133A"/>
    <w:rsid w:val="008E257E"/>
    <w:rsid w:val="00901887"/>
    <w:rsid w:val="009100ED"/>
    <w:rsid w:val="00912C34"/>
    <w:rsid w:val="00914CAE"/>
    <w:rsid w:val="00917CAD"/>
    <w:rsid w:val="00920CB9"/>
    <w:rsid w:val="0092398D"/>
    <w:rsid w:val="00924065"/>
    <w:rsid w:val="00925546"/>
    <w:rsid w:val="009268E2"/>
    <w:rsid w:val="009311B4"/>
    <w:rsid w:val="00931EC9"/>
    <w:rsid w:val="009328AA"/>
    <w:rsid w:val="00957E08"/>
    <w:rsid w:val="009623C2"/>
    <w:rsid w:val="00964C9C"/>
    <w:rsid w:val="00980460"/>
    <w:rsid w:val="009870DC"/>
    <w:rsid w:val="00991246"/>
    <w:rsid w:val="00991E14"/>
    <w:rsid w:val="009968F5"/>
    <w:rsid w:val="009A7124"/>
    <w:rsid w:val="009A7C1A"/>
    <w:rsid w:val="009B125D"/>
    <w:rsid w:val="009B23A3"/>
    <w:rsid w:val="009B4AC8"/>
    <w:rsid w:val="009B6C51"/>
    <w:rsid w:val="009B76A5"/>
    <w:rsid w:val="009C0881"/>
    <w:rsid w:val="009C1FD0"/>
    <w:rsid w:val="009C4CBC"/>
    <w:rsid w:val="009C51B3"/>
    <w:rsid w:val="009C794F"/>
    <w:rsid w:val="009D2A1F"/>
    <w:rsid w:val="009D2C10"/>
    <w:rsid w:val="009F437B"/>
    <w:rsid w:val="009F4A31"/>
    <w:rsid w:val="009F4C32"/>
    <w:rsid w:val="009F4E88"/>
    <w:rsid w:val="009F5604"/>
    <w:rsid w:val="00A00133"/>
    <w:rsid w:val="00A001B3"/>
    <w:rsid w:val="00A03E49"/>
    <w:rsid w:val="00A03F04"/>
    <w:rsid w:val="00A0738A"/>
    <w:rsid w:val="00A10489"/>
    <w:rsid w:val="00A15238"/>
    <w:rsid w:val="00A3439E"/>
    <w:rsid w:val="00A36A33"/>
    <w:rsid w:val="00A36C5B"/>
    <w:rsid w:val="00A37745"/>
    <w:rsid w:val="00A37E77"/>
    <w:rsid w:val="00A40008"/>
    <w:rsid w:val="00A419B7"/>
    <w:rsid w:val="00A441C7"/>
    <w:rsid w:val="00A52432"/>
    <w:rsid w:val="00A56999"/>
    <w:rsid w:val="00A57027"/>
    <w:rsid w:val="00A5703C"/>
    <w:rsid w:val="00A57D2A"/>
    <w:rsid w:val="00A66624"/>
    <w:rsid w:val="00A7039A"/>
    <w:rsid w:val="00A73CF5"/>
    <w:rsid w:val="00A80102"/>
    <w:rsid w:val="00A8393E"/>
    <w:rsid w:val="00A912A6"/>
    <w:rsid w:val="00A91577"/>
    <w:rsid w:val="00A926D3"/>
    <w:rsid w:val="00AA17C2"/>
    <w:rsid w:val="00AA5506"/>
    <w:rsid w:val="00AA7EE3"/>
    <w:rsid w:val="00AB6F2A"/>
    <w:rsid w:val="00AC1BF8"/>
    <w:rsid w:val="00AC7203"/>
    <w:rsid w:val="00AD07AB"/>
    <w:rsid w:val="00AD30A5"/>
    <w:rsid w:val="00AD430D"/>
    <w:rsid w:val="00AD5CDC"/>
    <w:rsid w:val="00AE10A6"/>
    <w:rsid w:val="00AE1734"/>
    <w:rsid w:val="00AF2CDF"/>
    <w:rsid w:val="00AF4633"/>
    <w:rsid w:val="00B00DB2"/>
    <w:rsid w:val="00B03B97"/>
    <w:rsid w:val="00B042B7"/>
    <w:rsid w:val="00B05890"/>
    <w:rsid w:val="00B05C2E"/>
    <w:rsid w:val="00B11A4C"/>
    <w:rsid w:val="00B12980"/>
    <w:rsid w:val="00B20447"/>
    <w:rsid w:val="00B20CBB"/>
    <w:rsid w:val="00B224B1"/>
    <w:rsid w:val="00B25EEF"/>
    <w:rsid w:val="00B31073"/>
    <w:rsid w:val="00B320CC"/>
    <w:rsid w:val="00B3339D"/>
    <w:rsid w:val="00B40A3C"/>
    <w:rsid w:val="00B412A1"/>
    <w:rsid w:val="00B42935"/>
    <w:rsid w:val="00B43DD6"/>
    <w:rsid w:val="00B45CCF"/>
    <w:rsid w:val="00B4745F"/>
    <w:rsid w:val="00B47904"/>
    <w:rsid w:val="00B47EBF"/>
    <w:rsid w:val="00B512ED"/>
    <w:rsid w:val="00B54E93"/>
    <w:rsid w:val="00B562AF"/>
    <w:rsid w:val="00B57604"/>
    <w:rsid w:val="00B703CB"/>
    <w:rsid w:val="00B75F93"/>
    <w:rsid w:val="00B76D34"/>
    <w:rsid w:val="00B772F8"/>
    <w:rsid w:val="00B832A1"/>
    <w:rsid w:val="00B83525"/>
    <w:rsid w:val="00B90FE3"/>
    <w:rsid w:val="00B95138"/>
    <w:rsid w:val="00B95F8C"/>
    <w:rsid w:val="00B97D19"/>
    <w:rsid w:val="00BA0E0D"/>
    <w:rsid w:val="00BA2EB8"/>
    <w:rsid w:val="00BA3C0F"/>
    <w:rsid w:val="00BA438D"/>
    <w:rsid w:val="00BA7E8B"/>
    <w:rsid w:val="00BB179F"/>
    <w:rsid w:val="00BC2EEE"/>
    <w:rsid w:val="00BD2218"/>
    <w:rsid w:val="00BD38A2"/>
    <w:rsid w:val="00BD5339"/>
    <w:rsid w:val="00BD5BA0"/>
    <w:rsid w:val="00BD6B1E"/>
    <w:rsid w:val="00BE0A85"/>
    <w:rsid w:val="00BF01D7"/>
    <w:rsid w:val="00BF41CC"/>
    <w:rsid w:val="00C006FA"/>
    <w:rsid w:val="00C01767"/>
    <w:rsid w:val="00C01BE7"/>
    <w:rsid w:val="00C03A80"/>
    <w:rsid w:val="00C05512"/>
    <w:rsid w:val="00C101F7"/>
    <w:rsid w:val="00C1318C"/>
    <w:rsid w:val="00C141AE"/>
    <w:rsid w:val="00C14858"/>
    <w:rsid w:val="00C20C28"/>
    <w:rsid w:val="00C2127A"/>
    <w:rsid w:val="00C3183F"/>
    <w:rsid w:val="00C32C29"/>
    <w:rsid w:val="00C333A9"/>
    <w:rsid w:val="00C406E1"/>
    <w:rsid w:val="00C4116A"/>
    <w:rsid w:val="00C50D43"/>
    <w:rsid w:val="00C56B5C"/>
    <w:rsid w:val="00C61914"/>
    <w:rsid w:val="00C62BA2"/>
    <w:rsid w:val="00C6394F"/>
    <w:rsid w:val="00C660CA"/>
    <w:rsid w:val="00C75F79"/>
    <w:rsid w:val="00C7723C"/>
    <w:rsid w:val="00C9353C"/>
    <w:rsid w:val="00CA6741"/>
    <w:rsid w:val="00CB0D47"/>
    <w:rsid w:val="00CC03D6"/>
    <w:rsid w:val="00CC0A79"/>
    <w:rsid w:val="00CC1C50"/>
    <w:rsid w:val="00CC5122"/>
    <w:rsid w:val="00CD6B6E"/>
    <w:rsid w:val="00CD712F"/>
    <w:rsid w:val="00CE1766"/>
    <w:rsid w:val="00CE2C6E"/>
    <w:rsid w:val="00CE3011"/>
    <w:rsid w:val="00CF0EFC"/>
    <w:rsid w:val="00CF4598"/>
    <w:rsid w:val="00D06498"/>
    <w:rsid w:val="00D07F12"/>
    <w:rsid w:val="00D116D8"/>
    <w:rsid w:val="00D21747"/>
    <w:rsid w:val="00D272BF"/>
    <w:rsid w:val="00D34B82"/>
    <w:rsid w:val="00D3618A"/>
    <w:rsid w:val="00D42100"/>
    <w:rsid w:val="00D42A06"/>
    <w:rsid w:val="00D431CB"/>
    <w:rsid w:val="00D50706"/>
    <w:rsid w:val="00D53630"/>
    <w:rsid w:val="00D5784A"/>
    <w:rsid w:val="00D63F0C"/>
    <w:rsid w:val="00D65B18"/>
    <w:rsid w:val="00D663B8"/>
    <w:rsid w:val="00D70EF7"/>
    <w:rsid w:val="00D72204"/>
    <w:rsid w:val="00D724CD"/>
    <w:rsid w:val="00D808E6"/>
    <w:rsid w:val="00D82C4B"/>
    <w:rsid w:val="00D873F5"/>
    <w:rsid w:val="00DA2FDF"/>
    <w:rsid w:val="00DA3997"/>
    <w:rsid w:val="00DA79BD"/>
    <w:rsid w:val="00DB0193"/>
    <w:rsid w:val="00DB23A6"/>
    <w:rsid w:val="00DB23AF"/>
    <w:rsid w:val="00DB64A0"/>
    <w:rsid w:val="00DB7F4E"/>
    <w:rsid w:val="00DC1E71"/>
    <w:rsid w:val="00DC4A7E"/>
    <w:rsid w:val="00DC73B8"/>
    <w:rsid w:val="00DD04E4"/>
    <w:rsid w:val="00DD6631"/>
    <w:rsid w:val="00DD7741"/>
    <w:rsid w:val="00DE6B0A"/>
    <w:rsid w:val="00DF028F"/>
    <w:rsid w:val="00DF1183"/>
    <w:rsid w:val="00DF1C33"/>
    <w:rsid w:val="00DF2EF9"/>
    <w:rsid w:val="00DF58DC"/>
    <w:rsid w:val="00DF6EBD"/>
    <w:rsid w:val="00E07012"/>
    <w:rsid w:val="00E22EB2"/>
    <w:rsid w:val="00E235AB"/>
    <w:rsid w:val="00E23CFF"/>
    <w:rsid w:val="00E25BD7"/>
    <w:rsid w:val="00E26D1F"/>
    <w:rsid w:val="00E31A8C"/>
    <w:rsid w:val="00E31BA5"/>
    <w:rsid w:val="00E32A8D"/>
    <w:rsid w:val="00E32D54"/>
    <w:rsid w:val="00E41B61"/>
    <w:rsid w:val="00E45990"/>
    <w:rsid w:val="00E47685"/>
    <w:rsid w:val="00E503BD"/>
    <w:rsid w:val="00E54EF0"/>
    <w:rsid w:val="00E55FD2"/>
    <w:rsid w:val="00E56C37"/>
    <w:rsid w:val="00E62A92"/>
    <w:rsid w:val="00E6435F"/>
    <w:rsid w:val="00E75ACB"/>
    <w:rsid w:val="00E777B4"/>
    <w:rsid w:val="00E77920"/>
    <w:rsid w:val="00E828C4"/>
    <w:rsid w:val="00E84884"/>
    <w:rsid w:val="00EA01BD"/>
    <w:rsid w:val="00EA0B8B"/>
    <w:rsid w:val="00EA2D35"/>
    <w:rsid w:val="00EA3A45"/>
    <w:rsid w:val="00EA4429"/>
    <w:rsid w:val="00EB5C5B"/>
    <w:rsid w:val="00EB70D4"/>
    <w:rsid w:val="00EC1841"/>
    <w:rsid w:val="00EC1E50"/>
    <w:rsid w:val="00ED3F7B"/>
    <w:rsid w:val="00ED4756"/>
    <w:rsid w:val="00ED4BFA"/>
    <w:rsid w:val="00ED57D6"/>
    <w:rsid w:val="00EE0A7D"/>
    <w:rsid w:val="00EE30DB"/>
    <w:rsid w:val="00EE7437"/>
    <w:rsid w:val="00EF0EC8"/>
    <w:rsid w:val="00EF4AA1"/>
    <w:rsid w:val="00EF5C89"/>
    <w:rsid w:val="00F01D2E"/>
    <w:rsid w:val="00F04428"/>
    <w:rsid w:val="00F06230"/>
    <w:rsid w:val="00F137B8"/>
    <w:rsid w:val="00F163B4"/>
    <w:rsid w:val="00F20C12"/>
    <w:rsid w:val="00F212D5"/>
    <w:rsid w:val="00F2538C"/>
    <w:rsid w:val="00F2611E"/>
    <w:rsid w:val="00F3075F"/>
    <w:rsid w:val="00F355D6"/>
    <w:rsid w:val="00F37038"/>
    <w:rsid w:val="00F41FF8"/>
    <w:rsid w:val="00F50709"/>
    <w:rsid w:val="00F50DCD"/>
    <w:rsid w:val="00F515DC"/>
    <w:rsid w:val="00F57F7B"/>
    <w:rsid w:val="00F66339"/>
    <w:rsid w:val="00F7136D"/>
    <w:rsid w:val="00F71706"/>
    <w:rsid w:val="00F75B3B"/>
    <w:rsid w:val="00F83F0B"/>
    <w:rsid w:val="00F97405"/>
    <w:rsid w:val="00F97D94"/>
    <w:rsid w:val="00FA6BE1"/>
    <w:rsid w:val="00FB0501"/>
    <w:rsid w:val="00FC236B"/>
    <w:rsid w:val="00FC59AE"/>
    <w:rsid w:val="00FD2C0C"/>
    <w:rsid w:val="00FD4E03"/>
    <w:rsid w:val="00FD790A"/>
    <w:rsid w:val="00FD79D5"/>
    <w:rsid w:val="00FE0EC9"/>
    <w:rsid w:val="00FE4BD1"/>
    <w:rsid w:val="00FE7E08"/>
    <w:rsid w:val="02E88CF8"/>
    <w:rsid w:val="076D86F1"/>
    <w:rsid w:val="07D70F1E"/>
    <w:rsid w:val="099F9D31"/>
    <w:rsid w:val="0E2A72C4"/>
    <w:rsid w:val="0E41F112"/>
    <w:rsid w:val="10CCD53E"/>
    <w:rsid w:val="1278708B"/>
    <w:rsid w:val="160D6DA3"/>
    <w:rsid w:val="1D03F328"/>
    <w:rsid w:val="2B7694CA"/>
    <w:rsid w:val="2F6085E3"/>
    <w:rsid w:val="302D09FC"/>
    <w:rsid w:val="3086D238"/>
    <w:rsid w:val="3114C1BD"/>
    <w:rsid w:val="32FC8533"/>
    <w:rsid w:val="335EAA26"/>
    <w:rsid w:val="34457901"/>
    <w:rsid w:val="37DC4ACA"/>
    <w:rsid w:val="38BCB214"/>
    <w:rsid w:val="39C4F163"/>
    <w:rsid w:val="3B7B1386"/>
    <w:rsid w:val="3D608B91"/>
    <w:rsid w:val="3EB943B3"/>
    <w:rsid w:val="403CCA68"/>
    <w:rsid w:val="41354D80"/>
    <w:rsid w:val="4415062D"/>
    <w:rsid w:val="4601A7DB"/>
    <w:rsid w:val="46F59FBB"/>
    <w:rsid w:val="48657B37"/>
    <w:rsid w:val="487A6E4E"/>
    <w:rsid w:val="4A19FF9B"/>
    <w:rsid w:val="4A7DA07C"/>
    <w:rsid w:val="4B0789AE"/>
    <w:rsid w:val="4E7F574D"/>
    <w:rsid w:val="4F80339D"/>
    <w:rsid w:val="5601BEA1"/>
    <w:rsid w:val="57740B25"/>
    <w:rsid w:val="5898EE84"/>
    <w:rsid w:val="5CF1A296"/>
    <w:rsid w:val="5D16E090"/>
    <w:rsid w:val="5FFA8BA6"/>
    <w:rsid w:val="61803310"/>
    <w:rsid w:val="64CCD767"/>
    <w:rsid w:val="663BF8BC"/>
    <w:rsid w:val="67A7D003"/>
    <w:rsid w:val="67C96118"/>
    <w:rsid w:val="748F9547"/>
    <w:rsid w:val="76D09B57"/>
    <w:rsid w:val="787BC8DC"/>
    <w:rsid w:val="79256946"/>
    <w:rsid w:val="794A954A"/>
    <w:rsid w:val="7CB8FD77"/>
    <w:rsid w:val="7EEC9F82"/>
  </w:rsids>
  <w:themeFontLang w:bidi="ar-SA" w:eastAsia="ja-JP"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sz w:val="22"/>
        <w:szCs w:val="22"/>
        <w:lang w:bidi="ar-SA" w:eastAsia="en-US" w:val="de-DE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832C4E"/>
    <w:pPr>
      <w:spacing w:line="288" w:lineRule="auto"/>
    </w:pPr>
    <w:rPr>
      <w:rFonts w:ascii="Open Sans" w:hAnsi="Open Sans"/>
      <w:color w:themeColor="text1" w:val="000000"/>
      <w:sz w:val="20"/>
    </w:rPr>
  </w:style>
  <w:style w:styleId="berschrift1" w:type="paragraph">
    <w:name w:val="heading 1"/>
    <w:basedOn w:val="Standard"/>
    <w:next w:val="Standard"/>
    <w:link w:val="berschrift1Zchn"/>
    <w:uiPriority w:val="9"/>
    <w:qFormat/>
    <w:rsid w:val="00FA6BE1"/>
    <w:pPr>
      <w:keepNext/>
      <w:keepLines/>
      <w:spacing w:after="0" w:before="240"/>
      <w:outlineLvl w:val="0"/>
    </w:pPr>
    <w:rPr>
      <w:rFonts w:cstheme="majorBidi" w:eastAsiaTheme="majorEastAsia"/>
      <w:b/>
      <w:sz w:val="32"/>
      <w:szCs w:val="32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245E9"/>
    <w:pPr>
      <w:keepNext/>
      <w:keepLines/>
      <w:outlineLvl w:val="1"/>
    </w:pPr>
    <w:rPr>
      <w:rFonts w:cstheme="majorBidi" w:eastAsiaTheme="majorEastAsia"/>
      <w:b/>
      <w:color w:themeColor="text1" w:themeTint="F2" w:val="0D0D0D"/>
      <w:sz w:val="28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D431CB"/>
    <w:pPr>
      <w:keepNext/>
      <w:keepLines/>
      <w:spacing w:after="0" w:before="40"/>
      <w:outlineLvl w:val="2"/>
    </w:pPr>
    <w:rPr>
      <w:rFonts w:cstheme="majorBidi" w:eastAsiaTheme="majorEastAsia"/>
      <w:b/>
      <w:sz w:val="24"/>
    </w:rPr>
  </w:style>
  <w:style w:styleId="berschrift4" w:type="paragraph">
    <w:name w:val="heading 4"/>
    <w:basedOn w:val="Standard"/>
    <w:next w:val="Standard"/>
    <w:link w:val="berschrift4Zchn"/>
    <w:uiPriority w:val="9"/>
    <w:semiHidden/>
    <w:unhideWhenUsed/>
    <w:qFormat/>
    <w:rsid w:val="00D431CB"/>
    <w:pPr>
      <w:keepNext/>
      <w:keepLines/>
      <w:spacing w:after="0" w:before="40"/>
      <w:outlineLvl w:val="3"/>
    </w:pPr>
    <w:rPr>
      <w:rFonts w:cstheme="majorBidi" w:eastAsiaTheme="majorEastAsia"/>
      <w:b/>
      <w:iCs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itel" w:type="paragraph">
    <w:name w:val="Title"/>
    <w:aliases w:val="Deckblatt_Titel"/>
    <w:basedOn w:val="Standard"/>
    <w:next w:val="Standard"/>
    <w:link w:val="TitelZchn"/>
    <w:uiPriority w:val="10"/>
    <w:qFormat/>
    <w:rsid w:val="007F5B53"/>
    <w:pPr>
      <w:spacing w:after="0"/>
      <w:contextualSpacing/>
    </w:pPr>
    <w:rPr>
      <w:rFonts w:cstheme="majorBidi" w:eastAsiaTheme="majorEastAsia"/>
      <w:b/>
      <w:spacing w:val="-10"/>
      <w:kern w:val="28"/>
      <w:sz w:val="56"/>
      <w:szCs w:val="56"/>
    </w:rPr>
  </w:style>
  <w:style w:customStyle="1" w:styleId="TitelZchn" w:type="character">
    <w:name w:val="Titel Zchn"/>
    <w:aliases w:val="Deckblatt_Titel Zchn"/>
    <w:basedOn w:val="Absatz-Standardschriftart"/>
    <w:link w:val="Titel"/>
    <w:uiPriority w:val="10"/>
    <w:rsid w:val="007F5B53"/>
    <w:rPr>
      <w:rFonts w:ascii="Open Sans" w:cstheme="majorBidi" w:eastAsiaTheme="majorEastAsia" w:hAnsi="Open Sans"/>
      <w:b/>
      <w:color w:themeColor="text1" w:val="000000"/>
      <w:spacing w:val="-10"/>
      <w:kern w:val="28"/>
      <w:sz w:val="56"/>
      <w:szCs w:val="56"/>
    </w:rPr>
  </w:style>
  <w:style w:styleId="Listenabsatz" w:type="paragraph">
    <w:name w:val="List Paragraph"/>
    <w:basedOn w:val="Standard"/>
    <w:qFormat/>
    <w:rsid w:val="003239AD"/>
    <w:pPr>
      <w:spacing w:after="240" w:before="120"/>
      <w:ind w:left="720"/>
    </w:pPr>
  </w:style>
  <w:style w:customStyle="1" w:styleId="berschrift1Zchn" w:type="character">
    <w:name w:val="Überschrift 1 Zchn"/>
    <w:basedOn w:val="Absatz-Standardschriftart"/>
    <w:link w:val="berschrift1"/>
    <w:uiPriority w:val="9"/>
    <w:rsid w:val="00FA6BE1"/>
    <w:rPr>
      <w:rFonts w:ascii="Open Sans" w:cstheme="majorBidi" w:eastAsiaTheme="majorEastAsia" w:hAnsi="Open Sans"/>
      <w:b/>
      <w:color w:themeColor="text1" w:val="000000"/>
      <w:sz w:val="32"/>
      <w:szCs w:val="32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245E9"/>
    <w:rPr>
      <w:rFonts w:ascii="Open Sans" w:cstheme="majorBidi" w:eastAsiaTheme="majorEastAsia" w:hAnsi="Open Sans"/>
      <w:b/>
      <w:color w:themeColor="text1" w:themeTint="F2" w:val="0D0D0D"/>
      <w:sz w:val="28"/>
      <w:szCs w:val="26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D431CB"/>
    <w:rPr>
      <w:rFonts w:ascii="Open Sans" w:cstheme="majorBidi" w:eastAsiaTheme="majorEastAsia" w:hAnsi="Open Sans"/>
      <w:b/>
      <w:color w:themeColor="text1" w:val="000000"/>
      <w:sz w:val="24"/>
    </w:rPr>
  </w:style>
  <w:style w:styleId="Tabellenraster" w:type="table">
    <w:name w:val="Table Grid"/>
    <w:basedOn w:val="NormaleTabelle"/>
    <w:uiPriority w:val="39"/>
    <w:rsid w:val="008549B4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yperlink" w:type="character">
    <w:name w:val="Hyperlink"/>
    <w:uiPriority w:val="99"/>
    <w:unhideWhenUsed/>
    <w:rsid w:val="00B703CB"/>
    <w:rPr>
      <w:rFonts w:ascii="Open Sans" w:hAnsi="Open Sans"/>
      <w:color w:val="194866"/>
      <w:u w:val="single"/>
    </w:rPr>
  </w:style>
  <w:style w:styleId="Verzeichnis1" w:type="paragraph">
    <w:name w:val="toc 1"/>
    <w:basedOn w:val="Standard"/>
    <w:next w:val="Standard"/>
    <w:autoRedefine/>
    <w:uiPriority w:val="39"/>
    <w:unhideWhenUsed/>
    <w:rsid w:val="00B47904"/>
    <w:pPr>
      <w:spacing w:after="220" w:before="120"/>
    </w:pPr>
    <w:rPr>
      <w:rFonts w:cs="Arial" w:eastAsia="Arial"/>
      <w:lang w:eastAsia="de-DE"/>
    </w:rPr>
  </w:style>
  <w:style w:styleId="Verzeichnis2" w:type="paragraph">
    <w:name w:val="toc 2"/>
    <w:basedOn w:val="Standard"/>
    <w:next w:val="Standard"/>
    <w:autoRedefine/>
    <w:uiPriority w:val="39"/>
    <w:unhideWhenUsed/>
    <w:rsid w:val="007A2602"/>
    <w:pPr>
      <w:spacing w:after="220" w:before="120"/>
      <w:ind w:left="220"/>
    </w:pPr>
    <w:rPr>
      <w:rFonts w:cs="Arial" w:eastAsia="Arial"/>
      <w:lang w:eastAsia="de-DE"/>
    </w:rPr>
  </w:style>
  <w:style w:styleId="Verzeichnis3" w:type="paragraph">
    <w:name w:val="toc 3"/>
    <w:basedOn w:val="Standard"/>
    <w:next w:val="Standard"/>
    <w:autoRedefine/>
    <w:uiPriority w:val="39"/>
    <w:unhideWhenUsed/>
    <w:rsid w:val="007A2602"/>
    <w:pPr>
      <w:spacing w:after="220" w:before="120"/>
      <w:ind w:left="440"/>
    </w:pPr>
    <w:rPr>
      <w:rFonts w:cs="Arial" w:eastAsia="Arial"/>
      <w:lang w:eastAsia="de-DE"/>
    </w:rPr>
  </w:style>
  <w:style w:styleId="Beschriftung" w:type="paragraph">
    <w:name w:val="caption"/>
    <w:basedOn w:val="Standard"/>
    <w:next w:val="Standard"/>
    <w:uiPriority w:val="35"/>
    <w:unhideWhenUsed/>
    <w:qFormat/>
    <w:rsid w:val="00D431CB"/>
    <w:pPr>
      <w:spacing w:after="200"/>
    </w:pPr>
    <w:rPr>
      <w:i/>
      <w:iCs/>
      <w:sz w:val="18"/>
      <w:szCs w:val="18"/>
    </w:rPr>
  </w:style>
  <w:style w:styleId="Abbildungsverzeichnis" w:type="paragraph">
    <w:name w:val="table of figures"/>
    <w:basedOn w:val="Standard"/>
    <w:next w:val="Standard"/>
    <w:uiPriority w:val="99"/>
    <w:unhideWhenUsed/>
    <w:rsid w:val="00AD5CDC"/>
    <w:pPr>
      <w:spacing w:after="240" w:before="240"/>
    </w:pPr>
  </w:style>
  <w:style w:styleId="Inhaltsverzeichnisberschrift" w:type="paragraph">
    <w:name w:val="TOC Heading"/>
    <w:basedOn w:val="berschrift1"/>
    <w:next w:val="Standard"/>
    <w:uiPriority w:val="39"/>
    <w:unhideWhenUsed/>
    <w:qFormat/>
    <w:rsid w:val="009B125D"/>
    <w:pPr>
      <w:spacing w:line="259" w:lineRule="auto"/>
      <w:outlineLvl w:val="9"/>
    </w:pPr>
    <w:rPr>
      <w:sz w:val="28"/>
      <w:lang w:eastAsia="de-DE"/>
    </w:rPr>
  </w:style>
  <w:style w:styleId="Fuzeile" w:type="paragraph">
    <w:name w:val="footer"/>
    <w:basedOn w:val="Standard"/>
    <w:link w:val="FuzeileZchn"/>
    <w:autoRedefine/>
    <w:uiPriority w:val="99"/>
    <w:unhideWhenUsed/>
    <w:rsid w:val="00867307"/>
    <w:pPr>
      <w:tabs>
        <w:tab w:pos="4536" w:val="center"/>
        <w:tab w:pos="9072" w:val="right"/>
      </w:tabs>
      <w:spacing w:after="0"/>
    </w:pPr>
    <w:rPr>
      <w:color w:val="707070"/>
      <w:sz w:val="16"/>
    </w:rPr>
  </w:style>
  <w:style w:customStyle="1" w:styleId="FuzeileZchn" w:type="character">
    <w:name w:val="Fußzeile Zchn"/>
    <w:basedOn w:val="Absatz-Standardschriftart"/>
    <w:link w:val="Fuzeile"/>
    <w:uiPriority w:val="99"/>
    <w:qFormat/>
    <w:rsid w:val="00867307"/>
    <w:rPr>
      <w:rFonts w:ascii="Open Sans" w:hAnsi="Open Sans"/>
      <w:color w:val="707070"/>
      <w:sz w:val="16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C2127A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semiHidden/>
    <w:unhideWhenUsed/>
    <w:rsid w:val="00C2127A"/>
    <w:pPr>
      <w:spacing w:line="240" w:lineRule="auto"/>
    </w:pPr>
    <w:rPr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semiHidden/>
    <w:rsid w:val="00C2127A"/>
    <w:rPr>
      <w:rFonts w:ascii="Open Sans" w:hAnsi="Open Sans"/>
      <w:color w:themeColor="text1" w:val="000000"/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C2127A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C2127A"/>
    <w:rPr>
      <w:rFonts w:ascii="Open Sans" w:hAnsi="Open Sans"/>
      <w:b/>
      <w:bCs/>
      <w:color w:themeColor="text1" w:val="000000"/>
      <w:sz w:val="20"/>
      <w:szCs w:val="20"/>
    </w:rPr>
  </w:style>
  <w:style w:customStyle="1" w:styleId="berschrift4Zchn" w:type="character">
    <w:name w:val="Überschrift 4 Zchn"/>
    <w:basedOn w:val="Absatz-Standardschriftart"/>
    <w:link w:val="berschrift4"/>
    <w:uiPriority w:val="9"/>
    <w:semiHidden/>
    <w:rsid w:val="00D431CB"/>
    <w:rPr>
      <w:rFonts w:ascii="Open Sans" w:cstheme="majorBidi" w:eastAsiaTheme="majorEastAsia" w:hAnsi="Open Sans"/>
      <w:b/>
      <w:iCs/>
      <w:color w:themeColor="text1"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2.xml" Type="http://schemas.openxmlformats.org/officeDocument/2006/relationships/head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Id="rId14" Target="footer2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58" Target="media/rId5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a.bedoya/Library/CloudStorage/OneDrive-eLeDiaGmbH/Marketing_01_Marketing/02_eLeDia_Corporate%20Design/04_Vorlagen/XL-Dokument-Vorlage_eLeD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XL-Dokument-Vorlage_eLeDia.dotx</Template>
  <TotalTime>0</TotalTime>
  <Pages>4</Pages>
  <Words>223</Words>
  <Characters>1332</Characters>
  <Application>Microsoft Office Word</Application>
  <DocSecurity>0</DocSecurity>
  <Lines>46</Lines>
  <Paragraphs>19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2026-06-14T00:34:28Z</dcterms:created>
  <dcterms:modified xsi:type="dcterms:W3CDTF">2026-06-14T00:34:28Z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