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w:rsidR="00851E2D" w:rsidP="00BB45CE" w:rsidRDefault="00851E2D" w14:paraId="0F299CAC">
      <w:pPr>
        <w:jc w:val="center"/>
      </w:pPr>
    </w:p>
    <w:p w:rsidR="00BB45CE" w:rsidP="00BB45CE" w:rsidRDefault="00BB45CE" w14:paraId="583532D4">
      <w:pPr>
        <w:jc w:val="center"/>
      </w:pPr>
    </w:p>
    <w:p w:rsidR="00BB45CE" w:rsidP="00BB45CE" w:rsidRDefault="00B546C7" w14:paraId="19382E1D">
      <w:pPr>
        <w:jc w:val="center"/>
      </w:pPr>
      <w:r>
        <w:rPr>
          <w:noProof/>
          <w:lang w:eastAsia="en-GB"/>
        </w:rPr>
        <w:drawing>
          <wp:inline distT="0" distB="0" distL="0" distR="0" wp14:anchorId="031D16BC" wp14:editId="7777777">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P="00BB45CE" w:rsidRDefault="00BB45CE" w14:paraId="6E1D4C46">
      <w:pPr>
        <w:jc w:val="center"/>
      </w:pPr>
    </w:p>
    <w:p w:rsidRPr="006714D2" w:rsidR="00BB45CE" w:rsidP="00BB45CE" w:rsidRDefault="00BB45CE" w14:paraId="40DD8DEE">
      <w:pPr>
        <w:jc w:val="center"/>
        <w:rPr>
          <w:sz w:val="40"/>
        </w:rPr>
      </w:pPr>
    </w:p>
    <w:p w:rsidRPr="006714D2" w:rsidR="00BB45CE" w:rsidP="00BB45CE" w:rsidRDefault="00BB45CE" w14:paraId="33EA76FD">
      <w:pPr>
        <w:jc w:val="center"/>
        <w:rPr>
          <w:sz w:val="40"/>
        </w:rPr>
      </w:pPr>
    </w:p>
    <w:p w:rsidRPr="006714D2" w:rsidR="00BB45CE" w:rsidP="00BB45CE" w:rsidRDefault="00BB45CE" w14:paraId="64F72B88">
      <w:pPr>
        <w:jc w:val="center"/>
        <w:rPr>
          <w:sz w:val="40"/>
        </w:rPr>
      </w:pPr>
    </w:p>
    <w:p w:rsidRPr="006714D2" w:rsidR="00BB45CE" w:rsidP="00BB45CE" w:rsidRDefault="00BB45CE" w14:paraId="22ECF5B2">
      <w:pPr>
        <w:jc w:val="center"/>
        <w:rPr>
          <w:b/>
          <w:sz w:val="40"/>
        </w:rPr>
      </w:pPr>
      <w:r w:rsidRPr="006714D2">
        <w:rPr>
          <w:b/>
          <w:sz w:val="40"/>
        </w:rPr>
        <w:t>Lecture with Computer Exercises:</w:t>
      </w:r>
    </w:p>
    <w:p w:rsidRPr="006714D2" w:rsidR="00BB45CE" w:rsidP="00BB45CE" w:rsidRDefault="00BB45CE" w14:paraId="1021391E">
      <w:pPr>
        <w:jc w:val="center"/>
        <w:rPr>
          <w:b/>
          <w:sz w:val="40"/>
        </w:rPr>
      </w:pPr>
      <w:r w:rsidRPr="006714D2">
        <w:rPr>
          <w:b/>
          <w:sz w:val="40"/>
        </w:rPr>
        <w:t>Modelling and Simulating Social Systems with MATLAB</w:t>
      </w:r>
    </w:p>
    <w:p w:rsidRPr="006714D2" w:rsidR="00BB45CE" w:rsidP="00BB45CE" w:rsidRDefault="00BB45CE" w14:paraId="2D012600">
      <w:pPr>
        <w:jc w:val="center"/>
        <w:rPr>
          <w:sz w:val="40"/>
        </w:rPr>
      </w:pPr>
    </w:p>
    <w:p w:rsidRPr="006714D2" w:rsidR="00BB45CE" w:rsidP="00BB45CE" w:rsidRDefault="00BB45CE" w14:paraId="2C4205D8">
      <w:pPr>
        <w:jc w:val="center"/>
        <w:rPr>
          <w:sz w:val="32"/>
        </w:rPr>
      </w:pPr>
      <w:r w:rsidRPr="006714D2">
        <w:rPr>
          <w:sz w:val="32"/>
        </w:rPr>
        <w:t>Project Report</w:t>
      </w:r>
    </w:p>
    <w:p w:rsidRPr="006714D2" w:rsidR="00BB45CE" w:rsidP="00BB45CE" w:rsidRDefault="00BB45CE" w14:paraId="1612C99C">
      <w:pPr>
        <w:jc w:val="center"/>
        <w:rPr>
          <w:sz w:val="40"/>
        </w:rPr>
      </w:pPr>
    </w:p>
    <w:p w:rsidR="00BB45CE" w:rsidP="00BB45CE" w:rsidRDefault="00BB45CE" w14:paraId="172AC013">
      <w:pPr>
        <w:jc w:val="center"/>
      </w:pPr>
    </w:p>
    <w:p w:rsidR="00BB45CE" w:rsidP="00BB45CE" w:rsidRDefault="00BB45CE" w14:paraId="38EE6CDD"/>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BF" w:firstRow="1" w:lastRow="0" w:firstColumn="1" w:lastColumn="0" w:noHBand="0" w:noVBand="0"/>
      </w:tblPr>
      <w:tblGrid>
        <w:gridCol w:w="4755"/>
      </w:tblGrid>
      <w:tr w:rsidRPr="006714D2" w:rsidR="00BB45CE" w:rsidTr="3E9548AA" w14:paraId="3831E983">
        <w:trPr/>
        <w:tc>
          <w:tcPr>
            <w:tcW w:w="4755" w:type="dxa"/>
          </w:tcPr>
          <w:p w:rsidRPr="005C26B3" w:rsidR="00BB45CE" w:rsidP="00BB45CE" w:rsidRDefault="00BB45CE" w14:paraId="536FFFF3" w14:noSpellErr="1" w14:textId="3E9548AA">
            <w:pPr>
              <w:jc w:val="center"/>
              <w:rPr>
                <w:sz w:val="48"/>
              </w:rPr>
            </w:pPr>
            <w:r w:rsidRPr="3E9548AA" w:rsidR="3E9548AA">
              <w:rPr>
                <w:rFonts w:ascii="Times New Roman" w:hAnsi="Times New Roman" w:eastAsia="Times New Roman" w:cs="Times New Roman"/>
                <w:b w:val="0"/>
                <w:bCs w:val="0"/>
                <w:i w:val="0"/>
                <w:iCs w:val="0"/>
                <w:sz w:val="48"/>
                <w:szCs w:val="48"/>
              </w:rPr>
              <w:t>The social contagion of obesity</w:t>
            </w:r>
            <w:r w:rsidRPr="3E9548AA" w:rsidR="3E9548AA">
              <w:rPr>
                <w:rFonts w:ascii="Times New Roman" w:hAnsi="Times New Roman" w:eastAsia="Times New Roman" w:cs="Times New Roman"/>
                <w:b w:val="0"/>
                <w:bCs w:val="0"/>
                <w:i w:val="0"/>
                <w:iCs w:val="0"/>
                <w:sz w:val="48"/>
                <w:szCs w:val="48"/>
              </w:rPr>
              <w:t xml:space="preserve"> </w:t>
            </w:r>
          </w:p>
        </w:tc>
      </w:tr>
    </w:tbl>
    <w:p w:rsidR="00BB45CE" w:rsidP="00BB45CE" w:rsidRDefault="00BB45CE" w14:paraId="70A94A12">
      <w:pPr>
        <w:jc w:val="center"/>
      </w:pPr>
    </w:p>
    <w:p w:rsidR="00BB45CE" w:rsidP="00BB45CE" w:rsidRDefault="00BB45CE" w14:paraId="35E153DD">
      <w:pPr>
        <w:jc w:val="center"/>
      </w:pPr>
    </w:p>
    <w:p w:rsidR="00BB45CE" w:rsidP="00BB45CE" w:rsidRDefault="00BB45CE" w14:paraId="5CDA738D" w14:textId="2E684318">
      <w:pPr>
        <w:jc w:val="center"/>
      </w:pPr>
    </w:p>
    <w:p w:rsidR="2E684318" w:rsidP="2E684318" w:rsidRDefault="2E684318" w14:paraId="1C31E72F" w14:textId="2027D797">
      <w:pPr>
        <w:jc w:val="center"/>
      </w:pPr>
      <w:r w:rsidRPr="2E684318" w:rsidR="2E684318">
        <w:rPr>
          <w:rFonts w:ascii="Times New Roman" w:hAnsi="Times New Roman" w:eastAsia="Times New Roman" w:cs="Times New Roman"/>
          <w:sz w:val="36"/>
          <w:szCs w:val="36"/>
        </w:rPr>
        <w:t xml:space="preserve">    Amr Ahmed, </w:t>
      </w:r>
      <w:r w:rsidRPr="2E684318" w:rsidR="2E684318">
        <w:rPr>
          <w:rFonts w:ascii="Times New Roman" w:hAnsi="Times New Roman" w:eastAsia="Times New Roman" w:cs="Times New Roman"/>
          <w:sz w:val="36"/>
          <w:szCs w:val="36"/>
        </w:rPr>
        <w:t>Élise</w:t>
      </w:r>
      <w:r w:rsidRPr="2E684318" w:rsidR="2E684318">
        <w:rPr>
          <w:rFonts w:ascii="Times New Roman" w:hAnsi="Times New Roman" w:eastAsia="Times New Roman" w:cs="Times New Roman"/>
          <w:sz w:val="36"/>
          <w:szCs w:val="36"/>
        </w:rPr>
        <w:t xml:space="preserve"> </w:t>
      </w:r>
      <w:r w:rsidRPr="2E684318" w:rsidR="2E684318">
        <w:rPr>
          <w:rFonts w:ascii="Times New Roman" w:hAnsi="Times New Roman" w:eastAsia="Times New Roman" w:cs="Times New Roman"/>
          <w:sz w:val="36"/>
          <w:szCs w:val="36"/>
        </w:rPr>
        <w:t>Ledieu</w:t>
      </w:r>
      <w:r w:rsidRPr="2E684318" w:rsidR="2E684318">
        <w:rPr>
          <w:rFonts w:ascii="Times New Roman" w:hAnsi="Times New Roman" w:eastAsia="Times New Roman" w:cs="Times New Roman"/>
          <w:sz w:val="36"/>
          <w:szCs w:val="36"/>
        </w:rPr>
        <w:t xml:space="preserve">, Emmanuel Munich &amp; François </w:t>
      </w:r>
      <w:r w:rsidRPr="2E684318" w:rsidR="2E684318">
        <w:rPr>
          <w:rFonts w:ascii="Times New Roman" w:hAnsi="Times New Roman" w:eastAsia="Times New Roman" w:cs="Times New Roman"/>
          <w:sz w:val="36"/>
          <w:szCs w:val="36"/>
        </w:rPr>
        <w:t>Wirz</w:t>
      </w:r>
    </w:p>
    <w:p w:rsidRPr="006714D2" w:rsidR="00BB45CE" w:rsidP="00BB45CE" w:rsidRDefault="00BB45CE" w14:paraId="24C0C113">
      <w:pPr>
        <w:jc w:val="center"/>
        <w:rPr>
          <w:sz w:val="36"/>
        </w:rPr>
      </w:pPr>
    </w:p>
    <w:p w:rsidRPr="006714D2" w:rsidR="00BB45CE" w:rsidP="00BB45CE" w:rsidRDefault="00BB45CE" w14:paraId="1F8C4A11">
      <w:pPr>
        <w:jc w:val="center"/>
        <w:rPr>
          <w:sz w:val="36"/>
        </w:rPr>
      </w:pPr>
    </w:p>
    <w:p w:rsidRPr="006714D2" w:rsidR="00BB45CE" w:rsidP="00BB45CE" w:rsidRDefault="00BB45CE" w14:paraId="4E790D62">
      <w:pPr>
        <w:jc w:val="center"/>
        <w:rPr>
          <w:sz w:val="36"/>
        </w:rPr>
      </w:pPr>
    </w:p>
    <w:p w:rsidRPr="006714D2" w:rsidR="00BB45CE" w:rsidP="00BB45CE" w:rsidRDefault="00BB45CE" w14:paraId="43844565">
      <w:pPr>
        <w:jc w:val="center"/>
        <w:rPr>
          <w:sz w:val="36"/>
        </w:rPr>
      </w:pPr>
    </w:p>
    <w:p w:rsidRPr="006714D2" w:rsidR="00BB45CE" w:rsidP="00BB45CE" w:rsidRDefault="00BB45CE" w14:paraId="15D28747">
      <w:pPr>
        <w:jc w:val="center"/>
        <w:rPr>
          <w:sz w:val="36"/>
        </w:rPr>
      </w:pPr>
    </w:p>
    <w:p w:rsidRPr="006714D2" w:rsidR="00BB45CE" w:rsidP="00BB45CE" w:rsidRDefault="00BB45CE" w14:paraId="7793C83E">
      <w:pPr>
        <w:jc w:val="center"/>
        <w:rPr>
          <w:sz w:val="32"/>
        </w:rPr>
      </w:pPr>
      <w:r w:rsidRPr="006714D2">
        <w:rPr>
          <w:sz w:val="32"/>
        </w:rPr>
        <w:t>Zürich</w:t>
      </w:r>
    </w:p>
    <w:p w:rsidRPr="006714D2" w:rsidR="00BB45CE" w:rsidP="00BB45CE" w:rsidRDefault="00BB45CE" w14:paraId="11C50FC5">
      <w:pPr>
        <w:jc w:val="center"/>
        <w:rPr>
          <w:sz w:val="32"/>
        </w:rPr>
      </w:pPr>
      <w:r>
        <w:rPr>
          <w:sz w:val="32"/>
        </w:rPr>
        <w:t>Date</w:t>
      </w:r>
    </w:p>
    <w:p w:rsidRPr="005640E2" w:rsidR="00BB45CE" w:rsidP="00BB45CE" w:rsidRDefault="00BB45CE" w14:paraId="17995A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Pr="005640E2" w:rsidR="00BB45CE" w:rsidP="00BB45CE" w:rsidRDefault="00BB45CE" w14:paraId="0C980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Pr="005640E2" w:rsidR="00BB45CE" w:rsidP="00BB45CE" w:rsidRDefault="00BB45CE" w14:paraId="39E650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Pr="005640E2" w:rsidR="00BB45CE" w:rsidP="00BB45CE" w:rsidRDefault="00BB45CE" w14:paraId="14AED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Pr="005640E2" w:rsidR="00BB45CE" w:rsidP="00BB45CE" w:rsidRDefault="00BB45CE" w14:paraId="26BB9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Pr="005640E2" w:rsidR="00BB45CE" w:rsidP="00BB45CE" w:rsidRDefault="00BB45CE" w14:paraId="1362B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Pr="005640E2" w:rsidR="00BB45CE" w:rsidP="00BB45CE" w:rsidRDefault="00BB45CE" w14:paraId="3044D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Pr="005640E2" w:rsidR="00BB45CE" w:rsidP="00BB45CE" w:rsidRDefault="00BB45CE" w14:paraId="148B5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Pr="00FF1C1B" w:rsidR="00BB45CE" w:rsidP="00BB45CE" w:rsidRDefault="00BB45CE" w14:paraId="2D91BF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Pr="006714D2" w:rsidR="00BB45CE" w:rsidP="00BB45CE" w:rsidRDefault="00BB45CE" w14:paraId="08C44091"/>
    <w:p w:rsidRPr="00FF1C1B" w:rsidR="00BB45CE" w:rsidP="00BB45CE" w:rsidRDefault="00BB45CE" w14:paraId="0035E835">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Pr="00FF1C1B" w:rsidR="00BB45CE" w:rsidP="00BB45CE" w:rsidRDefault="00BB45CE" w14:paraId="4622497A">
      <w:pPr>
        <w:rPr>
          <w:rFonts w:ascii="Arial" w:hAnsi="Arial"/>
        </w:rPr>
      </w:pPr>
    </w:p>
    <w:p w:rsidRPr="00FF1C1B" w:rsidR="00BB45CE" w:rsidP="00BB45CE" w:rsidRDefault="00BB45CE" w14:paraId="29FE0BFD">
      <w:pPr>
        <w:rPr>
          <w:rFonts w:ascii="Arial" w:hAnsi="Arial"/>
        </w:rPr>
      </w:pPr>
    </w:p>
    <w:p w:rsidRPr="00FF1C1B" w:rsidR="00BB45CE" w:rsidP="00BB45CE" w:rsidRDefault="00BB45CE" w14:paraId="3E0E9462">
      <w:pPr>
        <w:rPr>
          <w:rFonts w:ascii="Arial" w:hAnsi="Arial"/>
        </w:rPr>
      </w:pPr>
    </w:p>
    <w:p w:rsidRPr="00FF1C1B" w:rsidR="00BB45CE" w:rsidP="00BB45CE" w:rsidRDefault="00BB45CE" w14:paraId="0F775A72">
      <w:pPr>
        <w:rPr>
          <w:rFonts w:ascii="Arial" w:hAnsi="Arial"/>
        </w:rPr>
      </w:pPr>
    </w:p>
    <w:tbl>
      <w:tblPr>
        <w:tblW w:w="0" w:type="auto"/>
        <w:tblLook w:val="00BF"/>
      </w:tblPr>
      <w:tblGrid>
        <w:gridCol w:w="4428"/>
        <w:gridCol w:w="4428"/>
      </w:tblGrid>
      <w:tr w:rsidRPr="005C26B3" w:rsidR="00BB45CE" w14:paraId="52D5FFCD">
        <w:tc>
          <w:tcPr>
            <w:tcW w:w="4428" w:type="dxa"/>
          </w:tcPr>
          <w:p w:rsidRPr="005C26B3" w:rsidR="00BB45CE" w:rsidP="00BB45CE" w:rsidRDefault="00BB45CE" w14:paraId="618002B5">
            <w:pPr>
              <w:jc w:val="center"/>
              <w:rPr>
                <w:rFonts w:ascii="Arial" w:hAnsi="Arial"/>
              </w:rPr>
            </w:pPr>
            <w:r w:rsidRPr="005C26B3">
              <w:rPr>
                <w:rFonts w:ascii="Arial" w:hAnsi="Arial"/>
              </w:rPr>
              <w:t>Name 1</w:t>
            </w:r>
          </w:p>
        </w:tc>
        <w:tc>
          <w:tcPr>
            <w:tcW w:w="4428" w:type="dxa"/>
          </w:tcPr>
          <w:p w:rsidRPr="005C26B3" w:rsidR="00BB45CE" w:rsidP="00BB45CE" w:rsidRDefault="00BB45CE" w14:paraId="4A5C3926">
            <w:pPr>
              <w:jc w:val="center"/>
              <w:rPr>
                <w:rFonts w:ascii="Arial" w:hAnsi="Arial"/>
              </w:rPr>
            </w:pPr>
            <w:r w:rsidRPr="005C26B3">
              <w:rPr>
                <w:rFonts w:ascii="Arial" w:hAnsi="Arial"/>
              </w:rPr>
              <w:t>Name 2</w:t>
            </w:r>
          </w:p>
        </w:tc>
      </w:tr>
    </w:tbl>
    <w:p w:rsidRPr="006714D2" w:rsidR="00BB45CE" w:rsidP="00BB45CE" w:rsidRDefault="00BB45CE" w14:paraId="2648BE7A"/>
    <w:p w:rsidRPr="006714D2" w:rsidR="00BB45CE" w:rsidP="00BB45CE" w:rsidRDefault="00BB45CE" w14:paraId="1D62CA85">
      <w:pPr>
        <w:jc w:val="center"/>
        <w:rPr>
          <w:sz w:val="32"/>
        </w:rPr>
      </w:pPr>
    </w:p>
    <w:p w:rsidRPr="006714D2" w:rsidR="00BB45CE" w:rsidP="00BB45CE" w:rsidRDefault="00BB45CE" w14:paraId="3805D76C">
      <w:pPr>
        <w:jc w:val="center"/>
        <w:rPr>
          <w:sz w:val="36"/>
        </w:rPr>
      </w:pPr>
    </w:p>
    <w:p w:rsidRPr="006714D2" w:rsidR="00BB45CE" w:rsidP="00BB45CE" w:rsidRDefault="00BB45CE" w14:paraId="4DBCD1D7">
      <w:pPr>
        <w:jc w:val="center"/>
        <w:rPr>
          <w:sz w:val="36"/>
        </w:rPr>
      </w:pPr>
    </w:p>
    <w:p w:rsidRPr="006714D2" w:rsidR="00BB45CE" w:rsidP="00BB45CE" w:rsidRDefault="00BB45CE" w14:paraId="4542A776">
      <w:pPr>
        <w:pStyle w:val="Heading1"/>
      </w:pPr>
      <w:r w:rsidRPr="006714D2">
        <w:br w:type="page"/>
      </w:r>
      <w:r w:rsidRPr="006714D2">
        <w:lastRenderedPageBreak/>
        <w:t>Table of content</w:t>
      </w:r>
    </w:p>
    <w:p w:rsidRPr="006714D2" w:rsidR="00BB45CE" w:rsidP="00BB45CE" w:rsidRDefault="00BB45CE" w14:paraId="3999867D"/>
    <w:p w:rsidR="00BB45CE" w:rsidP="00BB45CE" w:rsidRDefault="00BB45CE" w14:paraId="23D6DF4A">
      <w:pPr>
        <w:pStyle w:val="Heading1"/>
        <w:spacing w:before="0" w:after="0"/>
      </w:pPr>
      <w:r w:rsidRPr="006714D2">
        <w:br w:type="page"/>
      </w:r>
      <w:r>
        <w:lastRenderedPageBreak/>
        <w:t>Abstract</w:t>
      </w:r>
    </w:p>
    <w:p w:rsidRPr="000B746E" w:rsidR="00BB45CE" w:rsidP="00BB45CE" w:rsidRDefault="00BB45CE" w14:paraId="09C4144B">
      <w:pPr>
        <w:pStyle w:val="Heading1"/>
        <w:rPr>
          <w:sz w:val="24"/>
        </w:rPr>
      </w:pPr>
    </w:p>
    <w:p w:rsidR="00BB45CE" w:rsidP="00BB45CE" w:rsidRDefault="00BB45CE" w14:paraId="5BB29974">
      <w:pPr>
        <w:pStyle w:val="Heading1"/>
        <w:spacing w:before="0"/>
      </w:pPr>
      <w:r w:rsidRPr="006714D2">
        <w:t>Individual contributions</w:t>
      </w:r>
    </w:p>
    <w:p w:rsidRPr="000B746E" w:rsidR="00BB45CE" w:rsidP="00BB45CE" w:rsidRDefault="00BB45CE" w14:paraId="337471C1"/>
    <w:p w:rsidR="00BB45CE" w:rsidP="00BB45CE" w:rsidRDefault="00BB45CE" w14:paraId="79ABE40B">
      <w:pPr>
        <w:pStyle w:val="Heading1"/>
      </w:pPr>
      <w:r w:rsidRPr="006714D2">
        <w:t>Introduction and Motivations</w:t>
      </w:r>
    </w:p>
    <w:p w:rsidR="00B751C3" w:rsidP="00B751C3" w:rsidRDefault="00B751C3" w14:paraId="34A40959"/>
    <w:p w:rsidRPr="00B751C3" w:rsidR="00B751C3" w:rsidP="00B751C3" w:rsidRDefault="00B751C3" w14:paraId="2A9906E1">
      <w:pPr>
        <w:rPr>
          <w:b/>
        </w:rPr>
      </w:pPr>
      <w:r w:rsidRPr="00B751C3">
        <w:rPr>
          <w:b/>
        </w:rPr>
        <w:t>Introduction</w:t>
      </w:r>
    </w:p>
    <w:p w:rsidRPr="00B751C3" w:rsidR="00B751C3" w:rsidP="00B751C3" w:rsidRDefault="00B751C3" w14:paraId="2B0B06A7"/>
    <w:p w:rsidR="00E50ED1" w:rsidP="00E5658C" w:rsidRDefault="00E5658C" w14:paraId="3C56AEBE">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3C7B39">
        <w:fldChar w:fldCharType="begin" w:fldLock="1"/>
      </w:r>
      <w:r w:rsidR="006317D1">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3C7B39">
        <w:fldChar w:fldCharType="separate"/>
      </w:r>
      <w:r w:rsidRPr="00BE0D7A" w:rsidR="00BE0D7A">
        <w:rPr>
          <w:noProof/>
        </w:rPr>
        <w:t>(Flegal, Williamson, Pamuk, &amp; Rosenberg, 2004)</w:t>
      </w:r>
      <w:r w:rsidR="003C7B39">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3C7B39">
        <w:fldChar w:fldCharType="begin" w:fldLock="1"/>
      </w:r>
      <w:r w:rsidR="006317D1">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3C7B39">
        <w:fldChar w:fldCharType="separate"/>
      </w:r>
      <w:r w:rsidRPr="001C0C19" w:rsidR="001C0C19">
        <w:rPr>
          <w:noProof/>
        </w:rPr>
        <w:t>(Hill, Rand, Nowak, &amp; Christakis, 2010)</w:t>
      </w:r>
      <w:r w:rsidR="003C7B39">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3C7B39">
        <w:rPr>
          <w:lang w:eastAsia="en-GB"/>
        </w:rPr>
        <w:fldChar w:fldCharType="begin" w:fldLock="1"/>
      </w:r>
      <w:r w:rsidR="006317D1">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3C7B39">
        <w:rPr>
          <w:lang w:eastAsia="en-GB"/>
        </w:rPr>
        <w:fldChar w:fldCharType="separate"/>
      </w:r>
      <w:r w:rsidRPr="001C0C19" w:rsidR="001C0C19">
        <w:rPr>
          <w:noProof/>
          <w:lang w:eastAsia="en-GB"/>
        </w:rPr>
        <w:t>(Smith &amp; Christakis, 2008)</w:t>
      </w:r>
      <w:r w:rsidR="003C7B39">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w:t>
      </w:r>
      <w:r w:rsidR="00E50ED1">
        <w:t>ng the possibility of recovery.</w:t>
      </w:r>
      <w:r w:rsidRPr="00885A11" w:rsidR="00885A11">
        <w:t xml:space="preserve"> </w:t>
      </w:r>
      <w:r w:rsidR="00885A11">
        <w:t xml:space="preserve">To fight obesity, </w:t>
      </w:r>
      <w:r w:rsidRPr="00101B66" w:rsidR="00885A11">
        <w:t xml:space="preserve">adequate public health policies </w:t>
      </w:r>
      <w:r w:rsidR="00885A11">
        <w:t xml:space="preserve">must be designed to </w:t>
      </w:r>
      <w:r w:rsidRPr="00101B66" w:rsidR="00885A11">
        <w:t>decide if obesity has to be tackled as a clinical issue (i.e. on an individual basis) or as a public health intervention which could better exploit the network phenomena to spread positive behaviour to fight obesity.</w:t>
      </w:r>
    </w:p>
    <w:p w:rsidR="00B751C3" w:rsidP="00B751C3" w:rsidRDefault="00B751C3" w14:paraId="53321BC3">
      <w:pPr>
        <w:rPr>
          <w:color w:val="FF0000"/>
        </w:rPr>
      </w:pPr>
    </w:p>
    <w:p w:rsidRPr="00B751C3" w:rsidR="00E50ED1" w:rsidP="00E5658C" w:rsidRDefault="00B751C3" w14:paraId="0B539AE2">
      <w:pPr>
        <w:rPr>
          <w:color w:val="FF0000"/>
        </w:rPr>
      </w:pPr>
      <w:r>
        <w:rPr>
          <w:color w:val="FF0000"/>
        </w:rPr>
        <w:t>[Be clear on the research question]</w:t>
      </w:r>
    </w:p>
    <w:p w:rsidR="00E50ED1" w:rsidP="00E5658C" w:rsidRDefault="00A96FE2" w14:paraId="038931B4">
      <w:r>
        <w:t>W</w:t>
      </w:r>
      <w:r w:rsidR="00E50ED1">
        <w:t xml:space="preserve">e want to examine </w:t>
      </w:r>
      <w:r w:rsidR="00F15CC6">
        <w:t xml:space="preserve">if </w:t>
      </w:r>
      <w:r w:rsidR="00E50ED1">
        <w:t xml:space="preserve">social infection </w:t>
      </w:r>
      <w:r w:rsidR="00F15CC6">
        <w:t xml:space="preserve">plays role </w:t>
      </w:r>
      <w:r w:rsidR="00E50ED1">
        <w:t xml:space="preserve">in obesity spread </w:t>
      </w:r>
      <w:r w:rsidR="00F15CC6">
        <w:t>and if this role is prominent.</w:t>
      </w:r>
      <w:r w:rsidR="00966CF1">
        <w:t xml:space="preserve"> In addition </w:t>
      </w:r>
      <w:r w:rsidR="005E79D2">
        <w:t xml:space="preserve">we want to know whether social influence and </w:t>
      </w:r>
      <w:proofErr w:type="spellStart"/>
      <w:r w:rsidR="005E79D2">
        <w:t>homophily</w:t>
      </w:r>
      <w:proofErr w:type="spellEnd"/>
      <w:r w:rsidR="005E79D2">
        <w:t xml:space="preserve"> plays a role in obesity spread.</w:t>
      </w:r>
    </w:p>
    <w:p w:rsidR="00E50ED1" w:rsidP="00E5658C" w:rsidRDefault="00E50ED1" w14:paraId="731AD5A2"/>
    <w:p w:rsidR="00E5658C" w:rsidP="00E5658C" w:rsidRDefault="00E5658C" w14:paraId="17933297">
      <w:r>
        <w:t xml:space="preserve">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3C7B39">
        <w:fldChar w:fldCharType="begin" w:fldLock="1"/>
      </w:r>
      <w:r w:rsidR="006317D1">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3C7B39">
        <w:fldChar w:fldCharType="separate"/>
      </w:r>
      <w:r w:rsidRPr="00A362D2" w:rsidR="00A362D2">
        <w:rPr>
          <w:noProof/>
        </w:rPr>
        <w:t>(Aharony, Pan, Ip, Khayal, &amp; Pentland, 2011)</w:t>
      </w:r>
      <w:r w:rsidR="003C7B39">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966CF1" w:rsidP="00E5658C" w:rsidRDefault="00E5658C" w14:paraId="6F5736BA">
      <w:r>
        <w:lastRenderedPageBreak/>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w:t>
      </w:r>
      <w:r w:rsidR="00A81317">
        <w:t>The studied subset consisted of [85] persons for which complete weight data were available.</w:t>
      </w:r>
    </w:p>
    <w:p w:rsidR="00A81317" w:rsidP="00E5658C" w:rsidRDefault="00A81317" w14:paraId="03C80D16">
      <w:r>
        <w:t>We created an adjacency matrix based on the self perceived network friendship where each participant rated every other participant on a scale from 0 (not familiar) to 7 (very close) at different step in time</w:t>
      </w:r>
    </w:p>
    <w:p w:rsidR="00B751C3" w:rsidP="00B751C3" w:rsidRDefault="00B751C3" w14:paraId="08A998D8">
      <w:pPr>
        <w:rPr>
          <w:color w:val="FF0000"/>
        </w:rPr>
      </w:pPr>
    </w:p>
    <w:p w:rsidRPr="00B751C3" w:rsidR="00B751C3" w:rsidP="00B751C3" w:rsidRDefault="00B751C3" w14:paraId="23A68AD1">
      <w:pPr>
        <w:rPr>
          <w:b/>
        </w:rPr>
      </w:pPr>
      <w:r w:rsidRPr="00B751C3">
        <w:rPr>
          <w:b/>
        </w:rPr>
        <w:t>Motivation</w:t>
      </w:r>
    </w:p>
    <w:p w:rsidR="00B751C3" w:rsidP="00B751C3" w:rsidRDefault="00B751C3" w14:paraId="7ACD99AC">
      <w:pPr>
        <w:rPr>
          <w:color w:val="FF0000"/>
        </w:rPr>
      </w:pPr>
    </w:p>
    <w:p w:rsidR="00B751C3" w:rsidP="00B751C3" w:rsidRDefault="00B751C3" w14:paraId="4AABBF62">
      <w:pPr>
        <w:rPr>
          <w:color w:val="FF0000"/>
        </w:rPr>
      </w:pPr>
    </w:p>
    <w:p w:rsidRPr="00C90AC7" w:rsidR="00B751C3" w:rsidP="00B751C3" w:rsidRDefault="00B751C3" w14:paraId="707361DD">
      <w:pPr>
        <w:rPr>
          <w:color w:val="FF0000"/>
        </w:rPr>
      </w:pPr>
      <w:r>
        <w:rPr>
          <w:color w:val="FF0000"/>
        </w:rPr>
        <w:t>[Cite previous report]</w:t>
      </w:r>
    </w:p>
    <w:p w:rsidR="00B751C3" w:rsidP="00E5658C" w:rsidRDefault="00B751C3" w14:paraId="6FBF0A62"/>
    <w:p w:rsidR="00966CF1" w:rsidP="00E5658C" w:rsidRDefault="00966CF1" w14:paraId="32DC6790">
      <w:pPr>
        <w:rPr>
          <w:color w:val="FF0000"/>
        </w:rPr>
      </w:pPr>
      <w:r>
        <w:rPr>
          <w:color w:val="FF0000"/>
        </w:rPr>
        <w:t xml:space="preserve"> [TO BE DELETED</w:t>
      </w:r>
      <w:r w:rsidR="00B751C3">
        <w:rPr>
          <w:color w:val="FF0000"/>
        </w:rPr>
        <w:t xml:space="preserve"> AS THIS MIGHT CONFUSE READER]</w:t>
      </w:r>
    </w:p>
    <w:p w:rsidR="00B751C3" w:rsidP="00E5658C" w:rsidRDefault="00B751C3" w14:paraId="75686ED4">
      <w:pPr>
        <w:rPr>
          <w:color w:val="FF0000"/>
        </w:rPr>
      </w:pPr>
    </w:p>
    <w:p w:rsidRPr="00966CF1" w:rsidR="00E5658C" w:rsidP="00E5658C" w:rsidRDefault="00E5658C" w14:paraId="154966A1">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Pr="00966CF1" w:rsidR="00E5658C" w:rsidP="00E5658C" w:rsidRDefault="00E5658C" w14:paraId="4CB64A43">
      <w:pPr>
        <w:rPr>
          <w:color w:val="FF0000"/>
        </w:rPr>
      </w:pPr>
    </w:p>
    <w:tbl>
      <w:tblPr>
        <w:tblW w:w="0" w:type="auto"/>
        <w:jc w:val="center"/>
        <w:tblLook w:val="04A0"/>
      </w:tblPr>
      <w:tblGrid>
        <w:gridCol w:w="2794"/>
        <w:gridCol w:w="2794"/>
      </w:tblGrid>
      <w:tr w:rsidRPr="00966CF1" w:rsidR="00E5658C" w:rsidTr="00E5658C" w14:paraId="6CF90AAC">
        <w:trPr>
          <w:trHeight w:val="280"/>
          <w:jc w:val="center"/>
        </w:trPr>
        <w:tc>
          <w:tcPr>
            <w:tcW w:w="5588" w:type="dxa"/>
            <w:gridSpan w:val="2"/>
            <w:tcBorders>
              <w:bottom w:val="single" w:color="auto" w:sz="4" w:space="0"/>
            </w:tcBorders>
          </w:tcPr>
          <w:p w:rsidRPr="00966CF1" w:rsidR="00E5658C" w:rsidP="00851E2D" w:rsidRDefault="00E5658C" w14:paraId="79280C3E">
            <w:pPr>
              <w:rPr>
                <w:b/>
                <w:color w:val="FF0000"/>
              </w:rPr>
            </w:pPr>
            <w:r w:rsidRPr="00966CF1">
              <w:rPr>
                <w:b/>
                <w:color w:val="FF0000"/>
              </w:rPr>
              <w:t>Number of subjects in each condition</w:t>
            </w:r>
          </w:p>
        </w:tc>
      </w:tr>
      <w:tr w:rsidRPr="00966CF1" w:rsidR="00E5658C" w:rsidTr="00E5658C" w14:paraId="6F89C8CC">
        <w:trPr>
          <w:trHeight w:val="263"/>
          <w:jc w:val="center"/>
        </w:trPr>
        <w:tc>
          <w:tcPr>
            <w:tcW w:w="2794" w:type="dxa"/>
            <w:tcBorders>
              <w:top w:val="single" w:color="auto" w:sz="4" w:space="0"/>
              <w:bottom w:val="single" w:color="auto" w:sz="4" w:space="0"/>
            </w:tcBorders>
          </w:tcPr>
          <w:p w:rsidRPr="00966CF1" w:rsidR="00E5658C" w:rsidP="00851E2D" w:rsidRDefault="00E5658C" w14:paraId="5A30FDB9">
            <w:pPr>
              <w:rPr>
                <w:color w:val="FF0000"/>
              </w:rPr>
            </w:pPr>
            <w:r w:rsidRPr="00966CF1">
              <w:rPr>
                <w:color w:val="FF0000"/>
              </w:rPr>
              <w:t>Condition</w:t>
            </w:r>
          </w:p>
        </w:tc>
        <w:tc>
          <w:tcPr>
            <w:tcW w:w="2794" w:type="dxa"/>
            <w:tcBorders>
              <w:top w:val="single" w:color="auto" w:sz="4" w:space="0"/>
              <w:bottom w:val="single" w:color="auto" w:sz="4" w:space="0"/>
            </w:tcBorders>
          </w:tcPr>
          <w:p w:rsidRPr="00966CF1" w:rsidR="00E5658C" w:rsidP="00851E2D" w:rsidRDefault="00E5658C" w14:paraId="59BF3858">
            <w:pPr>
              <w:rPr>
                <w:color w:val="FF0000"/>
              </w:rPr>
            </w:pPr>
            <w:r w:rsidRPr="00966CF1">
              <w:rPr>
                <w:color w:val="FF0000"/>
              </w:rPr>
              <w:t>Initial</w:t>
            </w:r>
          </w:p>
        </w:tc>
      </w:tr>
      <w:tr w:rsidRPr="00966CF1" w:rsidR="00E5658C" w:rsidTr="00E5658C" w14:paraId="49DC88F8">
        <w:trPr>
          <w:trHeight w:val="263"/>
          <w:jc w:val="center"/>
        </w:trPr>
        <w:tc>
          <w:tcPr>
            <w:tcW w:w="2794" w:type="dxa"/>
            <w:tcBorders>
              <w:top w:val="single" w:color="auto" w:sz="4" w:space="0"/>
            </w:tcBorders>
          </w:tcPr>
          <w:p w:rsidRPr="00966CF1" w:rsidR="00E5658C" w:rsidP="00851E2D" w:rsidRDefault="00E5658C" w14:paraId="47555FF3">
            <w:pPr>
              <w:rPr>
                <w:color w:val="FF0000"/>
              </w:rPr>
            </w:pPr>
            <w:r w:rsidRPr="00966CF1">
              <w:rPr>
                <w:color w:val="FF0000"/>
              </w:rPr>
              <w:t>Control</w:t>
            </w:r>
          </w:p>
        </w:tc>
        <w:tc>
          <w:tcPr>
            <w:tcW w:w="2794" w:type="dxa"/>
            <w:tcBorders>
              <w:top w:val="single" w:color="auto" w:sz="4" w:space="0"/>
            </w:tcBorders>
          </w:tcPr>
          <w:p w:rsidRPr="00966CF1" w:rsidR="00E5658C" w:rsidP="00851E2D" w:rsidRDefault="00E5658C" w14:paraId="004CC9E0">
            <w:pPr>
              <w:rPr>
                <w:color w:val="FF0000"/>
              </w:rPr>
            </w:pPr>
            <w:r w:rsidRPr="00966CF1">
              <w:rPr>
                <w:color w:val="FF0000"/>
              </w:rPr>
              <w:t>18</w:t>
            </w:r>
          </w:p>
        </w:tc>
      </w:tr>
      <w:tr w:rsidRPr="00966CF1" w:rsidR="00E5658C" w:rsidTr="00E5658C" w14:paraId="70D7F3F6">
        <w:trPr>
          <w:trHeight w:val="280"/>
          <w:jc w:val="center"/>
        </w:trPr>
        <w:tc>
          <w:tcPr>
            <w:tcW w:w="2794" w:type="dxa"/>
          </w:tcPr>
          <w:p w:rsidRPr="00966CF1" w:rsidR="00E5658C" w:rsidP="00851E2D" w:rsidRDefault="00E5658C" w14:paraId="1CF77E96">
            <w:pPr>
              <w:rPr>
                <w:color w:val="FF0000"/>
              </w:rPr>
            </w:pPr>
            <w:r w:rsidRPr="00966CF1">
              <w:rPr>
                <w:color w:val="FF0000"/>
              </w:rPr>
              <w:t>Peer-review</w:t>
            </w:r>
          </w:p>
        </w:tc>
        <w:tc>
          <w:tcPr>
            <w:tcW w:w="2794" w:type="dxa"/>
          </w:tcPr>
          <w:p w:rsidRPr="00966CF1" w:rsidR="00E5658C" w:rsidP="0011311A" w:rsidRDefault="00E5658C" w14:paraId="37B01988">
            <w:pPr>
              <w:tabs>
                <w:tab w:val="right" w:pos="2578"/>
              </w:tabs>
              <w:rPr>
                <w:color w:val="FF0000"/>
              </w:rPr>
            </w:pPr>
            <w:r w:rsidRPr="00966CF1">
              <w:rPr>
                <w:color w:val="FF0000"/>
              </w:rPr>
              <w:t>45</w:t>
            </w:r>
            <w:r w:rsidRPr="00966CF1" w:rsidR="0011311A">
              <w:rPr>
                <w:color w:val="FF0000"/>
              </w:rPr>
              <w:tab/>
            </w:r>
          </w:p>
        </w:tc>
      </w:tr>
      <w:tr w:rsidRPr="00966CF1" w:rsidR="00E5658C" w:rsidTr="00E5658C" w14:paraId="7CD06243">
        <w:trPr>
          <w:trHeight w:val="77"/>
          <w:jc w:val="center"/>
        </w:trPr>
        <w:tc>
          <w:tcPr>
            <w:tcW w:w="2794" w:type="dxa"/>
            <w:tcBorders>
              <w:bottom w:val="single" w:color="auto" w:sz="4" w:space="0"/>
            </w:tcBorders>
          </w:tcPr>
          <w:p w:rsidRPr="00966CF1" w:rsidR="00E5658C" w:rsidP="00851E2D" w:rsidRDefault="00E5658C" w14:paraId="1ADF7AA6">
            <w:pPr>
              <w:rPr>
                <w:color w:val="FF0000"/>
              </w:rPr>
            </w:pPr>
            <w:r w:rsidRPr="00966CF1">
              <w:rPr>
                <w:color w:val="FF0000"/>
              </w:rPr>
              <w:t>Peer-reward</w:t>
            </w:r>
          </w:p>
        </w:tc>
        <w:tc>
          <w:tcPr>
            <w:tcW w:w="2794" w:type="dxa"/>
            <w:tcBorders>
              <w:bottom w:val="single" w:color="auto" w:sz="4" w:space="0"/>
            </w:tcBorders>
          </w:tcPr>
          <w:p w:rsidRPr="00966CF1" w:rsidR="00E5658C" w:rsidP="00E5658C" w:rsidRDefault="00E5658C" w14:paraId="78EDB5A9">
            <w:pPr>
              <w:keepNext/>
              <w:rPr>
                <w:color w:val="FF0000"/>
              </w:rPr>
            </w:pPr>
            <w:r w:rsidRPr="00966CF1">
              <w:rPr>
                <w:color w:val="FF0000"/>
              </w:rPr>
              <w:t>45</w:t>
            </w:r>
          </w:p>
        </w:tc>
      </w:tr>
    </w:tbl>
    <w:p w:rsidRPr="00966CF1" w:rsidR="00E5658C" w:rsidP="00593555" w:rsidRDefault="00E5658C" w14:paraId="5E2B39AF">
      <w:pPr>
        <w:pStyle w:val="Caption"/>
      </w:pPr>
      <w:r w:rsidRPr="00966CF1">
        <w:t xml:space="preserve">Table </w:t>
      </w:r>
      <w:fldSimple w:instr=" SEQ Table \* ARABIC ">
        <w:r w:rsidRPr="00966CF1" w:rsidR="009B3FC3">
          <w:rPr>
            <w:noProof/>
          </w:rPr>
          <w:t>1</w:t>
        </w:r>
      </w:fldSimple>
      <w:r w:rsidRPr="00966CF1" w:rsidR="00DB74F8">
        <w:t>:</w:t>
      </w:r>
      <w:r w:rsidRPr="00966CF1">
        <w:t xml:space="preserve"> Number of subjects in each intervention scheme</w:t>
      </w:r>
    </w:p>
    <w:p w:rsidR="00E5658C" w:rsidP="00E5658C" w:rsidRDefault="00E5658C" w14:paraId="552AE18D">
      <w:r>
        <w:t>.</w:t>
      </w:r>
    </w:p>
    <w:p w:rsidRPr="00461CCC" w:rsidR="00E5658C" w:rsidP="00E5658C" w:rsidRDefault="00E5658C" w14:paraId="09CB9ABC"/>
    <w:p w:rsidRPr="006714D2" w:rsidR="00BB45CE" w:rsidP="00BB45CE" w:rsidRDefault="00BB45CE" w14:paraId="56CBF039">
      <w:pPr>
        <w:pStyle w:val="Heading1"/>
      </w:pPr>
      <w:r w:rsidRPr="006714D2">
        <w:t>Description of the Model</w:t>
      </w:r>
    </w:p>
    <w:p w:rsidR="007F49B8" w:rsidP="007F49B8" w:rsidRDefault="007F49B8" w14:paraId="32BAF980">
      <w:pPr>
        <w:rPr>
          <w:rStyle w:val="Strong"/>
          <w:i/>
        </w:rPr>
      </w:pPr>
    </w:p>
    <w:p w:rsidR="007F49B8" w:rsidP="007F49B8" w:rsidRDefault="007F49B8" w14:paraId="0BEE28BE">
      <w:pPr>
        <w:rPr>
          <w:rStyle w:val="Strong"/>
          <w:i/>
        </w:rPr>
      </w:pPr>
      <w:r w:rsidRPr="007F49B8">
        <w:rPr>
          <w:rStyle w:val="Strong"/>
          <w:i/>
        </w:rPr>
        <w:t>SIS model</w:t>
      </w:r>
    </w:p>
    <w:p w:rsidR="007F49B8" w:rsidP="007F49B8" w:rsidRDefault="007F49B8" w14:paraId="5FBB2A2A">
      <w:pPr>
        <w:rPr>
          <w:rStyle w:val="Strong"/>
          <w:i/>
        </w:rPr>
      </w:pPr>
    </w:p>
    <w:p w:rsidR="007F49B8" w:rsidP="007F49B8" w:rsidRDefault="007F49B8" w14:paraId="49ECD01E">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3C7B39">
        <w:rPr>
          <w:lang w:eastAsia="en-GB"/>
        </w:rPr>
        <w:fldChar w:fldCharType="begin" w:fldLock="1"/>
      </w:r>
      <w:r w:rsidR="006317D1">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3C7B39">
        <w:rPr>
          <w:lang w:eastAsia="en-GB"/>
        </w:rPr>
        <w:fldChar w:fldCharType="separate"/>
      </w:r>
      <w:r w:rsidRPr="00964163" w:rsidR="00964163">
        <w:rPr>
          <w:noProof/>
          <w:lang w:eastAsia="en-GB"/>
        </w:rPr>
        <w:t>(Kermack &amp; McKendrick, 1932)</w:t>
      </w:r>
      <w:r w:rsidR="003C7B39">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w:t>
      </w:r>
      <w:r w:rsidR="005E172A">
        <w:rPr>
          <w:lang w:eastAsia="en-GB"/>
        </w:rPr>
        <w:lastRenderedPageBreak/>
        <w:t>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P="007F49B8" w:rsidRDefault="00506217" w14:paraId="5B05026B">
      <w:pPr>
        <w:rPr>
          <w:lang w:eastAsia="en-GB"/>
        </w:rPr>
      </w:pPr>
    </w:p>
    <w:p w:rsidR="00506217" w:rsidP="007F49B8" w:rsidRDefault="00506217" w14:paraId="2280B164">
      <w:pPr>
        <w:rPr>
          <w:lang w:eastAsia="en-GB"/>
        </w:rPr>
      </w:pPr>
      <w:r>
        <w:rPr>
          <w:lang w:eastAsia="en-GB"/>
        </w:rPr>
        <w:t xml:space="preserve">In the standard model infection can only be transmitted through the contact with an infected person. The SIS model is presented in equation </w:t>
      </w:r>
      <w:r w:rsidR="003C7B39">
        <w:rPr>
          <w:lang w:eastAsia="en-GB"/>
        </w:rPr>
        <w:fldChar w:fldCharType="begin"/>
      </w:r>
      <w:r w:rsidR="00DC7D11">
        <w:rPr>
          <w:lang w:eastAsia="en-GB"/>
        </w:rPr>
        <w:instrText xml:space="preserve"> REF SIS_model \h </w:instrText>
      </w:r>
      <w:r w:rsidR="003C7B39">
        <w:rPr>
          <w:lang w:eastAsia="en-GB"/>
        </w:rPr>
      </w:r>
      <w:r w:rsidR="003C7B39">
        <w:rPr>
          <w:lang w:eastAsia="en-GB"/>
        </w:rPr>
        <w:fldChar w:fldCharType="separate"/>
      </w:r>
      <w:r w:rsidRPr="00013A68" w:rsidR="009B3FC3">
        <w:rPr>
          <w:noProof/>
        </w:rPr>
        <w:t>(</w:t>
      </w:r>
      <w:r w:rsidR="009B3FC3">
        <w:rPr>
          <w:noProof/>
        </w:rPr>
        <w:t>1</w:t>
      </w:r>
      <w:r w:rsidRPr="00013A68" w:rsidR="009B3FC3">
        <w:rPr>
          <w:noProof/>
        </w:rPr>
        <w:t>)</w:t>
      </w:r>
      <w:r w:rsidR="003C7B39">
        <w:rPr>
          <w:lang w:eastAsia="en-GB"/>
        </w:rPr>
        <w:fldChar w:fldCharType="end"/>
      </w:r>
    </w:p>
    <w:p w:rsidR="00506217" w:rsidP="007F49B8" w:rsidRDefault="00506217" w14:paraId="14B931AD">
      <w:pPr>
        <w:rPr>
          <w:bCs/>
        </w:rPr>
      </w:pPr>
    </w:p>
    <w:p w:rsidRPr="00013A68" w:rsidR="00B546C7" w:rsidP="00B546C7" w:rsidRDefault="00B546C7" w14:paraId="145F4C9B">
      <w:pPr>
        <w:pStyle w:val="Equation"/>
        <w:rPr>
          <w:rFonts w:ascii="Times New Roman" w:cs="Times New Roman"/>
        </w:rPr>
      </w:pPr>
      <w:r w:rsidRPr="00013A68">
        <w:rPr>
          <w:rFonts w:ascii="Times New Roman" w:cs="Times New Roman" w:eastAsiaTheme="minorEastAsia"/>
          <w:iCs/>
        </w:rPr>
        <w:tab/>
      </w:r>
      <m:oMath>
        <w:bookmarkStart w:name="_Ref383174734" w:id="0"/>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hAnsi="Cambria Math" w:eastAsia="Cambria Math" w:cs="Cambria Math"/>
                    <w:i/>
                  </w:rPr>
                </m:ctrlPr>
              </m:e>
              <m:e>
                <m:r>
                  <w:rPr>
                    <w:rFonts w:hAnsi="Cambria Math" w:eastAsia="Cambria Math" w:cs="Cambria Math"/>
                  </w:rPr>
                  <m:t>I+S=N</m:t>
                </m:r>
              </m:e>
            </m:eqArr>
          </m:e>
        </m:d>
      </m:oMath>
      <w:r w:rsidRPr="00013A68">
        <w:rPr>
          <w:rFonts w:ascii="Times New Roman" w:cs="Times New Roman"/>
        </w:rPr>
        <w:tab/>
      </w:r>
      <w:bookmarkStart w:name="revenue_growth_equation" w:id="1"/>
      <w:bookmarkStart w:name="SIS_model" w:id="2"/>
      <w:r w:rsidRPr="00013A68" w:rsidR="003C7B39">
        <w:rPr>
          <w:rFonts w:ascii="Times New Roman" w:cs="Times New Roman"/>
        </w:rPr>
        <w:fldChar w:fldCharType="begin"/>
      </w:r>
      <w:r w:rsidRPr="00013A68">
        <w:rPr>
          <w:rFonts w:ascii="Times New Roman" w:cs="Times New Roman"/>
        </w:rPr>
        <w:instrText xml:space="preserve"> SEQ Equation\#"(#)" \* MERGEFORMAT </w:instrText>
      </w:r>
      <w:r w:rsidRPr="00013A68" w:rsidR="003C7B39">
        <w:rPr>
          <w:rFonts w:ascii="Times New Roman" w:cs="Times New Roman"/>
        </w:rPr>
        <w:fldChar w:fldCharType="separate"/>
      </w:r>
      <w:r w:rsidRPr="00013A68" w:rsidR="009B3FC3">
        <w:rPr>
          <w:rFonts w:ascii="Times New Roman" w:cs="Times New Roman"/>
          <w:noProof/>
        </w:rPr>
        <w:t>(</w:t>
      </w:r>
      <w:r w:rsidR="009B3FC3">
        <w:rPr>
          <w:rFonts w:ascii="Times New Roman" w:cs="Times New Roman"/>
          <w:noProof/>
        </w:rPr>
        <w:t>1</w:t>
      </w:r>
      <w:r w:rsidRPr="00013A68" w:rsidR="009B3FC3">
        <w:rPr>
          <w:rFonts w:ascii="Times New Roman" w:cs="Times New Roman"/>
          <w:noProof/>
        </w:rPr>
        <w:t>)</w:t>
      </w:r>
      <w:r w:rsidRPr="00013A68" w:rsidR="003C7B39">
        <w:rPr>
          <w:rFonts w:ascii="Times New Roman" w:cs="Times New Roman"/>
        </w:rPr>
        <w:fldChar w:fldCharType="end"/>
      </w:r>
      <w:bookmarkEnd w:id="0"/>
      <w:bookmarkEnd w:id="1"/>
      <w:bookmarkEnd w:id="2"/>
    </w:p>
    <w:p w:rsidR="00911DB6" w:rsidP="007F49B8" w:rsidRDefault="00B03E55" w14:paraId="52EF382A">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P="007F49B8" w:rsidRDefault="00F906C3" w14:paraId="7A96E813">
      <w:pPr>
        <w:rPr>
          <w:bCs/>
        </w:rPr>
      </w:pPr>
    </w:p>
    <w:p w:rsidR="00F906C3" w:rsidP="007F49B8" w:rsidRDefault="00F906C3" w14:paraId="4926249F">
      <w:pPr>
        <w:rPr>
          <w:lang w:eastAsia="en-GB"/>
        </w:rPr>
      </w:pPr>
      <w:r w:rsidRPr="00B76A3B">
        <w:rPr>
          <w:lang w:eastAsia="en-GB"/>
        </w:rPr>
        <w:t>Hill et al. propose an extension</w:t>
      </w:r>
      <w:r w:rsidRPr="00B76A3B" w:rsid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3C7B39">
        <w:rPr>
          <w:lang w:eastAsia="en-GB"/>
        </w:rPr>
        <w:fldChar w:fldCharType="begin"/>
      </w:r>
      <w:r w:rsidR="00F667AA">
        <w:rPr>
          <w:lang w:eastAsia="en-GB"/>
        </w:rPr>
        <w:instrText xml:space="preserve"> REF SISa_model \h </w:instrText>
      </w:r>
      <w:r w:rsidR="003C7B39">
        <w:rPr>
          <w:lang w:eastAsia="en-GB"/>
        </w:rPr>
      </w:r>
      <w:r w:rsidR="003C7B39">
        <w:rPr>
          <w:lang w:eastAsia="en-GB"/>
        </w:rPr>
        <w:fldChar w:fldCharType="separate"/>
      </w:r>
      <w:r w:rsidRPr="00013A68" w:rsidR="009B3FC3">
        <w:rPr>
          <w:noProof/>
        </w:rPr>
        <w:t>(</w:t>
      </w:r>
      <w:r w:rsidR="009B3FC3">
        <w:rPr>
          <w:noProof/>
        </w:rPr>
        <w:t>2</w:t>
      </w:r>
      <w:r w:rsidRPr="00013A68" w:rsidR="009B3FC3">
        <w:rPr>
          <w:noProof/>
        </w:rPr>
        <w:t>)</w:t>
      </w:r>
      <w:r w:rsidR="003C7B39">
        <w:rPr>
          <w:lang w:eastAsia="en-GB"/>
        </w:rPr>
        <w:fldChar w:fldCharType="end"/>
      </w:r>
    </w:p>
    <w:p w:rsidR="00D31BE5" w:rsidP="007F49B8" w:rsidRDefault="00D31BE5" w14:paraId="3417D4E7">
      <w:pPr>
        <w:rPr>
          <w:lang w:eastAsia="en-GB"/>
        </w:rPr>
      </w:pPr>
    </w:p>
    <w:p w:rsidRPr="0025730C" w:rsidR="00D31BE5" w:rsidP="0025730C" w:rsidRDefault="00D31BE5" w14:paraId="56E7ACBA">
      <w:pPr>
        <w:pStyle w:val="Equation"/>
        <w:rPr>
          <w:rFonts w:ascii="Times New Roman" w:cs="Times New Roman"/>
        </w:rPr>
      </w:pPr>
      <w:r w:rsidRPr="00013A68">
        <w:rPr>
          <w:rFonts w:ascii="Times New Roman" w:cs="Times New Roman" w:eastAsiaTheme="minorEastAsia"/>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hAnsi="Cambria Math" w:eastAsia="Cambria Math" w:cs="Cambria Math"/>
                    <w:i/>
                  </w:rPr>
                </m:ctrlPr>
              </m:e>
              <m:e>
                <m:r>
                  <w:rPr>
                    <w:rFonts w:hAnsi="Cambria Math" w:eastAsia="Cambria Math" w:cs="Cambria Math"/>
                  </w:rPr>
                  <m:t>I+S=N</m:t>
                </m:r>
              </m:e>
            </m:eqArr>
          </m:e>
        </m:d>
      </m:oMath>
      <w:r w:rsidRPr="00013A68">
        <w:rPr>
          <w:rFonts w:ascii="Times New Roman" w:cs="Times New Roman"/>
        </w:rPr>
        <w:tab/>
      </w:r>
      <w:bookmarkStart w:name="SISa_model" w:id="3"/>
      <w:r w:rsidRPr="00013A68" w:rsidR="003C7B39">
        <w:rPr>
          <w:rFonts w:ascii="Times New Roman" w:cs="Times New Roman"/>
        </w:rPr>
        <w:fldChar w:fldCharType="begin"/>
      </w:r>
      <w:r w:rsidRPr="00013A68">
        <w:rPr>
          <w:rFonts w:ascii="Times New Roman" w:cs="Times New Roman"/>
        </w:rPr>
        <w:instrText xml:space="preserve"> SEQ Equation\#"(#)" \* MERGEFORMAT </w:instrText>
      </w:r>
      <w:r w:rsidRPr="00013A68" w:rsidR="003C7B39">
        <w:rPr>
          <w:rFonts w:ascii="Times New Roman" w:cs="Times New Roman"/>
        </w:rPr>
        <w:fldChar w:fldCharType="separate"/>
      </w:r>
      <w:r w:rsidRPr="00013A68" w:rsidR="009B3FC3">
        <w:rPr>
          <w:rFonts w:ascii="Times New Roman" w:cs="Times New Roman"/>
          <w:noProof/>
        </w:rPr>
        <w:t>(</w:t>
      </w:r>
      <w:r w:rsidR="009B3FC3">
        <w:rPr>
          <w:rFonts w:ascii="Times New Roman" w:cs="Times New Roman"/>
          <w:noProof/>
        </w:rPr>
        <w:t>2</w:t>
      </w:r>
      <w:r w:rsidRPr="00013A68" w:rsidR="009B3FC3">
        <w:rPr>
          <w:rFonts w:ascii="Times New Roman" w:cs="Times New Roman"/>
          <w:noProof/>
        </w:rPr>
        <w:t>)</w:t>
      </w:r>
      <w:r w:rsidRPr="00013A68" w:rsidR="003C7B39">
        <w:rPr>
          <w:rFonts w:ascii="Times New Roman" w:cs="Times New Roman"/>
        </w:rPr>
        <w:fldChar w:fldCharType="end"/>
      </w:r>
      <w:bookmarkEnd w:id="3"/>
    </w:p>
    <w:p w:rsidR="006570AC" w:rsidP="006570AC" w:rsidRDefault="006570AC" w14:paraId="664A2A9F">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P="006570AC" w:rsidRDefault="00C503CF" w14:paraId="1E2B0B20"/>
    <w:p w:rsidR="006570AC" w:rsidP="006570AC" w:rsidRDefault="00C503CF" w14:paraId="2CF599C8">
      <w:pPr>
        <w:pStyle w:val="Equation"/>
        <w:rPr>
          <w:rFonts w:ascii="Times New Roman" w:eastAsia="Times New Roman" w:cs="Times New Roman"/>
        </w:rPr>
      </w:pPr>
      <w:r>
        <w:rPr>
          <w:rFonts w:ascii="Times New Roman" w:eastAsia="Times New Roman" w:cs="Times New Roman"/>
        </w:rPr>
        <w:tab/>
      </w:r>
      <m:oMath>
        <m:r>
          <w:rPr>
            <w:rFonts w:hAnsi="Cambria Math" w:eastAsia="Times New Roman" w:cs="Times New Roman"/>
          </w:rPr>
          <m:t>P</m:t>
        </m:r>
        <m:d>
          <m:dPr>
            <m:ctrlPr>
              <w:rPr>
                <w:rFonts w:hAnsi="Cambria Math" w:eastAsia="Times New Roman" w:cs="Times New Roman"/>
                <w:i/>
              </w:rPr>
            </m:ctrlPr>
          </m:dPr>
          <m:e>
            <m:r>
              <w:rPr>
                <w:rFonts w:hAnsi="Cambria Math" w:eastAsia="Times New Roman"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name="Proba_susceptible_infected" w:id="4"/>
      <w:r w:rsidRPr="00013A68" w:rsidR="003C7B39">
        <w:rPr>
          <w:rFonts w:ascii="Times New Roman" w:cs="Times New Roman"/>
        </w:rPr>
        <w:fldChar w:fldCharType="begin"/>
      </w:r>
      <w:r w:rsidRPr="00013A68">
        <w:rPr>
          <w:rFonts w:ascii="Times New Roman" w:cs="Times New Roman"/>
        </w:rPr>
        <w:instrText xml:space="preserve"> SEQ Equation\#"(#)" \* MERGEFORMAT </w:instrText>
      </w:r>
      <w:r w:rsidRPr="00013A68" w:rsidR="003C7B39">
        <w:rPr>
          <w:rFonts w:ascii="Times New Roman" w:cs="Times New Roman"/>
        </w:rPr>
        <w:fldChar w:fldCharType="separate"/>
      </w:r>
      <w:r w:rsidRPr="00013A68" w:rsidR="009B3FC3">
        <w:rPr>
          <w:rFonts w:ascii="Times New Roman" w:cs="Times New Roman"/>
          <w:noProof/>
        </w:rPr>
        <w:t>(</w:t>
      </w:r>
      <w:r w:rsidR="009B3FC3">
        <w:rPr>
          <w:rFonts w:ascii="Times New Roman" w:cs="Times New Roman"/>
          <w:noProof/>
        </w:rPr>
        <w:t>3</w:t>
      </w:r>
      <w:r w:rsidRPr="00013A68" w:rsidR="009B3FC3">
        <w:rPr>
          <w:rFonts w:ascii="Times New Roman" w:cs="Times New Roman"/>
          <w:noProof/>
        </w:rPr>
        <w:t>)</w:t>
      </w:r>
      <w:r w:rsidRPr="00013A68" w:rsidR="003C7B39">
        <w:rPr>
          <w:rFonts w:ascii="Times New Roman" w:cs="Times New Roman"/>
        </w:rPr>
        <w:fldChar w:fldCharType="end"/>
      </w:r>
      <w:bookmarkEnd w:id="4"/>
    </w:p>
    <w:p w:rsidR="00094BCD" w:rsidP="00094BCD" w:rsidRDefault="00094BCD" w14:paraId="47AAFEAC">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P="00094BCD" w:rsidRDefault="00C503CF" w14:paraId="3170FAA2"/>
    <w:p w:rsidR="00094BCD" w:rsidP="00094BCD" w:rsidRDefault="002363F4" w14:paraId="3B813DDA">
      <w:pPr>
        <w:pStyle w:val="Equation"/>
        <w:rPr>
          <w:rFonts w:ascii="Times New Roman" w:eastAsia="Times New Roman" w:cs="Times New Roman"/>
        </w:rPr>
      </w:pPr>
      <w:r>
        <w:rPr>
          <w:rFonts w:ascii="Times New Roman" w:eastAsia="Times New Roman" w:cs="Times New Roman"/>
        </w:rPr>
        <w:tab/>
      </w:r>
      <m:oMath>
        <m:r>
          <m:rPr>
            <m:sty m:val="p"/>
          </m:rPr>
          <w:rPr>
            <w:rFonts w:hAnsi="Cambria Math" w:eastAsia="Times New Roman" w:cs="Times New Roman"/>
          </w:rPr>
          <m:t>P</m:t>
        </m:r>
        <m:d>
          <m:dPr>
            <m:ctrlPr>
              <w:rPr>
                <w:rFonts w:hAnsi="Cambria Math" w:eastAsia="Times New Roman" w:cs="Times New Roman"/>
              </w:rPr>
            </m:ctrlPr>
          </m:dPr>
          <m:e>
            <m:r>
              <w:rPr>
                <w:rFonts w:hAnsi="Cambria Math" w:eastAsia="Times New Roman" w:cs="Times New Roman"/>
              </w:rPr>
              <m:t>I</m:t>
            </m:r>
            <m:r>
              <m:rPr>
                <m:sty m:val="p"/>
              </m:rPr>
              <w:rPr>
                <w:rFonts w:hAnsi="Cambria Math" w:eastAsia="Times New Roman" w:cs="Times New Roman"/>
              </w:rPr>
              <m:t>→S,∆t</m:t>
            </m:r>
            <m:r>
              <m:rPr>
                <m:sty m:val="p"/>
              </m:rPr>
              <w:rPr>
                <w:rFonts w:eastAsia="Times New Roman" w:cs="Times New Roman"/>
              </w:rPr>
              <m:t xml:space="preserve"> </m:t>
            </m:r>
          </m:e>
        </m:d>
        <m:r>
          <m:rPr>
            <m:sty m:val="p"/>
          </m:rPr>
          <w:rPr>
            <w:rFonts w:hAnsi="Cambria Math" w:eastAsia="Times New Roman" w:cs="Times New Roman"/>
          </w:rPr>
          <m:t>~</m:t>
        </m:r>
        <m:r>
          <w:rPr>
            <w:rFonts w:hAnsi="Cambria Math" w:eastAsia="Times New Roman" w:cs="Times New Roman"/>
          </w:rPr>
          <m:t>g</m:t>
        </m:r>
        <m:r>
          <m:rPr>
            <m:sty m:val="p"/>
          </m:rPr>
          <w:rPr>
            <w:rFonts w:eastAsia="Times New Roman" w:cs="Times New Roman"/>
          </w:rPr>
          <m:t xml:space="preserve"> </m:t>
        </m:r>
        <m:r>
          <m:rPr>
            <m:sty m:val="p"/>
          </m:rPr>
          <w:rPr>
            <w:rFonts w:hAnsi="Cambria Math" w:eastAsia="Times New Roman" w:cs="Times New Roman"/>
          </w:rPr>
          <m:t>∆t</m:t>
        </m:r>
        <m:r>
          <m:rPr>
            <m:sty m:val="p"/>
          </m:rPr>
          <w:rPr>
            <w:rFonts w:eastAsia="Times New Roman" w:cs="Times New Roman"/>
          </w:rPr>
          <m:t xml:space="preserve"> </m:t>
        </m:r>
      </m:oMath>
      <w:r w:rsidR="00C503CF">
        <w:rPr>
          <w:rFonts w:ascii="Times New Roman" w:eastAsia="Times New Roman" w:cs="Times New Roman"/>
        </w:rPr>
        <w:tab/>
      </w:r>
      <w:bookmarkStart w:name="Proba_infected_susceptible" w:id="5"/>
      <w:r w:rsidRPr="00C503CF" w:rsidR="003C7B39">
        <w:rPr>
          <w:rFonts w:ascii="Times New Roman" w:eastAsia="Times New Roman" w:cs="Times New Roman"/>
        </w:rPr>
        <w:fldChar w:fldCharType="begin"/>
      </w:r>
      <w:r w:rsidRPr="00C503CF" w:rsidR="00C503CF">
        <w:rPr>
          <w:rFonts w:ascii="Times New Roman" w:eastAsia="Times New Roman" w:cs="Times New Roman"/>
        </w:rPr>
        <w:instrText xml:space="preserve"> SEQ Equation\#"(#)" \* MERGEFORMAT </w:instrText>
      </w:r>
      <w:r w:rsidRPr="00C503CF" w:rsidR="003C7B39">
        <w:rPr>
          <w:rFonts w:ascii="Times New Roman" w:eastAsia="Times New Roman" w:cs="Times New Roman"/>
        </w:rPr>
        <w:fldChar w:fldCharType="separate"/>
      </w:r>
      <w:r w:rsidRPr="00C503CF" w:rsidR="009B3FC3">
        <w:rPr>
          <w:rFonts w:ascii="Times New Roman" w:eastAsia="Times New Roman" w:cs="Times New Roman"/>
          <w:noProof/>
        </w:rPr>
        <w:t>(</w:t>
      </w:r>
      <w:r w:rsidR="009B3FC3">
        <w:rPr>
          <w:rFonts w:ascii="Times New Roman" w:eastAsia="Times New Roman" w:cs="Times New Roman"/>
          <w:noProof/>
        </w:rPr>
        <w:t>4</w:t>
      </w:r>
      <w:r w:rsidRPr="00C503CF" w:rsidR="009B3FC3">
        <w:rPr>
          <w:rFonts w:ascii="Times New Roman" w:eastAsia="Times New Roman" w:cs="Times New Roman"/>
          <w:noProof/>
        </w:rPr>
        <w:t>)</w:t>
      </w:r>
      <w:r w:rsidRPr="00C503CF" w:rsidR="003C7B39">
        <w:rPr>
          <w:rFonts w:ascii="Times New Roman" w:eastAsia="Times New Roman" w:cs="Times New Roman"/>
        </w:rPr>
        <w:fldChar w:fldCharType="end"/>
      </w:r>
      <w:bookmarkEnd w:id="5"/>
    </w:p>
    <w:p w:rsidR="0016488A" w:rsidP="0016488A" w:rsidRDefault="002B7B5D" w14:paraId="6225B104">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P="0016488A" w:rsidRDefault="0016488A" w14:paraId="7972E36A">
      <w:r>
        <w:t xml:space="preserve">et al. </w:t>
      </w:r>
      <w:r w:rsidR="003C7B39">
        <w:fldChar w:fldCharType="begin" w:fldLock="1"/>
      </w:r>
      <w:r w:rsidR="006317D1">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3C7B39">
        <w:fldChar w:fldCharType="separate"/>
      </w:r>
      <w:r w:rsidRPr="00304FC9" w:rsidR="00304FC9">
        <w:rPr>
          <w:noProof/>
        </w:rPr>
        <w:t>(Shalizi &amp; Thomas, 2011)</w:t>
      </w:r>
      <w:r w:rsidR="003C7B39">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P="00094BCD" w:rsidRDefault="00094BCD" w14:paraId="417711E9"/>
    <w:p w:rsidRPr="006570AC" w:rsidR="00BB45CE" w:rsidP="00BB45CE" w:rsidRDefault="00BB45CE" w14:paraId="3C33D1C0">
      <w:pPr>
        <w:pStyle w:val="Heading1"/>
      </w:pPr>
      <w:r w:rsidRPr="006570AC">
        <w:t>Implementation</w:t>
      </w:r>
    </w:p>
    <w:p w:rsidR="00074876" w:rsidP="00074876" w:rsidRDefault="00074876" w14:paraId="72CE0BC2"/>
    <w:p w:rsidR="00074876" w:rsidP="00BB45CE" w:rsidRDefault="00074876" w14:paraId="26BB3EA0">
      <w:pPr>
        <w:rPr>
          <w:b/>
        </w:rPr>
      </w:pPr>
      <w:r w:rsidRPr="003E004D">
        <w:rPr>
          <w:b/>
        </w:rPr>
        <w:t>Data description</w:t>
      </w:r>
    </w:p>
    <w:p w:rsidRPr="003E004D" w:rsidR="003E004D" w:rsidP="00BB45CE" w:rsidRDefault="003E004D" w14:paraId="525FB824">
      <w:pPr>
        <w:rPr>
          <w:b/>
        </w:rPr>
      </w:pPr>
    </w:p>
    <w:p w:rsidR="00E4442E" w:rsidP="00BB45CE" w:rsidRDefault="00E4442E" w14:paraId="4C17F38D">
      <w:r>
        <w:t xml:space="preserve">In order to implement the </w:t>
      </w:r>
      <w:proofErr w:type="spellStart"/>
      <w:r>
        <w:t>SISa</w:t>
      </w:r>
      <w:proofErr w:type="spellEnd"/>
      <w:r>
        <w:t xml:space="preserve"> we tried to find a longitudinal dataset with similar properties as the Framingham Heart Study dataset similarly to Hill et al. We used the Friends and Family dataset collected by </w:t>
      </w:r>
      <w:proofErr w:type="spellStart"/>
      <w:r w:rsidRPr="000B7494">
        <w:t>Aharony</w:t>
      </w:r>
      <w:proofErr w:type="spellEnd"/>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 xml:space="preserve">was carried out from October to December 2010. In the </w:t>
      </w:r>
      <w:r w:rsidR="00705922">
        <w:lastRenderedPageBreak/>
        <w:t>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P="00BB45CE" w:rsidRDefault="00705922" w14:paraId="0BD93694">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P="00BB45CE" w:rsidRDefault="00730879" w14:paraId="08C7102B">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P="00BB45CE" w:rsidRDefault="004A4527" w14:paraId="01DFE403">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P="0045629C" w:rsidRDefault="0045629C" w14:paraId="6C8085B2">
      <w:pPr>
        <w:rPr>
          <w:b/>
        </w:rPr>
      </w:pPr>
    </w:p>
    <w:p w:rsidR="0045629C" w:rsidP="0045629C" w:rsidRDefault="0045629C" w14:paraId="1B488050">
      <w:pPr>
        <w:rPr>
          <w:b/>
        </w:rPr>
      </w:pPr>
      <w:r>
        <w:rPr>
          <w:b/>
        </w:rPr>
        <w:t>Timing</w:t>
      </w:r>
    </w:p>
    <w:p w:rsidR="00B83784" w:rsidP="0045629C" w:rsidRDefault="00B83784" w14:paraId="65F36FA6">
      <w:pPr>
        <w:rPr>
          <w:b/>
        </w:rPr>
      </w:pPr>
    </w:p>
    <w:p w:rsidR="0045629C" w:rsidP="00BB45CE" w:rsidRDefault="0045629C" w14:paraId="5C107756">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P="00BB45CE" w:rsidRDefault="00E4442E" w14:paraId="42AD7554"/>
    <w:p w:rsidR="002735E0" w:rsidP="00BB45CE" w:rsidRDefault="003E004D" w14:paraId="095B3DE3">
      <w:pPr>
        <w:rPr>
          <w:b/>
        </w:rPr>
      </w:pPr>
      <w:r w:rsidRPr="003E004D">
        <w:rPr>
          <w:b/>
        </w:rPr>
        <w:t>Network description and analysis</w:t>
      </w:r>
    </w:p>
    <w:p w:rsidRPr="003E004D" w:rsidR="0045629C" w:rsidP="00BB45CE" w:rsidRDefault="0045629C" w14:paraId="6CFB2018">
      <w:pPr>
        <w:rPr>
          <w:b/>
        </w:rPr>
      </w:pPr>
    </w:p>
    <w:p w:rsidR="003E004D" w:rsidP="003E004D" w:rsidRDefault="003E004D" w14:paraId="230C3A8E">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P="003E004D" w:rsidRDefault="003E004D" w14:paraId="1E2309D3">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Pr="003E004D" w:rsidR="00B65EBE" w:rsidP="003E004D" w:rsidRDefault="00B65EBE" w14:paraId="4D091768"/>
    <w:p w:rsidRPr="003E004D" w:rsidR="00B65EBE" w:rsidP="00B65EBE" w:rsidRDefault="00B65EBE" w14:paraId="4577CC0C">
      <w:pPr>
        <w:rPr>
          <w:b/>
        </w:rPr>
      </w:pPr>
      <w:r>
        <w:rPr>
          <w:b/>
        </w:rPr>
        <w:t>Ego change of state</w:t>
      </w:r>
    </w:p>
    <w:p w:rsidR="002735E0" w:rsidP="00BB45CE" w:rsidRDefault="002735E0" w14:paraId="455FEBBD"/>
    <w:p w:rsidR="00B65EBE" w:rsidP="00BB45CE" w:rsidRDefault="00B65EBE" w14:paraId="76ED50CD">
      <w:r>
        <w:t>While WHO defines obes</w:t>
      </w:r>
      <w:r w:rsidR="009B57F1">
        <w:t xml:space="preserve">ity as a BMI higher than 30, our sample only contained 5 obese subjects out of a total of </w:t>
      </w:r>
      <w:r w:rsidRPr="009B57F1" w:rsidR="009B57F1">
        <w:rPr>
          <w:color w:val="FF0000"/>
        </w:rPr>
        <w:t>[108/90</w:t>
      </w:r>
      <w:r w:rsidR="008A0E9A">
        <w:rPr>
          <w:color w:val="FF0000"/>
        </w:rPr>
        <w:t>/85</w:t>
      </w:r>
      <w:r w:rsidRPr="009B57F1" w:rsidR="009B57F1">
        <w:rPr>
          <w:color w:val="FF0000"/>
        </w:rPr>
        <w:t>]</w:t>
      </w:r>
      <w:r w:rsidR="009B57F1">
        <w:t>. This percentage of obese egos in our sample is much lower than the percentage of obese adult in the US in 2008 which was higher than 30%</w:t>
      </w:r>
      <w:r w:rsidR="002A1777">
        <w:t xml:space="preserve"> </w:t>
      </w:r>
      <w:r w:rsidR="003C7B39">
        <w:fldChar w:fldCharType="begin" w:fldLock="1"/>
      </w:r>
      <w:r w:rsidR="006317D1">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3C7B39">
        <w:fldChar w:fldCharType="separate"/>
      </w:r>
      <w:r w:rsidRPr="002A1777" w:rsidR="002A1777">
        <w:rPr>
          <w:noProof/>
        </w:rPr>
        <w:t>(Scully, 2014)</w:t>
      </w:r>
      <w:r w:rsidR="003C7B39">
        <w:fldChar w:fldCharType="end"/>
      </w:r>
      <w:r w:rsidR="009B57F1">
        <w:t>.</w:t>
      </w:r>
      <w:r w:rsidR="00C92593">
        <w:t xml:space="preserve"> Our sample is therefore not representative</w:t>
      </w:r>
      <w:r w:rsidR="000275E9">
        <w:t xml:space="preserve"> of the average American person.</w:t>
      </w:r>
    </w:p>
    <w:p w:rsidR="00845D27" w:rsidP="00BB45CE" w:rsidRDefault="00845D27" w14:paraId="4CBE77DF">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P="00BB45CE" w:rsidRDefault="00E01220" w14:paraId="3726A540"/>
    <w:p w:rsidR="00E01220" w:rsidP="00BB45CE" w:rsidRDefault="00E01220" w14:paraId="3CC01F0F">
      <w:r>
        <w:t>[</w:t>
      </w:r>
      <w:r w:rsidRPr="00E01220">
        <w:rPr>
          <w:b/>
        </w:rPr>
        <w:t>Regression</w:t>
      </w:r>
      <w:r>
        <w:t>]</w:t>
      </w:r>
    </w:p>
    <w:p w:rsidR="00E01220" w:rsidP="00BB45CE" w:rsidRDefault="00E01220" w14:paraId="460FD1DB"/>
    <w:p w:rsidR="00E01220" w:rsidP="00E01220" w:rsidRDefault="00E01220" w14:paraId="5165EEE8">
      <w:r>
        <w:t>We follow Hill and al. approach and perform a regression of the probability of transitioning against the number of contacts which are in a particular state namely obese or non-obese.</w:t>
      </w:r>
    </w:p>
    <w:p w:rsidR="00E01220" w:rsidP="00BB45CE" w:rsidRDefault="00E01220" w14:paraId="5EA55723">
      <w:r>
        <w:lastRenderedPageBreak/>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P="00BB45CE" w:rsidRDefault="00E01220" w14:paraId="6DE9E0DD">
      <w:r>
        <w:t>Our sample size is not as big as in the Framingham Heart Study and the timescale is reduced as the Friends and Family dataset of larger study containing additional valuable information about subjects.</w:t>
      </w:r>
    </w:p>
    <w:p w:rsidR="00E01220" w:rsidP="00BB45CE" w:rsidRDefault="00E01220" w14:paraId="3142B6FD"/>
    <w:p w:rsidR="00E01220" w:rsidP="00BB45CE" w:rsidRDefault="00E01220" w14:paraId="2CBA3F0D">
      <w:r>
        <w:t>[</w:t>
      </w:r>
      <w:r w:rsidRPr="00E01220">
        <w:rPr>
          <w:b/>
        </w:rPr>
        <w:t>Simulation</w:t>
      </w:r>
      <w:r>
        <w:t>]</w:t>
      </w:r>
    </w:p>
    <w:p w:rsidR="003215BC" w:rsidP="00BB45CE" w:rsidRDefault="003215BC" w14:paraId="19A9A3B3"/>
    <w:p w:rsidR="003215BC" w:rsidP="00BB45CE" w:rsidRDefault="003215BC" w14:paraId="27A5E9B7"/>
    <w:p w:rsidR="00BB45CE" w:rsidP="00BB45CE" w:rsidRDefault="00BB45CE" w14:paraId="5D590CCE">
      <w:pPr>
        <w:pStyle w:val="Heading1"/>
      </w:pPr>
      <w:r w:rsidRPr="006714D2">
        <w:t>Simulation Results and Discussion</w:t>
      </w:r>
    </w:p>
    <w:p w:rsidR="003300C1" w:rsidP="003300C1" w:rsidRDefault="003300C1" w14:paraId="7143E796"/>
    <w:p w:rsidRPr="00353CD6" w:rsidR="00353CD6" w:rsidP="003F1759" w:rsidRDefault="00353CD6" w14:paraId="4FBA56FD">
      <w:pPr>
        <w:rPr>
          <w:b/>
        </w:rPr>
      </w:pPr>
      <w:r w:rsidRPr="00353CD6">
        <w:rPr>
          <w:b/>
        </w:rPr>
        <w:t>Network characteristic</w:t>
      </w:r>
    </w:p>
    <w:p w:rsidR="00353CD6" w:rsidP="003F1759" w:rsidRDefault="00353CD6" w14:paraId="6CED1E67"/>
    <w:p w:rsidR="003300C1" w:rsidP="003F1759" w:rsidRDefault="003300C1" w14:paraId="2331917E">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Pr="00D15ACE" w:rsidR="00D15ACE">
        <w:rPr>
          <w:color w:val="FF0000"/>
        </w:rPr>
        <w:t>[</w:t>
      </w:r>
      <w:r w:rsidR="00640FDA">
        <w:rPr>
          <w:color w:val="FF0000"/>
        </w:rPr>
        <w:t>85</w:t>
      </w:r>
      <w:r w:rsidRPr="00D15ACE" w:rsidR="00D15ACE">
        <w:rPr>
          <w:color w:val="FF0000"/>
        </w:rPr>
        <w:t>]</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 xml:space="preserve">degree distribution is quite stable over the four period of measurement </w:t>
      </w:r>
      <w:r w:rsidR="005D0C09">
        <w:t>standing at 6.7, 6.1, 7.4</w:t>
      </w:r>
      <w:r w:rsidR="00DD6B30">
        <w:t xml:space="preserve"> </w:t>
      </w:r>
      <w:r w:rsidR="005D0C09">
        <w:t>for t=1...3</w:t>
      </w:r>
      <w:r w:rsidR="00DD6B30">
        <w:t>.</w:t>
      </w:r>
      <w:r w:rsidR="003E004D">
        <w:t xml:space="preserve"> In comparison</w:t>
      </w:r>
      <w:r w:rsidR="004A0B7B">
        <w:t>, the average degree amounted to 3 at the end of the Framingham Heart Study</w:t>
      </w:r>
      <w:r w:rsidR="00FF2AFF">
        <w:t>.</w:t>
      </w:r>
      <w:r w:rsidR="004A0B7B">
        <w:t xml:space="preserve"> </w:t>
      </w:r>
    </w:p>
    <w:p w:rsidRPr="000F078F" w:rsidR="00C101BD" w:rsidP="003F1759" w:rsidRDefault="00C101BD" w14:paraId="08A54A47">
      <w:r>
        <w:t xml:space="preserve">We test a power law to fit the degree </w:t>
      </w:r>
      <w:r w:rsidR="006B1BF9">
        <w:t>distribution of the n</w:t>
      </w:r>
      <w:r w:rsidRPr="000F078F" w:rsidR="006B1BF9">
        <w:t xml:space="preserve">etwork as </w:t>
      </w:r>
      <w:r w:rsidRPr="000F078F">
        <w:t>many social networks are considered to be scale free networks</w:t>
      </w:r>
      <w:r w:rsidRPr="000F078F" w:rsidR="006B1BF9">
        <w:t xml:space="preserve"> </w:t>
      </w:r>
      <w:r w:rsidRPr="000F078F" w:rsidR="003C7B39">
        <w:fldChar w:fldCharType="begin" w:fldLock="1"/>
      </w:r>
      <w:r w:rsidR="006317D1">
        <w:instrText>ADDIN CSL_CITATION { "citationItems" : [ { "id" : "ITEM-1", "itemData" : { "ISSN" : "0036-8075", "author" : [ { "dropping-particle" : "", "family" : "Barab\u00e1si", "given" : "Albert-L\u00e1szl\u00f3", "non-dropping-particle" : "", "parse-names" : false, "suffix" : "" } ], "container-title" : "Science", "id" : "ITEM-1", "issue" : "5939", "issued" : { "date-parts" : [ [ "2009" ] ] }, "page" : "412-413", "publisher" : "American Association for the Advancement of Science", "title" : "Scale-free networks: a decade and beyond", "type" : "article-journal", "volume" : "325" }, "uris" : [ "http://www.mendeley.com/documents/?uuid=213bd0ea-6bfe-4b49-ab26-7c5490cc5db4" ] } ], "mendeley" : { "previouslyFormattedCitation" : "(Barab\u00e1si, 2009)" }, "properties" : { "noteIndex" : 0 }, "schema" : "https://github.com/citation-style-language/schema/raw/master/csl-citation.json" }</w:instrText>
      </w:r>
      <w:r w:rsidRPr="000F078F" w:rsidR="003C7B39">
        <w:fldChar w:fldCharType="separate"/>
      </w:r>
      <w:r w:rsidRPr="000F078F" w:rsidR="000F078F">
        <w:rPr>
          <w:noProof/>
        </w:rPr>
        <w:t>(Barabási, 2009)</w:t>
      </w:r>
      <w:r w:rsidRPr="000F078F" w:rsidR="003C7B39">
        <w:fldChar w:fldCharType="end"/>
      </w:r>
      <w:r w:rsidR="0024042B">
        <w:t xml:space="preserve"> and find that the Friends and Family network exhibit characteristics of </w:t>
      </w:r>
      <w:r w:rsidR="005649F6">
        <w:t xml:space="preserve">a </w:t>
      </w:r>
      <w:r w:rsidR="0024042B">
        <w:t>scale-free network.</w:t>
      </w:r>
    </w:p>
    <w:p w:rsidRPr="000F078F" w:rsidR="00314ED8" w:rsidP="000F078F" w:rsidRDefault="000F078F" w14:paraId="5668BDD6">
      <w:pPr>
        <w:tabs>
          <w:tab w:val="left" w:pos="1620"/>
        </w:tabs>
      </w:pPr>
      <w:r w:rsidRPr="000F078F">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755"/>
      </w:tblGrid>
      <w:tr w:rsidR="005D0C09" w:rsidTr="00E975CE" w14:paraId="08DFFB19">
        <w:tc>
          <w:tcPr>
            <w:tcW w:w="8755" w:type="dxa"/>
          </w:tcPr>
          <w:p w:rsidR="005D0C09" w:rsidP="00E975CE" w:rsidRDefault="00E975CE" w14:paraId="0B983C70">
            <w:pPr>
              <w:jc w:val="center"/>
            </w:pPr>
            <w:r>
              <w:rPr>
                <w:noProof/>
                <w:lang w:eastAsia="en-GB"/>
              </w:rPr>
              <w:drawing>
                <wp:inline distT="0" distB="0" distL="0" distR="0" wp14:anchorId="510F5427" wp14:editId="7777777">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Pr="00593555" w:rsidR="00314ED8" w:rsidP="00593555" w:rsidRDefault="00D15ACE" w14:paraId="0E166261">
      <w:pPr>
        <w:pStyle w:val="Caption"/>
        <w:ind w:left="284" w:right="843" w:firstLine="0"/>
      </w:pPr>
      <w:bookmarkStart w:name="_Ref386577152" w:id="6"/>
      <w:r w:rsidRPr="00593555">
        <w:lastRenderedPageBreak/>
        <w:t xml:space="preserve">Figure </w:t>
      </w:r>
      <w:fldSimple w:instr=" SEQ Figure \* ARABIC ">
        <w:r w:rsidRPr="00593555" w:rsidR="0098030D">
          <w:t>1</w:t>
        </w:r>
      </w:fldSimple>
      <w:bookmarkEnd w:id="6"/>
      <w:r w:rsidRPr="00593555">
        <w:t>: Average degre</w:t>
      </w:r>
      <w:r w:rsidRPr="00593555" w:rsidR="00E975CE">
        <w:t>e distribution of close friends</w:t>
      </w:r>
      <w:r w:rsidR="00593555">
        <w:t>. The parameters of the power law fitted function y=</w:t>
      </w:r>
      <w:proofErr w:type="spellStart"/>
      <w:r w:rsidR="00593555">
        <w:t>αx</w:t>
      </w:r>
      <w:r w:rsidRPr="00593555" w:rsidR="00593555">
        <w:rPr>
          <w:vertAlign w:val="superscript"/>
        </w:rPr>
        <w:t>β</w:t>
      </w:r>
      <w:proofErr w:type="spellEnd"/>
      <w:r w:rsidR="00593555">
        <w:t xml:space="preserve"> are α=55 and </w:t>
      </w:r>
      <w:r w:rsidRPr="00593555" w:rsidR="00593555">
        <w:t>β</w:t>
      </w:r>
      <w:r w:rsidR="00593555">
        <w:t>=-1.07</w:t>
      </w:r>
      <w:r w:rsidR="00984659">
        <w:t>.</w:t>
      </w:r>
    </w:p>
    <w:p w:rsidR="00640FDA" w:rsidP="00BB45CE" w:rsidRDefault="00821460" w14:paraId="2DDDA44F">
      <w:r>
        <w:t xml:space="preserve">We test two types of </w:t>
      </w:r>
      <w:proofErr w:type="spellStart"/>
      <w:r>
        <w:t>assortativity</w:t>
      </w:r>
      <w:proofErr w:type="spellEnd"/>
      <w:r>
        <w:t xml:space="preserve">: social </w:t>
      </w:r>
      <w:proofErr w:type="spellStart"/>
      <w:r>
        <w:t>assortativity</w:t>
      </w:r>
      <w:proofErr w:type="spellEnd"/>
      <w:r>
        <w:t xml:space="preserve"> and weight </w:t>
      </w:r>
      <w:proofErr w:type="spellStart"/>
      <w:r>
        <w:t>assortativity</w:t>
      </w:r>
      <w:proofErr w:type="spellEnd"/>
      <w:r>
        <w:t>. W</w:t>
      </w:r>
      <w:r w:rsidR="00307962">
        <w:t xml:space="preserve">e run the regression of the average nearest </w:t>
      </w:r>
      <w:proofErr w:type="spellStart"/>
      <w:r w:rsidR="00307962">
        <w:t>neighbor</w:t>
      </w:r>
      <w:proofErr w:type="spellEnd"/>
      <w:r w:rsidR="00307962">
        <w:t xml:space="preserve"> degree against the average degree of a subject in to order to evaluate the social </w:t>
      </w:r>
      <w:proofErr w:type="spellStart"/>
      <w:r w:rsidR="00307962">
        <w:t>assortativity</w:t>
      </w:r>
      <w:proofErr w:type="spellEnd"/>
      <w:r w:rsidR="00307962">
        <w:t xml:space="preserve"> of the network. </w:t>
      </w:r>
      <w:r w:rsidR="00AF2C28">
        <w:t xml:space="preserve">The Friends and Family network </w:t>
      </w:r>
      <w:r w:rsidR="00F2131F">
        <w:t xml:space="preserve">is </w:t>
      </w:r>
      <w:r w:rsidR="00640FDA">
        <w:t xml:space="preserve">socially </w:t>
      </w:r>
      <w:proofErr w:type="spellStart"/>
      <w:r w:rsidR="00AF2C28">
        <w:t>assortative</w:t>
      </w:r>
      <w:proofErr w:type="spellEnd"/>
      <w:r w:rsidR="00AF2C28">
        <w:t xml:space="preserve"> as shown in </w:t>
      </w:r>
      <w:r w:rsidR="003C7B39">
        <w:fldChar w:fldCharType="begin"/>
      </w:r>
      <w:r w:rsidR="00723096">
        <w:instrText xml:space="preserve"> REF _Ref386579732 \h </w:instrText>
      </w:r>
      <w:r w:rsidR="003C7B39">
        <w:fldChar w:fldCharType="separate"/>
      </w:r>
      <w:r w:rsidR="00723096">
        <w:t xml:space="preserve">Figure </w:t>
      </w:r>
      <w:r w:rsidR="00723096">
        <w:rPr>
          <w:noProof/>
        </w:rPr>
        <w:t>2</w:t>
      </w:r>
      <w:r w:rsidR="003C7B39">
        <w:fldChar w:fldCharType="end"/>
      </w:r>
      <w:r w:rsidR="00640FDA">
        <w:t xml:space="preserve"> </w:t>
      </w:r>
      <w:r w:rsidR="00686DF2">
        <w:t xml:space="preserve">as </w:t>
      </w:r>
      <w:r w:rsidR="00640FDA">
        <w:t xml:space="preserve"> subjects with a higher </w:t>
      </w:r>
      <w:r w:rsidR="00686DF2">
        <w:t xml:space="preserve">number of close friends </w:t>
      </w:r>
      <w:r w:rsidR="00640FDA">
        <w:t xml:space="preserve">tend to have a higher nearest </w:t>
      </w:r>
      <w:proofErr w:type="spellStart"/>
      <w:r w:rsidR="00640FDA">
        <w:t>neighbor</w:t>
      </w:r>
      <w:proofErr w:type="spellEnd"/>
      <w:r w:rsidR="00640FDA">
        <w:t xml:space="preserve"> degree.</w:t>
      </w:r>
      <w:r w:rsidR="00F2131F">
        <w:t xml:space="preserve"> </w:t>
      </w:r>
      <w:r w:rsidR="00640FDA">
        <w:t xml:space="preserve"> </w:t>
      </w:r>
      <w:r w:rsidR="00307962">
        <w:t>We find a positive coefficient on the average degree equal to 0.34 and significant at the 5% level.</w:t>
      </w:r>
    </w:p>
    <w:p w:rsidR="00821460" w:rsidP="00BB45CE" w:rsidRDefault="00821460" w14:paraId="4E246540"/>
    <w:p w:rsidR="00BB45CE" w:rsidP="00BB45CE" w:rsidRDefault="00640FDA" w14:paraId="7AD73563">
      <w:r>
        <w:t xml:space="preserve">However </w:t>
      </w:r>
      <w:r w:rsidR="00C101BD">
        <w:t>we do not obtain</w:t>
      </w:r>
      <w:r w:rsidR="009107FF">
        <w:t xml:space="preserve"> significant</w:t>
      </w:r>
      <w:r w:rsidR="00C101BD">
        <w:t xml:space="preserve"> results </w:t>
      </w:r>
      <w:r w:rsidR="001A117C">
        <w:t xml:space="preserve">to </w:t>
      </w:r>
      <w:r w:rsidR="00C101BD">
        <w:t xml:space="preserve">support </w:t>
      </w:r>
      <w:r w:rsidR="00821460">
        <w:t>weight</w:t>
      </w:r>
      <w:r w:rsidR="00307962">
        <w:t xml:space="preserve"> </w:t>
      </w:r>
      <w:proofErr w:type="spellStart"/>
      <w:r w:rsidR="00C101BD">
        <w:t>assortativity</w:t>
      </w:r>
      <w:proofErr w:type="spellEnd"/>
      <w:r w:rsidR="00307962">
        <w:t xml:space="preserve"> when running the regression of the average nearest </w:t>
      </w:r>
      <w:proofErr w:type="spellStart"/>
      <w:r w:rsidR="00307962">
        <w:t>neighbor</w:t>
      </w:r>
      <w:proofErr w:type="spellEnd"/>
      <w:r w:rsidR="00307962">
        <w:t xml:space="preserve"> we</w:t>
      </w:r>
      <w:r w:rsidR="00E56C49">
        <w:t xml:space="preserve">ight against a subject's weight (see </w:t>
      </w:r>
      <w:r w:rsidR="003C7B39">
        <w:fldChar w:fldCharType="begin"/>
      </w:r>
      <w:r w:rsidR="00E56C49">
        <w:instrText xml:space="preserve"> REF _Ref387172154 \h </w:instrText>
      </w:r>
      <w:r w:rsidR="003C7B39">
        <w:fldChar w:fldCharType="separate"/>
      </w:r>
      <w:r w:rsidR="00E56C49">
        <w:t xml:space="preserve">Figure </w:t>
      </w:r>
      <w:r w:rsidR="00E56C49">
        <w:rPr>
          <w:noProof/>
        </w:rPr>
        <w:t>3</w:t>
      </w:r>
      <w:r w:rsidR="003C7B39">
        <w:fldChar w:fldCharType="end"/>
      </w:r>
      <w:r w:rsidR="00E56C49">
        <w:t>)</w:t>
      </w:r>
      <w:r w:rsidR="001A117C">
        <w:t>. The coefficient of the regression</w:t>
      </w:r>
      <w:r w:rsidR="00E55E06">
        <w:t xml:space="preserve"> slope</w:t>
      </w:r>
      <w:r w:rsidR="001A117C">
        <w:t xml:space="preserve"> of the average nearest </w:t>
      </w:r>
      <w:proofErr w:type="spellStart"/>
      <w:r w:rsidR="001A117C">
        <w:t>neighbor</w:t>
      </w:r>
      <w:proofErr w:type="spellEnd"/>
      <w:r w:rsidR="001A117C">
        <w:t xml:space="preserve"> weight against a subject weight is not significant at any conventional level.</w:t>
      </w:r>
      <w:r w:rsidR="00B536F5">
        <w:t xml:space="preserve"> We therefore conclude that a subject weight is not associated with its average nearest </w:t>
      </w:r>
      <w:proofErr w:type="spellStart"/>
      <w:r w:rsidR="00B536F5">
        <w:t>neighbor</w:t>
      </w:r>
      <w:proofErr w:type="spellEnd"/>
      <w:r w:rsidR="00B536F5">
        <w:t xml:space="preserve"> weight.</w:t>
      </w:r>
      <w:r w:rsidR="00955373">
        <w:t xml:space="preserve"> </w:t>
      </w:r>
    </w:p>
    <w:p w:rsidR="0098030D" w:rsidP="00AE491C" w:rsidRDefault="00AE491C" w14:paraId="239CB54B">
      <w:pPr>
        <w:keepNext/>
        <w:jc w:val="center"/>
      </w:pPr>
      <w:r>
        <w:rPr>
          <w:noProof/>
          <w:lang w:eastAsia="en-GB"/>
        </w:rPr>
        <w:drawing>
          <wp:inline distT="0" distB="0" distL="0" distR="0" wp14:anchorId="14CFCD3D" wp14:editId="7777777">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P="00593555" w:rsidRDefault="0098030D" w14:paraId="3FFA79AF">
      <w:pPr>
        <w:pStyle w:val="Caption"/>
      </w:pPr>
      <w:bookmarkStart w:name="_Ref386579732" w:id="7"/>
      <w:r>
        <w:t xml:space="preserve">Figure </w:t>
      </w:r>
      <w:fldSimple w:instr=" SEQ Figure \* ARABIC ">
        <w:r>
          <w:rPr>
            <w:noProof/>
          </w:rPr>
          <w:t>2</w:t>
        </w:r>
      </w:fldSimple>
      <w:bookmarkEnd w:id="7"/>
      <w:r>
        <w:t xml:space="preserve">: </w:t>
      </w:r>
      <w:r w:rsidR="00E7232B">
        <w:t xml:space="preserve">Friends and Family Network </w:t>
      </w:r>
      <w:r w:rsidR="00E56C49">
        <w:t xml:space="preserve">Social </w:t>
      </w:r>
      <w:proofErr w:type="spellStart"/>
      <w:r w:rsidR="00693FFF">
        <w:t>Assortativity</w:t>
      </w:r>
      <w:proofErr w:type="spellEnd"/>
      <w:r w:rsidR="00984659">
        <w:t>.</w:t>
      </w:r>
    </w:p>
    <w:p w:rsidR="00693FFF" w:rsidP="00693FFF" w:rsidRDefault="00640FDA" w14:paraId="249EC41E">
      <w:pPr>
        <w:keepNext/>
        <w:jc w:val="center"/>
      </w:pPr>
      <w:r>
        <w:rPr>
          <w:noProof/>
          <w:lang w:eastAsia="en-GB"/>
        </w:rPr>
        <w:lastRenderedPageBreak/>
        <w:drawing>
          <wp:inline distT="0" distB="0" distL="0" distR="0" wp14:anchorId="134DF0CF" wp14:editId="7777777">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P="00593555" w:rsidRDefault="00693FFF" w14:paraId="6E782671">
      <w:pPr>
        <w:pStyle w:val="Caption"/>
      </w:pPr>
      <w:bookmarkStart w:name="_Ref387172154" w:id="8"/>
      <w:r>
        <w:t xml:space="preserve">Figure </w:t>
      </w:r>
      <w:fldSimple w:instr=" SEQ Figure \* ARABIC ">
        <w:r w:rsidR="00C101BD">
          <w:rPr>
            <w:noProof/>
          </w:rPr>
          <w:t>3</w:t>
        </w:r>
      </w:fldSimple>
      <w:bookmarkEnd w:id="8"/>
      <w:r>
        <w:t xml:space="preserve">: Friends and Family Network </w:t>
      </w:r>
      <w:r w:rsidR="00E56C49">
        <w:t xml:space="preserve">Weight </w:t>
      </w:r>
      <w:proofErr w:type="spellStart"/>
      <w:r>
        <w:t>Assortativity</w:t>
      </w:r>
      <w:proofErr w:type="spellEnd"/>
    </w:p>
    <w:p w:rsidR="00AA5CA9" w:rsidP="00BB45CE" w:rsidRDefault="00AA5CA9" w14:paraId="1CADE4F8">
      <w:pPr>
        <w:rPr>
          <w:color w:val="FF0000"/>
        </w:rPr>
      </w:pPr>
    </w:p>
    <w:p w:rsidR="003215BC" w:rsidP="003215BC" w:rsidRDefault="00EB58DF" w14:paraId="3412F7AD">
      <w:pPr>
        <w:rPr>
          <w:color w:val="FF0000"/>
        </w:rPr>
      </w:pPr>
      <w:r w:rsidRPr="0071040B">
        <w:rPr>
          <w:color w:val="FF0000"/>
        </w:rPr>
        <w:t xml:space="preserve"> </w:t>
      </w:r>
      <w:r w:rsidRPr="0071040B" w:rsidR="003215BC">
        <w:rPr>
          <w:color w:val="FF0000"/>
        </w:rPr>
        <w:t>[</w:t>
      </w:r>
      <w:r w:rsidR="003215BC">
        <w:rPr>
          <w:color w:val="FF0000"/>
        </w:rPr>
        <w:t>Regression result</w:t>
      </w:r>
      <w:r w:rsidRPr="0071040B" w:rsidR="003215BC">
        <w:rPr>
          <w:color w:val="FF0000"/>
        </w:rPr>
        <w:t>]</w:t>
      </w:r>
    </w:p>
    <w:p w:rsidR="00E9498A" w:rsidP="00E9498A" w:rsidRDefault="00E9498A" w14:paraId="4A89C11B">
      <w:pPr>
        <w:pStyle w:val="ListParagraph"/>
        <w:numPr>
          <w:ilvl w:val="0"/>
          <w:numId w:val="1"/>
        </w:numPr>
        <w:rPr>
          <w:color w:val="FF0000"/>
        </w:rPr>
      </w:pPr>
      <w:r>
        <w:rPr>
          <w:color w:val="FF0000"/>
        </w:rPr>
        <w:t>be clear on cause</w:t>
      </w:r>
    </w:p>
    <w:p w:rsidRPr="00E9498A" w:rsidR="004D28AF" w:rsidP="00E9498A" w:rsidRDefault="004D28AF" w14:paraId="6F7559E0">
      <w:pPr>
        <w:pStyle w:val="ListParagraph"/>
        <w:numPr>
          <w:ilvl w:val="0"/>
          <w:numId w:val="1"/>
        </w:numPr>
        <w:rPr>
          <w:color w:val="FF0000"/>
        </w:rPr>
      </w:pPr>
      <w:r>
        <w:rPr>
          <w:color w:val="FF0000"/>
        </w:rPr>
        <w:t>Have clear figures</w:t>
      </w:r>
      <w:r w:rsidR="00B476B4">
        <w:rPr>
          <w:color w:val="FF0000"/>
        </w:rPr>
        <w:tab/>
      </w:r>
    </w:p>
    <w:p w:rsidR="00A36EA2" w:rsidP="00A36EA2" w:rsidRDefault="00A36EA2" w14:paraId="3BA76682">
      <w:pPr>
        <w:rPr>
          <w:color w:val="FF0000"/>
        </w:rPr>
      </w:pPr>
      <w:r w:rsidRPr="0071040B">
        <w:rPr>
          <w:color w:val="FF0000"/>
        </w:rPr>
        <w:t>[</w:t>
      </w:r>
      <w:r>
        <w:rPr>
          <w:color w:val="FF0000"/>
        </w:rPr>
        <w:t>Simulation either based on actual results or not</w:t>
      </w:r>
      <w:r w:rsidRPr="0071040B">
        <w:rPr>
          <w:color w:val="FF0000"/>
        </w:rPr>
        <w:t>]</w:t>
      </w:r>
    </w:p>
    <w:p w:rsidR="00EC19B2" w:rsidP="00A36EA2" w:rsidRDefault="00A36EA2" w14:paraId="69FB1F90" w14:textId="6F77C838">
      <w:pPr>
        <w:rPr>
          <w:color w:val="FF0000"/>
        </w:rPr>
      </w:pPr>
      <w:r w:rsidRPr="6F77C838" w:rsidR="6F77C838">
        <w:rPr>
          <w:color w:val="FF0000"/>
        </w:rPr>
        <w:t xml:space="preserve"> </w:t>
      </w:r>
      <w:r w:rsidRPr="6F77C838" w:rsidR="6F77C838">
        <w:rPr>
          <w:color w:val="FF0000"/>
        </w:rPr>
        <w:t>[</w:t>
      </w:r>
      <w:r w:rsidRPr="6F77C838" w:rsidR="6F77C838">
        <w:rPr>
          <w:color w:val="FF0000"/>
        </w:rPr>
        <w:t>Society implication</w:t>
      </w:r>
      <w:r w:rsidRPr="6F77C838" w:rsidR="6F77C838">
        <w:rPr>
          <w:color w:val="FF0000"/>
        </w:rPr>
        <w:t>]</w:t>
      </w:r>
    </w:p>
    <w:p w:rsidR="6F77C838" w:rsidP="6F77C838" w:rsidRDefault="6F77C838" w14:paraId="7E53DC0E" w14:textId="5AD1E217">
      <w:pPr>
        <w:jc w:val="left"/>
      </w:pPr>
      <w:r w:rsidRPr="6F77C838" w:rsidR="6F77C838">
        <w:rPr>
          <w:rFonts w:ascii="Times New Roman" w:hAnsi="Times New Roman" w:eastAsia="Times New Roman" w:cs="Times New Roman"/>
          <w:b w:val="0"/>
          <w:bCs w:val="0"/>
          <w:i w:val="0"/>
          <w:iCs w:val="0"/>
          <w:sz w:val="24"/>
          <w:szCs w:val="24"/>
        </w:rPr>
        <w:t xml:space="preserve">Our findings relate in parts to the outcome of the analysis of </w:t>
      </w:r>
      <w:r w:rsidRPr="6F77C838" w:rsidR="6F77C838">
        <w:rPr>
          <w:rFonts w:ascii="Times New Roman" w:hAnsi="Times New Roman" w:eastAsia="Times New Roman" w:cs="Times New Roman"/>
          <w:b w:val="0"/>
          <w:bCs w:val="0"/>
          <w:i w:val="0"/>
          <w:iCs w:val="0"/>
          <w:sz w:val="24"/>
          <w:szCs w:val="24"/>
        </w:rPr>
        <w:t>Christakys</w:t>
      </w:r>
      <w:r w:rsidRPr="6F77C838" w:rsidR="6F77C838">
        <w:rPr>
          <w:rFonts w:ascii="Times New Roman" w:hAnsi="Times New Roman" w:eastAsia="Times New Roman" w:cs="Times New Roman"/>
          <w:b w:val="0"/>
          <w:bCs w:val="0"/>
          <w:i w:val="0"/>
          <w:iCs w:val="0"/>
          <w:sz w:val="24"/>
          <w:szCs w:val="24"/>
        </w:rPr>
        <w:t xml:space="preserve">. We solved to some extend the question raised in his talk at </w:t>
      </w:r>
      <w:r w:rsidRPr="6F77C838" w:rsidR="6F77C838">
        <w:rPr>
          <w:rFonts w:ascii="Times New Roman" w:hAnsi="Times New Roman" w:eastAsia="Times New Roman" w:cs="Times New Roman"/>
          <w:b w:val="0"/>
          <w:bCs w:val="0"/>
          <w:i w:val="0"/>
          <w:iCs w:val="0"/>
          <w:sz w:val="24"/>
          <w:szCs w:val="24"/>
        </w:rPr>
        <w:t>Dartmouth College in 2008</w:t>
      </w:r>
      <w:r w:rsidRPr="6F77C838" w:rsidR="6F77C838">
        <w:rPr>
          <w:rFonts w:ascii="Times New Roman" w:hAnsi="Times New Roman" w:eastAsia="Times New Roman" w:cs="Times New Roman"/>
          <w:b w:val="0"/>
          <w:bCs w:val="0"/>
          <w:i w:val="0"/>
          <w:iCs w:val="0"/>
          <w:sz w:val="24"/>
          <w:szCs w:val="24"/>
        </w:rPr>
        <w:t xml:space="preserve"> concerning the outcome in a different socio-economic environment, where perception of obesity is different.</w:t>
      </w:r>
      <w:r w:rsidRPr="6F77C838" w:rsidR="6F77C838">
        <w:rPr>
          <w:rFonts w:ascii="Times New Roman" w:hAnsi="Times New Roman" w:eastAsia="Times New Roman" w:cs="Times New Roman"/>
          <w:b w:val="0"/>
          <w:bCs w:val="0"/>
          <w:i w:val="0"/>
          <w:iCs w:val="0"/>
          <w:sz w:val="24"/>
          <w:szCs w:val="24"/>
        </w:rPr>
        <w:t xml:space="preserve"> </w:t>
      </w:r>
    </w:p>
    <w:p w:rsidR="6F77C838" w:rsidP="6F77C838" w:rsidRDefault="6F77C838" w14:paraId="71641CE3" w14:textId="206C6EEA">
      <w:pPr>
        <w:jc w:val="left"/>
      </w:pPr>
      <w:r w:rsidRPr="6F77C838" w:rsidR="6F77C838">
        <w:rPr>
          <w:rFonts w:ascii="Times New Roman" w:hAnsi="Times New Roman" w:eastAsia="Times New Roman" w:cs="Times New Roman"/>
          <w:b w:val="0"/>
          <w:bCs w:val="0"/>
          <w:i w:val="0"/>
          <w:iCs w:val="0"/>
          <w:sz w:val="24"/>
          <w:szCs w:val="24"/>
        </w:rPr>
        <w:t xml:space="preserve"> </w:t>
      </w:r>
    </w:p>
    <w:p w:rsidR="6F77C838" w:rsidP="6F77C838" w:rsidRDefault="6F77C838" w14:noSpellErr="1" w14:paraId="0E81EAE6" w14:textId="6C78A8B0">
      <w:pPr>
        <w:jc w:val="left"/>
      </w:pPr>
      <w:r w:rsidRPr="6F77C838" w:rsidR="6F77C838">
        <w:rPr>
          <w:rFonts w:ascii="Arial" w:hAnsi="Arial" w:eastAsia="Arial" w:cs="Arial"/>
          <w:b w:val="1"/>
          <w:bCs w:val="1"/>
          <w:i w:val="0"/>
          <w:iCs w:val="0"/>
          <w:sz w:val="24"/>
          <w:szCs w:val="24"/>
        </w:rPr>
        <w:t>Society implication</w:t>
      </w:r>
      <w:r w:rsidRPr="6F77C838" w:rsidR="6F77C838">
        <w:rPr>
          <w:rFonts w:ascii="Arial" w:hAnsi="Arial" w:eastAsia="Arial" w:cs="Arial"/>
          <w:b w:val="0"/>
          <w:bCs w:val="0"/>
          <w:i w:val="0"/>
          <w:iCs w:val="0"/>
          <w:sz w:val="24"/>
          <w:szCs w:val="24"/>
        </w:rPr>
        <w:t xml:space="preserve"> </w:t>
      </w:r>
    </w:p>
    <w:p w:rsidR="6F77C838" w:rsidP="6F77C838" w:rsidRDefault="6F77C838" w14:paraId="1D3A2B35" w14:textId="73D7EABC">
      <w:pPr>
        <w:jc w:val="left"/>
      </w:pPr>
      <w:r w:rsidRPr="6F77C838" w:rsidR="6F77C838">
        <w:rPr>
          <w:rFonts w:ascii="Times New Roman" w:hAnsi="Times New Roman" w:eastAsia="Times New Roman" w:cs="Times New Roman"/>
          <w:b w:val="0"/>
          <w:bCs w:val="0"/>
          <w:i w:val="0"/>
          <w:iCs w:val="0"/>
          <w:sz w:val="24"/>
          <w:szCs w:val="24"/>
        </w:rPr>
        <w:t xml:space="preserve"> </w:t>
      </w:r>
    </w:p>
    <w:p w:rsidR="6F77C838" w:rsidP="6F77C838" w:rsidRDefault="6F77C838" w14:paraId="79CC576F" w14:noSpellErr="1" w14:textId="0B853047">
      <w:pPr>
        <w:jc w:val="left"/>
      </w:pPr>
      <w:r w:rsidRPr="283E252D" w:rsidR="0B853047">
        <w:rPr>
          <w:rFonts w:ascii="Times New Roman" w:hAnsi="Times New Roman" w:eastAsia="Times New Roman" w:cs="Times New Roman"/>
          <w:b w:val="0"/>
          <w:bCs w:val="0"/>
          <w:i w:val="0"/>
          <w:iCs w:val="0"/>
          <w:sz w:val="24"/>
          <w:szCs w:val="24"/>
        </w:rPr>
        <w:t>The society implication of clearly understanding the to what extend and in which manner social s</w:t>
      </w:r>
      <w:r w:rsidRPr="283E252D" w:rsidR="0B853047">
        <w:rPr>
          <w:rFonts w:ascii="Times New Roman" w:hAnsi="Times New Roman" w:eastAsia="Times New Roman" w:cs="Times New Roman"/>
          <w:b w:val="0"/>
          <w:bCs w:val="0"/>
          <w:i w:val="0"/>
          <w:iCs w:val="0"/>
          <w:sz w:val="24"/>
          <w:szCs w:val="24"/>
        </w:rPr>
        <w:t>preading of obesity happens are hu</w:t>
      </w:r>
      <w:r w:rsidRPr="283E252D" w:rsidR="0B853047">
        <w:rPr>
          <w:rFonts w:ascii="Times New Roman" w:hAnsi="Times New Roman" w:eastAsia="Times New Roman" w:cs="Times New Roman"/>
          <w:b w:val="0"/>
          <w:bCs w:val="0"/>
          <w:i w:val="0"/>
          <w:iCs w:val="0"/>
          <w:sz w:val="24"/>
          <w:szCs w:val="24"/>
        </w:rPr>
        <w:t xml:space="preserve">ge. Given that it is morally unacceptable to marginalize obese people and even </w:t>
      </w:r>
      <w:r w:rsidRPr="283E252D" w:rsidR="0B853047">
        <w:rPr>
          <w:rFonts w:ascii="Times New Roman" w:hAnsi="Times New Roman" w:eastAsia="Times New Roman" w:cs="Times New Roman"/>
          <w:b w:val="0"/>
          <w:bCs w:val="0"/>
          <w:i w:val="0"/>
          <w:iCs w:val="0"/>
          <w:sz w:val="24"/>
          <w:szCs w:val="24"/>
        </w:rPr>
        <w:t>the small direct correlation is hard to link causation, we prone a more holistic approach were obesity is seen as a risk factor as opposed to a disease</w:t>
      </w:r>
      <w:r w:rsidRPr="283E252D">
        <w:rPr>
          <w:rStyle w:val="FootnoteReference"/>
          <w:rFonts w:ascii="Times New Roman" w:hAnsi="Times New Roman" w:eastAsia="Times New Roman" w:cs="Times New Roman"/>
          <w:b w:val="0"/>
          <w:bCs w:val="0"/>
          <w:i w:val="0"/>
          <w:iCs w:val="0"/>
          <w:sz w:val="24"/>
          <w:szCs w:val="24"/>
        </w:rPr>
        <w:footnoteReference w:id="2950"/>
      </w:r>
      <w:r w:rsidRPr="283E252D" w:rsidR="0B853047">
        <w:rPr>
          <w:rFonts w:ascii="Times New Roman" w:hAnsi="Times New Roman" w:eastAsia="Times New Roman" w:cs="Times New Roman"/>
          <w:b w:val="0"/>
          <w:bCs w:val="0"/>
          <w:i w:val="0"/>
          <w:iCs w:val="0"/>
          <w:sz w:val="24"/>
          <w:szCs w:val="24"/>
        </w:rPr>
        <w:t xml:space="preserve">. Thus this risk factor has to be contained through environmental reforms on one hand like easier access to sport facilities, bike to work initiatives, promotion of healthier food alternatives in canteen settings, </w:t>
      </w:r>
      <w:r w:rsidRPr="283E252D" w:rsidR="0B853047">
        <w:rPr>
          <w:rFonts w:ascii="Times New Roman" w:hAnsi="Times New Roman" w:eastAsia="Times New Roman" w:cs="Times New Roman"/>
          <w:b w:val="0"/>
          <w:bCs w:val="0"/>
          <w:i w:val="0"/>
          <w:iCs w:val="0"/>
          <w:sz w:val="24"/>
          <w:szCs w:val="24"/>
        </w:rPr>
        <w:t>and social reforms on the other hand where risk reduction due to obesity is rewarded and scheduled physical activity is integrated in the daily work routine. Politics also have to play a role as they did with the tobacco advertisement restrictions and warning by translating these efforts to the junk food advertisement restrictions</w:t>
      </w:r>
      <w:r w:rsidRPr="283E252D" w:rsidR="0B853047">
        <w:rPr>
          <w:rFonts w:ascii="Times New Roman" w:hAnsi="Times New Roman" w:eastAsia="Times New Roman" w:cs="Times New Roman"/>
          <w:b w:val="0"/>
          <w:bCs w:val="0"/>
          <w:i w:val="0"/>
          <w:iCs w:val="0"/>
          <w:sz w:val="24"/>
          <w:szCs w:val="24"/>
        </w:rPr>
        <w:t xml:space="preserve"> and clearer</w:t>
      </w:r>
      <w:r w:rsidRPr="283E252D" w:rsidR="0B853047">
        <w:rPr>
          <w:rFonts w:ascii="Times New Roman" w:hAnsi="Times New Roman" w:eastAsia="Times New Roman" w:cs="Times New Roman"/>
          <w:b w:val="0"/>
          <w:bCs w:val="0"/>
          <w:i w:val="0"/>
          <w:iCs w:val="0"/>
          <w:sz w:val="24"/>
          <w:szCs w:val="24"/>
        </w:rPr>
        <w:t xml:space="preserve"> formulated food declaration, lobbying for "junk food free" as they did for smoke free</w:t>
      </w:r>
      <w:r w:rsidRPr="283E252D">
        <w:rPr>
          <w:rStyle w:val="FootnoteReference"/>
          <w:rFonts w:ascii="Times New Roman" w:hAnsi="Times New Roman" w:eastAsia="Times New Roman" w:cs="Times New Roman"/>
          <w:b w:val="0"/>
          <w:bCs w:val="0"/>
          <w:i w:val="0"/>
          <w:iCs w:val="0"/>
          <w:sz w:val="24"/>
          <w:szCs w:val="24"/>
        </w:rPr>
        <w:footnoteReference w:id="24618"/>
      </w:r>
      <w:r w:rsidRPr="283E252D" w:rsidR="0B853047">
        <w:rPr>
          <w:rFonts w:ascii="Times New Roman" w:hAnsi="Times New Roman" w:eastAsia="Times New Roman" w:cs="Times New Roman"/>
          <w:b w:val="0"/>
          <w:bCs w:val="0"/>
          <w:i w:val="0"/>
          <w:iCs w:val="0"/>
          <w:sz w:val="24"/>
          <w:szCs w:val="24"/>
        </w:rPr>
        <w:t>.</w:t>
      </w:r>
      <w:r w:rsidRPr="283E252D" w:rsidR="0B853047">
        <w:rPr>
          <w:rFonts w:ascii="Times New Roman" w:hAnsi="Times New Roman" w:eastAsia="Times New Roman" w:cs="Times New Roman"/>
          <w:b w:val="0"/>
          <w:bCs w:val="0"/>
          <w:i w:val="0"/>
          <w:iCs w:val="0"/>
          <w:sz w:val="24"/>
          <w:szCs w:val="24"/>
        </w:rPr>
        <w:t xml:space="preserve"> </w:t>
      </w:r>
      <w:r>
        <w:br/>
      </w:r>
    </w:p>
    <w:p w:rsidR="6F77C838" w:rsidP="6F77C838" w:rsidRDefault="6F77C838" w14:noSpellErr="1" w14:paraId="45378100" w14:textId="518D0F9C">
      <w:pPr>
        <w:pStyle w:val="Normal"/>
      </w:pPr>
    </w:p>
    <w:p w:rsidR="00D148E1" w:rsidP="00A36EA2" w:rsidRDefault="00D148E1" w14:paraId="0C4FE649">
      <w:pPr>
        <w:rPr>
          <w:color w:val="FF0000"/>
        </w:rPr>
      </w:pPr>
      <w:r>
        <w:rPr>
          <w:color w:val="FF0000"/>
        </w:rPr>
        <w:t>Limitations</w:t>
      </w:r>
    </w:p>
    <w:p w:rsidRPr="00D148E1" w:rsidR="003215BC" w:rsidP="00D148E1" w:rsidRDefault="003215BC" w14:paraId="2D33DF70">
      <w:pPr>
        <w:pStyle w:val="ListParagraph"/>
        <w:numPr>
          <w:ilvl w:val="1"/>
          <w:numId w:val="2"/>
        </w:numPr>
        <w:rPr>
          <w:color w:val="FF0000"/>
        </w:rPr>
      </w:pPr>
      <w:r w:rsidRPr="00D148E1">
        <w:rPr>
          <w:color w:val="FF0000"/>
        </w:rPr>
        <w:t>[</w:t>
      </w:r>
      <w:proofErr w:type="spellStart"/>
      <w:r w:rsidRPr="00D148E1">
        <w:rPr>
          <w:color w:val="FF0000"/>
        </w:rPr>
        <w:t>Homophily</w:t>
      </w:r>
      <w:r w:rsidRPr="00D148E1">
        <w:rPr>
          <w:color w:val="FF0000"/>
        </w:rPr>
        <w:t>]</w:t>
      </w:r>
      <w:proofErr w:type="spellEnd"/>
    </w:p>
    <w:p w:rsidRPr="00A82078" w:rsidR="003215BC" w:rsidP="00BB45CE" w:rsidRDefault="00B476B4" w14:paraId="1ADD2F4D">
      <w:pPr>
        <w:rPr>
          <w:b/>
        </w:rPr>
      </w:pPr>
      <w:r>
        <w:t xml:space="preserve">One of the limitation of our study </w:t>
      </w:r>
      <w:r w:rsidR="00A82078">
        <w:t>is that</w:t>
      </w:r>
      <w:r>
        <w:t xml:space="preserve"> our data sample </w:t>
      </w:r>
      <w:r w:rsidR="00A82078">
        <w:t xml:space="preserve">is </w:t>
      </w:r>
      <w:r w:rsidR="00C36916">
        <w:t>not repre</w:t>
      </w:r>
      <w:r>
        <w:t>s</w:t>
      </w:r>
      <w:r w:rsidR="00C36916">
        <w:t>entati</w:t>
      </w:r>
      <w:r>
        <w:t>ve of the US population</w:t>
      </w:r>
      <w:r w:rsidR="00105582">
        <w:t xml:space="preserve"> as all subjects were members of a residential living community living next to MIT</w:t>
      </w:r>
      <w:r>
        <w:t xml:space="preserve">. </w:t>
      </w:r>
      <w:proofErr w:type="spellStart"/>
      <w:r>
        <w:t>Flegal</w:t>
      </w:r>
      <w:proofErr w:type="spellEnd"/>
      <w:r>
        <w:t xml:space="preserve"> et al. </w:t>
      </w:r>
      <w:r w:rsidR="003C7B39">
        <w:fldChar w:fldCharType="begin" w:fldLock="1"/>
      </w:r>
      <w:r w:rsidR="006317D1">
        <w:instrText>ADDIN CSL_CITATION { "citationItems" : [ { "id" : "ITEM-1", "itemData" : { "ISSN" : "0098-7484", "author" : [ { "dropping-particle" : "", "family" : "Flegal", "given" : "Katherine M", "non-dropping-particle" : "", "parse-names" : false, "suffix" : "" }, { "dropping-particle" : "", "family" : "Carroll", "given" : "Margaret D", "non-dropping-particle" : "", "parse-names" : false, "suffix" : "" }, { "dropping-particle" : "", "family" : "Kit", "given" : "Brian K", "non-dropping-particle" : "", "parse-names" : false, "suffix" : "" }, { "dropping-particle" : "", "family" : "Ogden", "given" : "Cynthia L", "non-dropping-particle" : "", "parse-names" : false, "suffix" : "" } ], "container-title" : "Jama", "id" : "ITEM-1", "issue" : "5", "issued" : { "date-parts" : [ [ "2012" ] ] }, "page" : "491-497", "publisher" : "American Medical Association", "title" : "Prevalence of obesity and trends in the distribution of body mass index among US adults, 1999-2010", "type" : "article-journal", "volume" : "307" }, "uris" : [ "http://www.mendeley.com/documents/?uuid=1d2d0af6-7665-42aa-8142-42a8364dab0b" ] } ], "mendeley" : { "previouslyFormattedCitation" : "(Flegal, Carroll, Kit, &amp; Ogden, 2012)" }, "properties" : { "noteIndex" : 0 }, "schema" : "https://github.com/citation-style-language/schema/raw/master/csl-citation.json" }</w:instrText>
      </w:r>
      <w:r w:rsidR="003C7B39">
        <w:fldChar w:fldCharType="separate"/>
      </w:r>
      <w:r w:rsidRPr="00B476B4">
        <w:rPr>
          <w:noProof/>
        </w:rPr>
        <w:t>(Flegal, Carroll, Kit, &amp; Ogden, 2012)</w:t>
      </w:r>
      <w:r w:rsidR="003C7B39">
        <w:fldChar w:fldCharType="end"/>
      </w:r>
      <w:r>
        <w:t xml:space="preserve"> have found a prevalence of obesity of 35% among US adults</w:t>
      </w:r>
      <w:r w:rsidR="002A123F">
        <w:t>.</w:t>
      </w:r>
      <w:r w:rsidR="00A82078">
        <w:t xml:space="preserve"> In comparison, the mean BMI in the Friends and Family network is 23.</w:t>
      </w:r>
    </w:p>
    <w:p w:rsidR="000D59AC" w:rsidP="000D59AC" w:rsidRDefault="000D59AC" w14:paraId="509D2D05">
      <w:pPr>
        <w:keepNext/>
        <w:jc w:val="center"/>
      </w:pPr>
      <w:r>
        <w:rPr>
          <w:noProof/>
          <w:lang w:eastAsia="en-GB"/>
        </w:rPr>
        <w:lastRenderedPageBreak/>
        <w:drawing>
          <wp:inline distT="0" distB="0" distL="0" distR="0" wp14:anchorId="3FC646A5" wp14:editId="7777777">
            <wp:extent cx="5334000" cy="4000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D59AC" w:rsidP="00BA6C8F" w:rsidRDefault="000D59AC" w14:paraId="019EDC9D">
      <w:pPr>
        <w:pStyle w:val="Caption"/>
        <w:ind w:left="426" w:firstLine="0"/>
      </w:pPr>
      <w:r>
        <w:t xml:space="preserve">Figure </w:t>
      </w:r>
      <w:fldSimple w:instr=" SEQ Figure \* ARABIC ">
        <w:r>
          <w:rPr>
            <w:noProof/>
          </w:rPr>
          <w:t>3</w:t>
        </w:r>
      </w:fldSimple>
      <w:r>
        <w:t>: BMI distribution of the Friends and Family network</w:t>
      </w:r>
      <w:r w:rsidR="00BA6C8F">
        <w:t xml:space="preserve">. </w:t>
      </w:r>
      <w:r w:rsidR="009426EA">
        <w:t xml:space="preserve">When fitting a </w:t>
      </w:r>
      <w:r w:rsidR="00BA6C8F">
        <w:t xml:space="preserve">lognormal </w:t>
      </w:r>
      <w:r w:rsidR="00B77772">
        <w:t>distribution</w:t>
      </w:r>
      <w:r w:rsidR="00BA6C8F">
        <w:t xml:space="preserve"> to the BMI </w:t>
      </w:r>
      <w:r w:rsidR="009426EA">
        <w:t xml:space="preserve">data, </w:t>
      </w:r>
      <w:r w:rsidR="00B77772">
        <w:t xml:space="preserve">we obtain a mean of </w:t>
      </w:r>
      <w:r w:rsidR="00BA6C8F">
        <w:t xml:space="preserve">3.13 and </w:t>
      </w:r>
      <w:r w:rsidR="00B77772">
        <w:t xml:space="preserve">standard deviation of </w:t>
      </w:r>
      <w:r w:rsidR="00BA6C8F">
        <w:t>0.18.</w:t>
      </w:r>
    </w:p>
    <w:p w:rsidRPr="00B476B4" w:rsidR="000D59AC" w:rsidP="00BB45CE" w:rsidRDefault="000D59AC" w14:paraId="3E4D85EF" w14:textId="1984E3FE"/>
    <w:p w:rsidR="1984E3FE" w:rsidRDefault="1984E3FE" w14:noSpellErr="1" w14:paraId="42D5717D" w14:textId="1C6088D3"/>
    <w:p w:rsidR="1984E3FE" w:rsidP="1984E3FE" w:rsidRDefault="1984E3FE" w14:noSpellErr="1" w14:paraId="2F2BC486" w14:textId="7C5DCE90">
      <w:pPr>
        <w:pStyle w:val="ListParagraph"/>
        <w:numPr>
          <w:ilvl w:val="1"/>
          <w:numId w:val="2"/>
        </w:numPr>
        <w:rPr>
          <w:color w:val="FF0000"/>
        </w:rPr>
      </w:pPr>
      <w:r w:rsidRPr="1984E3FE" w:rsidR="1984E3FE">
        <w:rPr>
          <w:color w:val="FF0000"/>
        </w:rPr>
        <w:t xml:space="preserve">Limitations </w:t>
      </w:r>
      <w:r w:rsidRPr="1984E3FE" w:rsidR="1984E3FE">
        <w:rPr>
          <w:color w:val="FF0000"/>
        </w:rPr>
        <w:t>[</w:t>
      </w:r>
      <w:r w:rsidRPr="1984E3FE" w:rsidR="1984E3FE">
        <w:rPr>
          <w:color w:val="FF0000"/>
        </w:rPr>
        <w:t>social influence]</w:t>
      </w:r>
    </w:p>
    <w:p w:rsidR="1984E3FE" w:rsidRDefault="1984E3FE" w14:noSpellErr="1" w14:paraId="5907796C" w14:textId="17455516"/>
    <w:p w:rsidR="584ADF03" w:rsidRDefault="584ADF03" w14:paraId="0AE02D8B" w14:noSpellErr="1" w14:textId="6F9B3129">
      <w:r w:rsidR="6F9B3129">
        <w:rPr/>
        <w:t xml:space="preserve">An other factor that a model </w:t>
      </w:r>
      <w:r w:rsidR="6F9B3129">
        <w:rPr/>
        <w:t>purely bases on social contagion does not capture is the alimentary culture that is not directly related to social interaction but largely shared across a social group. Some populations, and therefor the social networks they span, are much more at risk of a deregulation of equilibrium in their macronutrient intake, struggling</w:t>
      </w:r>
      <w:r w:rsidR="6F9B3129">
        <w:rPr/>
        <w:t xml:space="preserve"> to cover their protein needs while increasing their overall calories consumption.</w:t>
      </w:r>
      <w:r w:rsidRPr="6F9B3129">
        <w:rPr>
          <w:rStyle w:val="FootnoteReference"/>
        </w:rPr>
        <w:footnoteReference w:id="28570"/>
      </w:r>
    </w:p>
    <w:p w:rsidRPr="006714D2" w:rsidR="00BB45CE" w:rsidP="00BB45CE" w:rsidRDefault="00BB45CE" w14:paraId="7EB76A87">
      <w:pPr>
        <w:pStyle w:val="Heading1"/>
      </w:pPr>
      <w:r w:rsidRPr="006714D2">
        <w:t>Summary and Outlook</w:t>
      </w:r>
    </w:p>
    <w:p w:rsidRPr="006714D2" w:rsidR="00BB45CE" w:rsidP="00BB45CE" w:rsidRDefault="00BB45CE" w14:paraId="51698DBD"/>
    <w:p w:rsidRPr="006714D2" w:rsidR="00BB45CE" w:rsidP="00BB45CE" w:rsidRDefault="00BB45CE" w14:paraId="39A0E6E5">
      <w:pPr>
        <w:pStyle w:val="Heading1"/>
      </w:pPr>
      <w:r w:rsidRPr="006714D2">
        <w:t>References</w:t>
      </w:r>
    </w:p>
    <w:p w:rsidRPr="006317D1" w:rsidR="006317D1" w:rsidRDefault="003C7B39" w14:paraId="000E01B1">
      <w:pPr>
        <w:pStyle w:val="NormalWeb"/>
        <w:ind w:left="480" w:hanging="480"/>
        <w:divId w:val="18358174"/>
        <w:rPr>
          <w:noProof/>
        </w:rPr>
      </w:pPr>
      <w:r>
        <w:rPr>
          <w:b/>
        </w:rPr>
        <w:fldChar w:fldCharType="begin" w:fldLock="1"/>
      </w:r>
      <w:r w:rsidR="003068E9">
        <w:rPr>
          <w:b/>
        </w:rPr>
        <w:instrText xml:space="preserve">ADDIN Mendeley Bibliography CSL_BIBLIOGRAPHY </w:instrText>
      </w:r>
      <w:r>
        <w:rPr>
          <w:b/>
        </w:rPr>
        <w:fldChar w:fldCharType="separate"/>
      </w:r>
      <w:r w:rsidRPr="006317D1" w:rsidR="006317D1">
        <w:rPr>
          <w:noProof/>
        </w:rPr>
        <w:t xml:space="preserve">Aharony, N., Pan, W., Ip, C., Khayal, I., &amp; Pentland, A. (2011). Social fMRI: Investigating and shaping social mechanisms in the real world. </w:t>
      </w:r>
      <w:r w:rsidRPr="006317D1" w:rsidR="006317D1">
        <w:rPr>
          <w:i/>
          <w:iCs/>
          <w:noProof/>
        </w:rPr>
        <w:t>Pervasive and Mobile Computing</w:t>
      </w:r>
      <w:r w:rsidRPr="006317D1" w:rsidR="006317D1">
        <w:rPr>
          <w:noProof/>
        </w:rPr>
        <w:t xml:space="preserve">, </w:t>
      </w:r>
      <w:r w:rsidRPr="006317D1" w:rsidR="006317D1">
        <w:rPr>
          <w:i/>
          <w:iCs/>
          <w:noProof/>
        </w:rPr>
        <w:t>7</w:t>
      </w:r>
      <w:r w:rsidRPr="006317D1" w:rsidR="006317D1">
        <w:rPr>
          <w:noProof/>
        </w:rPr>
        <w:t>(6), 643–659.</w:t>
      </w:r>
    </w:p>
    <w:p w:rsidRPr="006317D1" w:rsidR="006317D1" w:rsidRDefault="006317D1" w14:paraId="7FDAA90F">
      <w:pPr>
        <w:pStyle w:val="NormalWeb"/>
        <w:ind w:left="480" w:hanging="480"/>
        <w:divId w:val="18358174"/>
        <w:rPr>
          <w:noProof/>
        </w:rPr>
      </w:pPr>
      <w:r w:rsidRPr="006317D1">
        <w:rPr>
          <w:noProof/>
        </w:rPr>
        <w:t xml:space="preserve">Barabási, A.-L. (2009). Scale-free networks: a decade and beyond. </w:t>
      </w:r>
      <w:r w:rsidRPr="006317D1">
        <w:rPr>
          <w:i/>
          <w:iCs/>
          <w:noProof/>
        </w:rPr>
        <w:t>Science</w:t>
      </w:r>
      <w:r w:rsidRPr="006317D1">
        <w:rPr>
          <w:noProof/>
        </w:rPr>
        <w:t xml:space="preserve">, </w:t>
      </w:r>
      <w:r w:rsidRPr="006317D1">
        <w:rPr>
          <w:i/>
          <w:iCs/>
          <w:noProof/>
        </w:rPr>
        <w:t>325</w:t>
      </w:r>
      <w:r w:rsidRPr="006317D1">
        <w:rPr>
          <w:noProof/>
        </w:rPr>
        <w:t>(5939), 412–413.</w:t>
      </w:r>
    </w:p>
    <w:p w:rsidRPr="006317D1" w:rsidR="006317D1" w:rsidRDefault="006317D1" w14:paraId="157DBF8C">
      <w:pPr>
        <w:pStyle w:val="NormalWeb"/>
        <w:ind w:left="480" w:hanging="480"/>
        <w:divId w:val="18358174"/>
        <w:rPr>
          <w:noProof/>
        </w:rPr>
      </w:pPr>
      <w:r w:rsidRPr="006317D1">
        <w:rPr>
          <w:noProof/>
        </w:rPr>
        <w:t xml:space="preserve">Flegal, K. M., Carroll, M. D., Kit, B. K., &amp; Ogden, C. L. (2012). Prevalence of obesity and trends in the distribution of body mass index among US adults, 1999-2010. </w:t>
      </w:r>
      <w:r w:rsidRPr="006317D1">
        <w:rPr>
          <w:i/>
          <w:iCs/>
          <w:noProof/>
        </w:rPr>
        <w:t>Jama</w:t>
      </w:r>
      <w:r w:rsidRPr="006317D1">
        <w:rPr>
          <w:noProof/>
        </w:rPr>
        <w:t xml:space="preserve">, </w:t>
      </w:r>
      <w:r w:rsidRPr="006317D1">
        <w:rPr>
          <w:i/>
          <w:iCs/>
          <w:noProof/>
        </w:rPr>
        <w:t>307</w:t>
      </w:r>
      <w:r w:rsidRPr="006317D1">
        <w:rPr>
          <w:noProof/>
        </w:rPr>
        <w:t>(5), 491–497.</w:t>
      </w:r>
    </w:p>
    <w:p w:rsidRPr="006317D1" w:rsidR="006317D1" w:rsidRDefault="006317D1" w14:paraId="76A05991">
      <w:pPr>
        <w:pStyle w:val="NormalWeb"/>
        <w:ind w:left="480" w:hanging="480"/>
        <w:divId w:val="18358174"/>
        <w:rPr>
          <w:noProof/>
        </w:rPr>
      </w:pPr>
      <w:r w:rsidRPr="006317D1">
        <w:rPr>
          <w:noProof/>
        </w:rPr>
        <w:lastRenderedPageBreak/>
        <w:t xml:space="preserve">Flegal, K. M., Williamson, D. F., Pamuk, E. R., &amp; Rosenberg, H. M. (2004). Estimating deaths attributable to obesity in the United States. </w:t>
      </w:r>
      <w:r w:rsidRPr="006317D1">
        <w:rPr>
          <w:i/>
          <w:iCs/>
          <w:noProof/>
        </w:rPr>
        <w:t>American Journal of Public Health</w:t>
      </w:r>
      <w:r w:rsidRPr="006317D1">
        <w:rPr>
          <w:noProof/>
        </w:rPr>
        <w:t xml:space="preserve">, </w:t>
      </w:r>
      <w:r w:rsidRPr="006317D1">
        <w:rPr>
          <w:i/>
          <w:iCs/>
          <w:noProof/>
        </w:rPr>
        <w:t>94</w:t>
      </w:r>
      <w:r w:rsidRPr="006317D1">
        <w:rPr>
          <w:noProof/>
        </w:rPr>
        <w:t>(9), 1486.</w:t>
      </w:r>
    </w:p>
    <w:p w:rsidRPr="006317D1" w:rsidR="006317D1" w:rsidRDefault="006317D1" w14:paraId="3C97D0F3">
      <w:pPr>
        <w:pStyle w:val="NormalWeb"/>
        <w:ind w:left="480" w:hanging="480"/>
        <w:divId w:val="18358174"/>
        <w:rPr>
          <w:noProof/>
        </w:rPr>
      </w:pPr>
      <w:r w:rsidRPr="006317D1">
        <w:rPr>
          <w:noProof/>
        </w:rPr>
        <w:t xml:space="preserve">Hill, A. L., Rand, D. G., Nowak, M. A., &amp; Christakis, N. A. (2010). Infectious disease modeling of social contagion in networks. </w:t>
      </w:r>
      <w:r w:rsidRPr="006317D1">
        <w:rPr>
          <w:i/>
          <w:iCs/>
          <w:noProof/>
        </w:rPr>
        <w:t>PLoS Computational Biology</w:t>
      </w:r>
      <w:r w:rsidRPr="006317D1">
        <w:rPr>
          <w:noProof/>
        </w:rPr>
        <w:t xml:space="preserve">, </w:t>
      </w:r>
      <w:r w:rsidRPr="006317D1">
        <w:rPr>
          <w:i/>
          <w:iCs/>
          <w:noProof/>
        </w:rPr>
        <w:t>6</w:t>
      </w:r>
      <w:r w:rsidRPr="006317D1">
        <w:rPr>
          <w:noProof/>
        </w:rPr>
        <w:t>(11), e1000968.</w:t>
      </w:r>
    </w:p>
    <w:p w:rsidRPr="006317D1" w:rsidR="006317D1" w:rsidRDefault="006317D1" w14:paraId="39C7AF4D">
      <w:pPr>
        <w:pStyle w:val="NormalWeb"/>
        <w:ind w:left="480" w:hanging="480"/>
        <w:divId w:val="18358174"/>
        <w:rPr>
          <w:noProof/>
        </w:rPr>
      </w:pPr>
      <w:r w:rsidRPr="006317D1">
        <w:rPr>
          <w:noProof/>
        </w:rPr>
        <w:t xml:space="preserve">Kermack, W. O., &amp; McKendrick, A. G. (1932). Contributions to the mathematical theory of epidemics. II. The problem of endemicity. </w:t>
      </w:r>
      <w:r w:rsidRPr="006317D1">
        <w:rPr>
          <w:i/>
          <w:iCs/>
          <w:noProof/>
        </w:rPr>
        <w:t>Proceedings of the Royal Society of London. Series A</w:t>
      </w:r>
      <w:r w:rsidRPr="006317D1">
        <w:rPr>
          <w:noProof/>
        </w:rPr>
        <w:t xml:space="preserve">, </w:t>
      </w:r>
      <w:r w:rsidRPr="006317D1">
        <w:rPr>
          <w:i/>
          <w:iCs/>
          <w:noProof/>
        </w:rPr>
        <w:t>138</w:t>
      </w:r>
      <w:r w:rsidRPr="006317D1">
        <w:rPr>
          <w:noProof/>
        </w:rPr>
        <w:t>(834), 55–83.</w:t>
      </w:r>
    </w:p>
    <w:p w:rsidRPr="006317D1" w:rsidR="006317D1" w:rsidRDefault="006317D1" w14:paraId="25DDFCA6">
      <w:pPr>
        <w:pStyle w:val="NormalWeb"/>
        <w:ind w:left="480" w:hanging="480"/>
        <w:divId w:val="18358174"/>
        <w:rPr>
          <w:noProof/>
        </w:rPr>
      </w:pPr>
      <w:r w:rsidRPr="006317D1">
        <w:rPr>
          <w:noProof/>
        </w:rPr>
        <w:t xml:space="preserve">Scully, T. (2014). Public health: Society at large. </w:t>
      </w:r>
      <w:r w:rsidRPr="006317D1">
        <w:rPr>
          <w:i/>
          <w:iCs/>
          <w:noProof/>
        </w:rPr>
        <w:t>Nature</w:t>
      </w:r>
      <w:r w:rsidRPr="006317D1">
        <w:rPr>
          <w:noProof/>
        </w:rPr>
        <w:t xml:space="preserve">, </w:t>
      </w:r>
      <w:r w:rsidRPr="006317D1">
        <w:rPr>
          <w:i/>
          <w:iCs/>
          <w:noProof/>
        </w:rPr>
        <w:t>508</w:t>
      </w:r>
      <w:r w:rsidRPr="006317D1">
        <w:rPr>
          <w:noProof/>
        </w:rPr>
        <w:t>(7496), S50–S51. Retrieved from http://dx.doi.org/10.1038/508S50a</w:t>
      </w:r>
    </w:p>
    <w:p w:rsidRPr="006317D1" w:rsidR="006317D1" w:rsidRDefault="006317D1" w14:paraId="3EA8157E">
      <w:pPr>
        <w:pStyle w:val="NormalWeb"/>
        <w:ind w:left="480" w:hanging="480"/>
        <w:divId w:val="18358174"/>
        <w:rPr>
          <w:noProof/>
        </w:rPr>
      </w:pPr>
      <w:r w:rsidRPr="006317D1">
        <w:rPr>
          <w:noProof/>
        </w:rPr>
        <w:t xml:space="preserve">Shalizi, C. R., &amp; Thomas, A. C. (2011). Homophily and contagion are generically confounded in observational social network studies. </w:t>
      </w:r>
      <w:r w:rsidRPr="006317D1">
        <w:rPr>
          <w:i/>
          <w:iCs/>
          <w:noProof/>
        </w:rPr>
        <w:t>Sociological Methods &amp; Research</w:t>
      </w:r>
      <w:r w:rsidRPr="006317D1">
        <w:rPr>
          <w:noProof/>
        </w:rPr>
        <w:t xml:space="preserve">, </w:t>
      </w:r>
      <w:r w:rsidRPr="006317D1">
        <w:rPr>
          <w:i/>
          <w:iCs/>
          <w:noProof/>
        </w:rPr>
        <w:t>40</w:t>
      </w:r>
      <w:r w:rsidRPr="006317D1">
        <w:rPr>
          <w:noProof/>
        </w:rPr>
        <w:t>(2), 211–239.</w:t>
      </w:r>
    </w:p>
    <w:p w:rsidRPr="006317D1" w:rsidR="006317D1" w:rsidRDefault="006317D1" w14:paraId="094900F1">
      <w:pPr>
        <w:pStyle w:val="NormalWeb"/>
        <w:ind w:left="480" w:hanging="480"/>
        <w:divId w:val="18358174"/>
        <w:rPr>
          <w:noProof/>
        </w:rPr>
      </w:pPr>
      <w:r w:rsidRPr="006317D1">
        <w:rPr>
          <w:noProof/>
        </w:rPr>
        <w:t xml:space="preserve">Smith, K. P., &amp; Christakis, N. A. (2008). Social networks and health. </w:t>
      </w:r>
      <w:r w:rsidRPr="006317D1">
        <w:rPr>
          <w:i/>
          <w:iCs/>
          <w:noProof/>
        </w:rPr>
        <w:t>Annu. Rev. Sociol</w:t>
      </w:r>
      <w:r w:rsidRPr="006317D1">
        <w:rPr>
          <w:noProof/>
        </w:rPr>
        <w:t xml:space="preserve">, </w:t>
      </w:r>
      <w:r w:rsidRPr="006317D1">
        <w:rPr>
          <w:i/>
          <w:iCs/>
          <w:noProof/>
        </w:rPr>
        <w:t>34</w:t>
      </w:r>
      <w:r w:rsidRPr="006317D1">
        <w:rPr>
          <w:noProof/>
        </w:rPr>
        <w:t>, 405–429.</w:t>
      </w:r>
    </w:p>
    <w:p w:rsidRPr="006714D2" w:rsidR="00BB45CE" w:rsidP="006317D1" w:rsidRDefault="003C7B39" w14:paraId="6E9BB9CE">
      <w:pPr>
        <w:pStyle w:val="NormalWeb"/>
        <w:ind w:left="480" w:hanging="480"/>
        <w:divId w:val="438985583"/>
      </w:pPr>
      <w:r>
        <w:rPr>
          <w:b/>
        </w:rPr>
        <w:fldChar w:fldCharType="end"/>
      </w:r>
    </w:p>
    <w:sectPr w:rsidRPr="006714D2" w:rsidR="00BB45CE" w:rsidSect="00BB45CE">
      <w:pgSz w:w="12240" w:h="15840" w:orient="portrait"/>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14="http://schemas.microsoft.com/office/word/2010/wordml" xmlns:w="http://schemas.openxmlformats.org/wordprocessingml/2006/main">
  <w:footnote w:id="24618">
    <w:p w:rsidR="20BF9B74" w:rsidP="3F094E81" w:rsidRDefault="20BF9B74" w14:paraId="145D0877" w14:textId="0C861BDC">
      <w:pPr>
        <w:pStyle w:val="FootnoteText"/>
      </w:pPr>
      <w:r w:rsidRPr="3F094E81">
        <w:rPr>
          <w:rStyle w:val="FootnoteReference"/>
        </w:rPr>
        <w:footnoteRef/>
      </w:r>
      <w:r w:rsidR="3F094E81">
        <w:rPr/>
        <w:t xml:space="preserve"> </w:t>
      </w:r>
      <w:r w:rsidR="3F094E81">
        <w:rPr/>
        <w:t>"</w:t>
      </w:r>
      <w:r w:rsidR="3F094E81">
        <w:rPr/>
        <w:t>SmokeFree. No brand is better.</w:t>
      </w:r>
      <w:r w:rsidR="3F094E81">
        <w:rPr/>
        <w:t xml:space="preserve">" </w:t>
      </w:r>
      <w:r w:rsidR="3F094E81">
        <w:rPr/>
        <w:t>http://www.smokefree.ch/en/campaign/</w:t>
      </w:r>
    </w:p>
  </w:footnote>
  <w:footnote w:id="2950">
    <w:p w:rsidR="0B853047" w:rsidP="0B853047" w:rsidRDefault="0B853047" w14:paraId="15A4AF2B" w14:textId="283E252D">
      <w:pPr>
        <w:pStyle w:val="FootnoteText"/>
      </w:pPr>
      <w:r w:rsidRPr="0B853047">
        <w:rPr>
          <w:rStyle w:val="FootnoteReference"/>
        </w:rPr>
        <w:footnoteRef/>
      </w:r>
      <w:r w:rsidRPr="283E252D" w:rsidR="0B853047">
        <w:rPr/>
        <w:t xml:space="preserve"> </w:t>
      </w:r>
      <w:r w:rsidR="283E252D">
        <w:rPr/>
        <w:t>Perspective: Obesity is not a disease D. L. KatzNature 508, S57 (17 April 2014)</w:t>
      </w:r>
    </w:p>
  </w:footnote>
  <w:footnote w:id="28570">
    <w:p w:rsidR="218ED286" w:rsidP="6F9B3129" w:rsidRDefault="218ED286" w14:paraId="6CA2E035" w14:textId="1B24C094">
      <w:pPr>
        <w:pStyle w:val="FootnoteText"/>
      </w:pPr>
      <w:r w:rsidRPr="6F9B3129">
        <w:rPr>
          <w:rStyle w:val="FootnoteReference"/>
        </w:rPr>
        <w:footnoteRef/>
      </w:r>
      <w:r w:rsidR="6F9B3129">
        <w:rPr/>
        <w:t xml:space="preserve"> </w:t>
      </w:r>
      <w:r w:rsidR="6F9B3129">
        <w:rPr/>
        <w:t>Perspective: Tricks of the tradeStephen J. Simpson and David Raubenheimer Nature 508, S66 (17 April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2460336F"/>
    <w:multiLevelType w:val="hybridMultilevel"/>
    <w:tmpl w:val="F0382FE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0D59AC"/>
    <w:rsid w:val="000F078F"/>
    <w:rsid w:val="00105582"/>
    <w:rsid w:val="0011311A"/>
    <w:rsid w:val="001331A1"/>
    <w:rsid w:val="0016488A"/>
    <w:rsid w:val="001857D7"/>
    <w:rsid w:val="001A117C"/>
    <w:rsid w:val="001C0C19"/>
    <w:rsid w:val="001E0538"/>
    <w:rsid w:val="001F3060"/>
    <w:rsid w:val="002062FB"/>
    <w:rsid w:val="002363F4"/>
    <w:rsid w:val="0024042B"/>
    <w:rsid w:val="0025730C"/>
    <w:rsid w:val="002735E0"/>
    <w:rsid w:val="00280C15"/>
    <w:rsid w:val="002A123F"/>
    <w:rsid w:val="002A1777"/>
    <w:rsid w:val="002B7B5D"/>
    <w:rsid w:val="002C245A"/>
    <w:rsid w:val="002C4DF8"/>
    <w:rsid w:val="002F07D5"/>
    <w:rsid w:val="00304FC9"/>
    <w:rsid w:val="003068E9"/>
    <w:rsid w:val="00307962"/>
    <w:rsid w:val="00314ED8"/>
    <w:rsid w:val="003159B5"/>
    <w:rsid w:val="00320292"/>
    <w:rsid w:val="003215BC"/>
    <w:rsid w:val="003300C1"/>
    <w:rsid w:val="00353CD6"/>
    <w:rsid w:val="00374C0C"/>
    <w:rsid w:val="00380414"/>
    <w:rsid w:val="00393212"/>
    <w:rsid w:val="00396E7B"/>
    <w:rsid w:val="003C7B39"/>
    <w:rsid w:val="003D7EB8"/>
    <w:rsid w:val="003E004D"/>
    <w:rsid w:val="003F16C7"/>
    <w:rsid w:val="003F1759"/>
    <w:rsid w:val="004019CE"/>
    <w:rsid w:val="004051F4"/>
    <w:rsid w:val="00415F14"/>
    <w:rsid w:val="004208FB"/>
    <w:rsid w:val="004270B9"/>
    <w:rsid w:val="0045629C"/>
    <w:rsid w:val="004674D2"/>
    <w:rsid w:val="00484B4D"/>
    <w:rsid w:val="00493A2E"/>
    <w:rsid w:val="004A0B7B"/>
    <w:rsid w:val="004A4527"/>
    <w:rsid w:val="004D28AF"/>
    <w:rsid w:val="004D53BB"/>
    <w:rsid w:val="00505E30"/>
    <w:rsid w:val="00506217"/>
    <w:rsid w:val="00510497"/>
    <w:rsid w:val="00513457"/>
    <w:rsid w:val="00524644"/>
    <w:rsid w:val="00533439"/>
    <w:rsid w:val="00537630"/>
    <w:rsid w:val="005649F6"/>
    <w:rsid w:val="00564F69"/>
    <w:rsid w:val="00566E50"/>
    <w:rsid w:val="00593555"/>
    <w:rsid w:val="005D0C09"/>
    <w:rsid w:val="005D47C6"/>
    <w:rsid w:val="005E172A"/>
    <w:rsid w:val="005E79D2"/>
    <w:rsid w:val="00602056"/>
    <w:rsid w:val="00617A4F"/>
    <w:rsid w:val="006317D1"/>
    <w:rsid w:val="00640FDA"/>
    <w:rsid w:val="00651DD9"/>
    <w:rsid w:val="0065538D"/>
    <w:rsid w:val="006570AC"/>
    <w:rsid w:val="00686DF2"/>
    <w:rsid w:val="00693FFF"/>
    <w:rsid w:val="00695C31"/>
    <w:rsid w:val="006B1BF9"/>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123FA"/>
    <w:rsid w:val="00821460"/>
    <w:rsid w:val="00845D27"/>
    <w:rsid w:val="00851E2D"/>
    <w:rsid w:val="00871781"/>
    <w:rsid w:val="00874179"/>
    <w:rsid w:val="00885A11"/>
    <w:rsid w:val="008A0E9A"/>
    <w:rsid w:val="008A228C"/>
    <w:rsid w:val="008A318C"/>
    <w:rsid w:val="008A5823"/>
    <w:rsid w:val="008E1C9A"/>
    <w:rsid w:val="008F5795"/>
    <w:rsid w:val="009107FF"/>
    <w:rsid w:val="00911DB6"/>
    <w:rsid w:val="00933EA3"/>
    <w:rsid w:val="009426EA"/>
    <w:rsid w:val="00952CDF"/>
    <w:rsid w:val="009550DE"/>
    <w:rsid w:val="00955373"/>
    <w:rsid w:val="00964163"/>
    <w:rsid w:val="00966CF1"/>
    <w:rsid w:val="0098030D"/>
    <w:rsid w:val="00984659"/>
    <w:rsid w:val="009A42A9"/>
    <w:rsid w:val="009B3FC3"/>
    <w:rsid w:val="009B533F"/>
    <w:rsid w:val="009B57F1"/>
    <w:rsid w:val="009D7A27"/>
    <w:rsid w:val="009F3D44"/>
    <w:rsid w:val="00A17EC4"/>
    <w:rsid w:val="00A32492"/>
    <w:rsid w:val="00A362D2"/>
    <w:rsid w:val="00A36EA2"/>
    <w:rsid w:val="00A416FB"/>
    <w:rsid w:val="00A75405"/>
    <w:rsid w:val="00A77BE2"/>
    <w:rsid w:val="00A81259"/>
    <w:rsid w:val="00A81317"/>
    <w:rsid w:val="00A82078"/>
    <w:rsid w:val="00A96FE2"/>
    <w:rsid w:val="00AA5CA9"/>
    <w:rsid w:val="00AB750A"/>
    <w:rsid w:val="00AD6A0D"/>
    <w:rsid w:val="00AE491C"/>
    <w:rsid w:val="00AF2C28"/>
    <w:rsid w:val="00AF6C7A"/>
    <w:rsid w:val="00B03E55"/>
    <w:rsid w:val="00B16A4D"/>
    <w:rsid w:val="00B17A76"/>
    <w:rsid w:val="00B476B4"/>
    <w:rsid w:val="00B536F5"/>
    <w:rsid w:val="00B546C7"/>
    <w:rsid w:val="00B65EBE"/>
    <w:rsid w:val="00B66201"/>
    <w:rsid w:val="00B751C3"/>
    <w:rsid w:val="00B75A41"/>
    <w:rsid w:val="00B76A3B"/>
    <w:rsid w:val="00B77772"/>
    <w:rsid w:val="00B81BC7"/>
    <w:rsid w:val="00B83784"/>
    <w:rsid w:val="00B847D2"/>
    <w:rsid w:val="00BA45F4"/>
    <w:rsid w:val="00BA6C8F"/>
    <w:rsid w:val="00BB45CE"/>
    <w:rsid w:val="00BE0D7A"/>
    <w:rsid w:val="00BE6F9E"/>
    <w:rsid w:val="00BF6ECB"/>
    <w:rsid w:val="00C101BD"/>
    <w:rsid w:val="00C34889"/>
    <w:rsid w:val="00C3534F"/>
    <w:rsid w:val="00C36916"/>
    <w:rsid w:val="00C503CF"/>
    <w:rsid w:val="00C5045D"/>
    <w:rsid w:val="00C606D3"/>
    <w:rsid w:val="00C61F93"/>
    <w:rsid w:val="00C90AC7"/>
    <w:rsid w:val="00C92593"/>
    <w:rsid w:val="00CA67F2"/>
    <w:rsid w:val="00CB6342"/>
    <w:rsid w:val="00CB6585"/>
    <w:rsid w:val="00CC6734"/>
    <w:rsid w:val="00CE6FE5"/>
    <w:rsid w:val="00CF0E51"/>
    <w:rsid w:val="00D01FB8"/>
    <w:rsid w:val="00D148E1"/>
    <w:rsid w:val="00D15ACE"/>
    <w:rsid w:val="00D31BE5"/>
    <w:rsid w:val="00D46872"/>
    <w:rsid w:val="00D60E8A"/>
    <w:rsid w:val="00DB6F9B"/>
    <w:rsid w:val="00DB74F8"/>
    <w:rsid w:val="00DC4852"/>
    <w:rsid w:val="00DC7D11"/>
    <w:rsid w:val="00DD6B30"/>
    <w:rsid w:val="00DE141B"/>
    <w:rsid w:val="00E01220"/>
    <w:rsid w:val="00E06566"/>
    <w:rsid w:val="00E4442E"/>
    <w:rsid w:val="00E50ED1"/>
    <w:rsid w:val="00E55E06"/>
    <w:rsid w:val="00E5658C"/>
    <w:rsid w:val="00E56C49"/>
    <w:rsid w:val="00E7232B"/>
    <w:rsid w:val="00E9498A"/>
    <w:rsid w:val="00E9648E"/>
    <w:rsid w:val="00E975CE"/>
    <w:rsid w:val="00EA5F74"/>
    <w:rsid w:val="00EB349B"/>
    <w:rsid w:val="00EB58DF"/>
    <w:rsid w:val="00EB5E55"/>
    <w:rsid w:val="00EC19B2"/>
    <w:rsid w:val="00F15CC6"/>
    <w:rsid w:val="00F2131F"/>
    <w:rsid w:val="00F667AA"/>
    <w:rsid w:val="00F906C3"/>
    <w:rsid w:val="00F94EBE"/>
    <w:rsid w:val="00FC5F20"/>
    <w:rsid w:val="00FD62A9"/>
    <w:rsid w:val="00FF2AFF"/>
    <w:rsid w:val="0B853047"/>
    <w:rsid w:val="0EAB6AD7"/>
    <w:rsid w:val="1066833D"/>
    <w:rsid w:val="12B62DFB"/>
    <w:rsid w:val="1444B401"/>
    <w:rsid w:val="16332E6D"/>
    <w:rsid w:val="19336265"/>
    <w:rsid w:val="1984E3FE"/>
    <w:rsid w:val="20BF9B74"/>
    <w:rsid w:val="218ED286"/>
    <w:rsid w:val="239C023E"/>
    <w:rsid w:val="283E252D"/>
    <w:rsid w:val="2A1F79CA"/>
    <w:rsid w:val="2CE09F8D"/>
    <w:rsid w:val="2E684318"/>
    <w:rsid w:val="34CDD2C9"/>
    <w:rsid w:val="37F65F4A"/>
    <w:rsid w:val="3E9548AA"/>
    <w:rsid w:val="3F094E81"/>
    <w:rsid w:val="40DD15D5"/>
    <w:rsid w:val="50881E0C"/>
    <w:rsid w:val="584ADF03"/>
    <w:rsid w:val="58FD6DC7"/>
    <w:rsid w:val="5C27F084"/>
    <w:rsid w:val="6264B278"/>
    <w:rsid w:val="65C16392"/>
    <w:rsid w:val="6852D0BF"/>
    <w:rsid w:val="6F77C838"/>
    <w:rsid w:val="6F9B3129"/>
    <w:rsid w:val="735588C2"/>
    <w:rsid w:val="7CDCB7E1"/>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oNotEmbedSmartTags/>
  <w:decimalSymbol w:val="."/>
  <w:listSeparator w:val=","/>
  <w14:docId w14:val="0400126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Medium Grid 1" w:unhideWhenUsed="0"/>
    <w:lsdException w:name="Medium Grid 2" w:uiPriority="1"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2Char" w:customStyle="1">
    <w:name w:val="Heading 2 Char"/>
    <w:basedOn w:val="DefaultParagraphFont"/>
    <w:link w:val="Heading2"/>
    <w:uiPriority w:val="9"/>
    <w:semiHidden/>
    <w:rsid w:val="00E5658C"/>
    <w:rPr>
      <w:rFonts w:ascii="Cambria" w:hAnsi="Cambria" w:eastAsia="Times New Roman" w:cs="Times New Roman"/>
      <w:b/>
      <w:bCs/>
      <w:i/>
      <w:iCs/>
      <w:sz w:val="28"/>
      <w:szCs w:val="28"/>
      <w:lang w:eastAsia="en-US"/>
    </w:rPr>
  </w:style>
  <w:style w:type="paragraph" w:styleId="Caption">
    <w:name w:val="caption"/>
    <w:basedOn w:val="Normal"/>
    <w:next w:val="Normal"/>
    <w:uiPriority w:val="35"/>
    <w:unhideWhenUsed/>
    <w:qFormat/>
    <w:rsid w:val="00593555"/>
    <w:pPr>
      <w:spacing w:after="200"/>
      <w:ind w:firstLine="1701"/>
    </w:pPr>
    <w:rPr>
      <w:rFonts w:eastAsia="Calibri"/>
      <w:bCs/>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styleId="SubtitleChar" w:customStyle="1">
    <w:name w:val="Subtitle Char"/>
    <w:basedOn w:val="DefaultParagraphFont"/>
    <w:link w:val="Subtitle"/>
    <w:uiPriority w:val="11"/>
    <w:rsid w:val="007F49B8"/>
    <w:rPr>
      <w:rFonts w:ascii="Cambria" w:hAnsi="Cambria" w:eastAsia="Times New Roman" w:cs="Times New Roman"/>
      <w:sz w:val="24"/>
      <w:szCs w:val="24"/>
      <w:lang w:eastAsia="en-US"/>
    </w:rPr>
  </w:style>
  <w:style w:type="paragraph" w:styleId="Equation" w:customStyle="1">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styleId="EquationChar" w:customStyle="1">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sChild>
                            <w:div w:id="1469543687">
                              <w:marLeft w:val="0"/>
                              <w:marRight w:val="0"/>
                              <w:marTop w:val="0"/>
                              <w:marBottom w:val="0"/>
                              <w:divBdr>
                                <w:top w:val="none" w:sz="0" w:space="0" w:color="auto"/>
                                <w:left w:val="none" w:sz="0" w:space="0" w:color="auto"/>
                                <w:bottom w:val="none" w:sz="0" w:space="0" w:color="auto"/>
                                <w:right w:val="none" w:sz="0" w:space="0" w:color="auto"/>
                              </w:divBdr>
                              <w:divsChild>
                                <w:div w:id="438985583">
                                  <w:marLeft w:val="0"/>
                                  <w:marRight w:val="0"/>
                                  <w:marTop w:val="0"/>
                                  <w:marBottom w:val="0"/>
                                  <w:divBdr>
                                    <w:top w:val="none" w:sz="0" w:space="0" w:color="auto"/>
                                    <w:left w:val="none" w:sz="0" w:space="0" w:color="auto"/>
                                    <w:bottom w:val="none" w:sz="0" w:space="0" w:color="auto"/>
                                    <w:right w:val="none" w:sz="0" w:space="0" w:color="auto"/>
                                  </w:divBdr>
                                  <w:divsChild>
                                    <w:div w:id="1371614377">
                                      <w:marLeft w:val="0"/>
                                      <w:marRight w:val="0"/>
                                      <w:marTop w:val="0"/>
                                      <w:marBottom w:val="0"/>
                                      <w:divBdr>
                                        <w:top w:val="none" w:sz="0" w:space="0" w:color="auto"/>
                                        <w:left w:val="none" w:sz="0" w:space="0" w:color="auto"/>
                                        <w:bottom w:val="none" w:sz="0" w:space="0" w:color="auto"/>
                                        <w:right w:val="none" w:sz="0" w:space="0" w:color="auto"/>
                                      </w:divBdr>
                                    </w:div>
                                    <w:div w:id="183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emf" Id="rId8" /><Relationship Type="http://schemas.openxmlformats.org/officeDocument/2006/relationships/styles" Target="styles.xml" Id="rId3" /><Relationship Type="http://schemas.openxmlformats.org/officeDocument/2006/relationships/image" Target="media/image2.emf"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emf" Id="rId10" /><Relationship Type="http://schemas.openxmlformats.org/officeDocument/2006/relationships/settings" Target="settings.xml" Id="rId4" /><Relationship Type="http://schemas.openxmlformats.org/officeDocument/2006/relationships/image" Target="media/image4.emf" Id="rId9" /><Relationship Type="http://schemas.openxmlformats.org/officeDocument/2006/relationships/footnotes" Target="/word/footnotes.xml" Id="Re297ff5372044d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EE93-6E99-47D3-98C4-B1E1AFC696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eth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D-GESS ETH</dc:creator>
  <keywords/>
  <lastModifiedBy>F Wirz</lastModifiedBy>
  <revision>214</revision>
  <lastPrinted>2008-04-28T13:14:00.0000000Z</lastPrinted>
  <dcterms:created xsi:type="dcterms:W3CDTF">2014-04-18T13:49:00.0000000Z</dcterms:created>
  <dcterms:modified xsi:type="dcterms:W3CDTF">2014-05-08T21:49:02.4766676Z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