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6B3" w:rsidRDefault="0071040B" w:rsidP="00BB45CE">
      <w:pPr>
        <w:jc w:val="center"/>
      </w:pPr>
    </w:p>
    <w:p w:rsidR="00BB45CE" w:rsidRDefault="00BB45CE" w:rsidP="00BB45CE">
      <w:pPr>
        <w:jc w:val="center"/>
      </w:pPr>
    </w:p>
    <w:p w:rsidR="00BB45CE" w:rsidRDefault="009550DE" w:rsidP="00BB45C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39pt">
            <v:imagedata r:id="rId4" o:title="ETHlogo"/>
          </v:shape>
        </w:pict>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t>[1]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t xml:space="preserve"> Hill et al. [3] 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Pr>
          <w:lang w:eastAsia="en-GB"/>
        </w:rPr>
        <w:t xml:space="preserve"> [4]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[5]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They implemented three intervention schemes: (</w:t>
      </w:r>
      <w:proofErr w:type="spellStart"/>
      <w:r>
        <w:t>i</w:t>
      </w:r>
      <w:proofErr w:type="spellEnd"/>
      <w:r>
        <w:t>)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cumulative physical activity of their "buddies". Contrary to most </w:t>
      </w:r>
      <w:r w:rsidRPr="00BD19C9">
        <w:t>fitness-related studies</w:t>
      </w:r>
      <w:r>
        <w:t xml:space="preserve"> </w:t>
      </w:r>
      <w:r>
        <w:lastRenderedPageBreak/>
        <w:t>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C46F08">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C46F08">
            <w:r>
              <w:t>Condition</w:t>
            </w:r>
          </w:p>
        </w:tc>
        <w:tc>
          <w:tcPr>
            <w:tcW w:w="2794" w:type="dxa"/>
            <w:tcBorders>
              <w:top w:val="single" w:sz="4" w:space="0" w:color="auto"/>
              <w:bottom w:val="single" w:sz="4" w:space="0" w:color="auto"/>
            </w:tcBorders>
          </w:tcPr>
          <w:p w:rsidR="00E5658C" w:rsidRDefault="00E5658C" w:rsidP="00C46F08">
            <w:r>
              <w:t>Initial</w:t>
            </w:r>
          </w:p>
        </w:tc>
      </w:tr>
      <w:tr w:rsidR="00E5658C" w:rsidTr="00E5658C">
        <w:trPr>
          <w:trHeight w:val="263"/>
          <w:jc w:val="center"/>
        </w:trPr>
        <w:tc>
          <w:tcPr>
            <w:tcW w:w="2794" w:type="dxa"/>
            <w:tcBorders>
              <w:top w:val="single" w:sz="4" w:space="0" w:color="auto"/>
            </w:tcBorders>
          </w:tcPr>
          <w:p w:rsidR="00E5658C" w:rsidRDefault="00E5658C" w:rsidP="00C46F08">
            <w:r>
              <w:t>Control</w:t>
            </w:r>
          </w:p>
        </w:tc>
        <w:tc>
          <w:tcPr>
            <w:tcW w:w="2794" w:type="dxa"/>
            <w:tcBorders>
              <w:top w:val="single" w:sz="4" w:space="0" w:color="auto"/>
            </w:tcBorders>
          </w:tcPr>
          <w:p w:rsidR="00E5658C" w:rsidRDefault="00E5658C" w:rsidP="00C46F08">
            <w:r>
              <w:t>18</w:t>
            </w:r>
          </w:p>
        </w:tc>
      </w:tr>
      <w:tr w:rsidR="00E5658C" w:rsidTr="00E5658C">
        <w:trPr>
          <w:trHeight w:val="280"/>
          <w:jc w:val="center"/>
        </w:trPr>
        <w:tc>
          <w:tcPr>
            <w:tcW w:w="2794" w:type="dxa"/>
          </w:tcPr>
          <w:p w:rsidR="00E5658C" w:rsidRDefault="00E5658C" w:rsidP="00C46F08">
            <w:r>
              <w:t>Peer-review</w:t>
            </w:r>
          </w:p>
        </w:tc>
        <w:tc>
          <w:tcPr>
            <w:tcW w:w="2794" w:type="dxa"/>
          </w:tcPr>
          <w:p w:rsidR="00E5658C" w:rsidRDefault="00E5658C" w:rsidP="00C46F08">
            <w:r>
              <w:t>45</w:t>
            </w:r>
          </w:p>
        </w:tc>
      </w:tr>
      <w:tr w:rsidR="00E5658C" w:rsidTr="00E5658C">
        <w:trPr>
          <w:trHeight w:val="77"/>
          <w:jc w:val="center"/>
        </w:trPr>
        <w:tc>
          <w:tcPr>
            <w:tcW w:w="2794" w:type="dxa"/>
            <w:tcBorders>
              <w:bottom w:val="single" w:sz="4" w:space="0" w:color="auto"/>
            </w:tcBorders>
          </w:tcPr>
          <w:p w:rsidR="00E5658C" w:rsidRDefault="00E5658C" w:rsidP="00C46F08">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E5658C">
      <w:pPr>
        <w:pStyle w:val="Caption"/>
      </w:pPr>
      <w:r w:rsidRPr="00D45419">
        <w:t xml:space="preserve">Table </w:t>
      </w:r>
      <w:fldSimple w:instr=" SEQ Table \* ARABIC ">
        <w:r w:rsidRPr="00D45419">
          <w:t>1</w:t>
        </w:r>
      </w:fldSimple>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6714D2" w:rsidRDefault="00BB45CE" w:rsidP="00BB45CE"/>
    <w:p w:rsidR="00BB45CE" w:rsidRPr="006714D2" w:rsidRDefault="00BB45CE" w:rsidP="00BB45CE">
      <w:pPr>
        <w:pStyle w:val="Heading1"/>
      </w:pPr>
      <w:r w:rsidRPr="006714D2">
        <w:t>Description of the Model</w:t>
      </w:r>
    </w:p>
    <w:p w:rsidR="00BB45CE" w:rsidRPr="006714D2" w:rsidRDefault="00BB45CE" w:rsidP="00BB45CE"/>
    <w:p w:rsidR="00BB45CE" w:rsidRPr="006714D2" w:rsidRDefault="00BB45CE" w:rsidP="00BB45CE">
      <w:pPr>
        <w:pStyle w:val="Heading1"/>
      </w:pPr>
      <w:r w:rsidRPr="006714D2">
        <w:t>Implementation</w:t>
      </w:r>
    </w:p>
    <w:p w:rsidR="00BB45CE" w:rsidRPr="006714D2" w:rsidRDefault="00BB45CE" w:rsidP="00BB45CE"/>
    <w:p w:rsidR="00BB45CE" w:rsidRDefault="00BB45CE" w:rsidP="00BB45CE">
      <w:pPr>
        <w:pStyle w:val="Heading1"/>
      </w:pPr>
      <w:r w:rsidRPr="006714D2">
        <w:t>Simulation Results and Discussion</w:t>
      </w:r>
    </w:p>
    <w:p w:rsidR="003300C1" w:rsidRDefault="003300C1" w:rsidP="003300C1"/>
    <w:p w:rsidR="003300C1" w:rsidRPr="003300C1" w:rsidRDefault="003300C1" w:rsidP="003300C1">
      <w:r>
        <w:t xml:space="preserve">The Friends and Family </w:t>
      </w:r>
      <w:r w:rsidR="00B81BC7">
        <w:t>close friends distribution varies across time as the self perceived closeness is measured at four different times. The average</w:t>
      </w:r>
    </w:p>
    <w:p w:rsidR="00BB45CE" w:rsidRDefault="00BB45CE" w:rsidP="00BB45CE"/>
    <w:p w:rsidR="0071040B" w:rsidRPr="0071040B" w:rsidRDefault="0071040B" w:rsidP="00BB45CE">
      <w:pPr>
        <w:rPr>
          <w:color w:val="FF0000"/>
        </w:rPr>
      </w:pPr>
      <w:r w:rsidRPr="0071040B">
        <w:rPr>
          <w:color w:val="FF0000"/>
        </w:rPr>
        <w:t>[Local clustering to be included]</w:t>
      </w: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BB45CE" w:rsidRPr="006714D2" w:rsidRDefault="00BB45CE" w:rsidP="00BB45CE"/>
    <w:p w:rsidR="00E5658C" w:rsidRDefault="00E5658C" w:rsidP="00E5658C">
      <w:r>
        <w:t xml:space="preserve">[1] </w:t>
      </w:r>
      <w:proofErr w:type="spellStart"/>
      <w:r w:rsidRPr="00101B66">
        <w:t>Flegal</w:t>
      </w:r>
      <w:proofErr w:type="spellEnd"/>
      <w:r w:rsidRPr="00101B66">
        <w:t xml:space="preserve">, K. M., Williamson, D. F., </w:t>
      </w:r>
      <w:proofErr w:type="spellStart"/>
      <w:r w:rsidRPr="00101B66">
        <w:t>Pamuk</w:t>
      </w:r>
      <w:proofErr w:type="spellEnd"/>
      <w:r w:rsidRPr="00101B66">
        <w:t xml:space="preserve">, E. R., &amp; Rosenberg, H. M. (2004). Estimating deaths attributable to obesity in the United States. </w:t>
      </w:r>
      <w:r w:rsidRPr="00101B66">
        <w:rPr>
          <w:i/>
          <w:iCs/>
        </w:rPr>
        <w:t>American Journal of Public Health</w:t>
      </w:r>
      <w:r w:rsidRPr="00101B66">
        <w:t xml:space="preserve">, </w:t>
      </w:r>
      <w:r w:rsidRPr="00101B66">
        <w:rPr>
          <w:i/>
          <w:iCs/>
        </w:rPr>
        <w:t>94</w:t>
      </w:r>
      <w:r w:rsidRPr="00101B66">
        <w:t>(9), 1486.</w:t>
      </w:r>
    </w:p>
    <w:p w:rsidR="00E5658C" w:rsidRDefault="00E5658C" w:rsidP="00E5658C">
      <w:r>
        <w:t xml:space="preserve">[2] </w:t>
      </w:r>
      <w:r w:rsidRPr="007259C2">
        <w:t>http://www.who.int/dietphysicalactivity/en/</w:t>
      </w:r>
    </w:p>
    <w:p w:rsidR="00E5658C" w:rsidRDefault="00E5658C" w:rsidP="00E5658C">
      <w:r>
        <w:t xml:space="preserve">[3] </w:t>
      </w:r>
      <w:r w:rsidRPr="00461CCC">
        <w:t xml:space="preserve">Hill, A. L., Rand, D. G., Nowak, M. A., &amp; Christakis, N. A. (2010). Infectious disease </w:t>
      </w:r>
      <w:proofErr w:type="spellStart"/>
      <w:r w:rsidRPr="00461CCC">
        <w:t>modeling</w:t>
      </w:r>
      <w:proofErr w:type="spellEnd"/>
      <w:r w:rsidRPr="00461CCC">
        <w:t xml:space="preserve"> of social contagion in networks. </w:t>
      </w:r>
      <w:proofErr w:type="spellStart"/>
      <w:r w:rsidRPr="00461CCC">
        <w:rPr>
          <w:i/>
          <w:iCs/>
        </w:rPr>
        <w:t>PLoS</w:t>
      </w:r>
      <w:proofErr w:type="spellEnd"/>
      <w:r w:rsidRPr="00461CCC">
        <w:rPr>
          <w:i/>
          <w:iCs/>
        </w:rPr>
        <w:t xml:space="preserve"> computational biology</w:t>
      </w:r>
      <w:r w:rsidRPr="00461CCC">
        <w:t xml:space="preserve">, </w:t>
      </w:r>
      <w:r w:rsidRPr="00461CCC">
        <w:rPr>
          <w:i/>
          <w:iCs/>
        </w:rPr>
        <w:t>6</w:t>
      </w:r>
      <w:r w:rsidRPr="00461CCC">
        <w:t>(11), e1000968.</w:t>
      </w:r>
    </w:p>
    <w:p w:rsidR="00E5658C" w:rsidRPr="001C06CD" w:rsidRDefault="00E5658C" w:rsidP="00E5658C">
      <w:r w:rsidRPr="000B7494">
        <w:t xml:space="preserve">[4] </w:t>
      </w:r>
      <w:r w:rsidRPr="001C06CD">
        <w:t xml:space="preserve">Smith, K. P., &amp; Christakis, N. A. (2008). Social networks and health. </w:t>
      </w:r>
      <w:proofErr w:type="spellStart"/>
      <w:r w:rsidRPr="001C06CD">
        <w:rPr>
          <w:i/>
        </w:rPr>
        <w:t>Annu</w:t>
      </w:r>
      <w:proofErr w:type="spellEnd"/>
      <w:r w:rsidRPr="001C06CD">
        <w:rPr>
          <w:i/>
        </w:rPr>
        <w:t xml:space="preserve">. Rev. </w:t>
      </w:r>
      <w:proofErr w:type="spellStart"/>
      <w:r w:rsidRPr="001C06CD">
        <w:rPr>
          <w:i/>
        </w:rPr>
        <w:t>Sociol</w:t>
      </w:r>
      <w:proofErr w:type="spellEnd"/>
      <w:r w:rsidRPr="001C06CD">
        <w:t>, 34, 405-429.</w:t>
      </w:r>
    </w:p>
    <w:p w:rsidR="00E5658C" w:rsidRPr="000B7494" w:rsidRDefault="00E5658C" w:rsidP="00E5658C">
      <w:r w:rsidRPr="000B7494">
        <w:lastRenderedPageBreak/>
        <w:t>[</w:t>
      </w:r>
      <w:r>
        <w:t>5</w:t>
      </w:r>
      <w:r w:rsidRPr="000B7494">
        <w:t>]</w:t>
      </w:r>
      <w:r>
        <w:t xml:space="preserve"> </w:t>
      </w:r>
      <w:proofErr w:type="spellStart"/>
      <w:r w:rsidRPr="000B7494">
        <w:t>Aharony</w:t>
      </w:r>
      <w:proofErr w:type="spellEnd"/>
      <w:r w:rsidRPr="000B7494">
        <w:t xml:space="preserve">, N., Pan, W., </w:t>
      </w:r>
      <w:proofErr w:type="spellStart"/>
      <w:r w:rsidRPr="000B7494">
        <w:t>Ip</w:t>
      </w:r>
      <w:proofErr w:type="spellEnd"/>
      <w:r w:rsidRPr="000B7494">
        <w:t xml:space="preserve">, C., </w:t>
      </w:r>
      <w:proofErr w:type="spellStart"/>
      <w:r w:rsidRPr="000B7494">
        <w:t>Khayal</w:t>
      </w:r>
      <w:proofErr w:type="spellEnd"/>
      <w:r w:rsidRPr="000B7494">
        <w:t xml:space="preserve">, I., &amp; </w:t>
      </w:r>
      <w:proofErr w:type="spellStart"/>
      <w:r w:rsidRPr="000B7494">
        <w:t>Pentland</w:t>
      </w:r>
      <w:proofErr w:type="spellEnd"/>
      <w:r w:rsidRPr="000B7494">
        <w:t xml:space="preserve">, A. (2011). Social </w:t>
      </w:r>
      <w:proofErr w:type="spellStart"/>
      <w:r w:rsidRPr="000B7494">
        <w:t>fMRI</w:t>
      </w:r>
      <w:proofErr w:type="spellEnd"/>
      <w:r w:rsidRPr="000B7494">
        <w:t xml:space="preserve">: Investigating and shaping social mechanisms in the real world. </w:t>
      </w:r>
      <w:r>
        <w:rPr>
          <w:i/>
          <w:iCs/>
        </w:rPr>
        <w:t>Pervasive and Mobile Computing</w:t>
      </w:r>
      <w:r>
        <w:t xml:space="preserve">, </w:t>
      </w:r>
      <w:r>
        <w:rPr>
          <w:i/>
          <w:iCs/>
        </w:rPr>
        <w:t>7</w:t>
      </w:r>
      <w:r>
        <w:t>(6), 643-659.</w:t>
      </w:r>
    </w:p>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34889"/>
    <w:rsid w:val="003300C1"/>
    <w:rsid w:val="004051F4"/>
    <w:rsid w:val="0071040B"/>
    <w:rsid w:val="009550DE"/>
    <w:rsid w:val="00B81BC7"/>
    <w:rsid w:val="00BB45CE"/>
    <w:rsid w:val="00BE6F9E"/>
    <w:rsid w:val="00C34889"/>
    <w:rsid w:val="00E5658C"/>
  </w:rsids>
  <m:mathPr>
    <m:mathFont m:val="Cambria Math"/>
    <m:brkBin m:val="before"/>
    <m:brkBinSub m:val="--"/>
    <m:smallFrac m:val="off"/>
    <m:dispDef m:val="off"/>
    <m:lMargin m:val="0"/>
    <m:rMargin m:val="0"/>
    <m:defJc m:val="centerGroup"/>
    <m:wrapRight/>
    <m:intLim m:val="subSup"/>
    <m:naryLim m:val="subSup"/>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E5658C"/>
    <w:pPr>
      <w:spacing w:after="200"/>
      <w:ind w:firstLine="1701"/>
    </w:pPr>
    <w:rPr>
      <w:rFonts w:eastAsia="Calibri"/>
      <w:b/>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5354</CharactersWithSpaces>
  <SharedDoc>false</SharedDoc>
  <HLinks>
    <vt:vector size="6" baseType="variant">
      <vt:variant>
        <vt:i4>8323085</vt:i4>
      </vt:variant>
      <vt:variant>
        <vt:i4>2050</vt:i4>
      </vt:variant>
      <vt:variant>
        <vt:i4>1025</vt:i4>
      </vt:variant>
      <vt:variant>
        <vt:i4>1</vt:i4>
      </vt:variant>
      <vt:variant>
        <vt:lpwstr>ETHlogo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5</cp:revision>
  <cp:lastPrinted>2008-04-28T13:14:00Z</cp:lastPrinted>
  <dcterms:created xsi:type="dcterms:W3CDTF">2014-04-12T15:19:00Z</dcterms:created>
  <dcterms:modified xsi:type="dcterms:W3CDTF">2014-04-12T19:01:00Z</dcterms:modified>
</cp:coreProperties>
</file>