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9"/>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Change w:id="0" w:author="F Wirz" w:date="2014-05-09T16:12: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PrChange>
      </w:tblPr>
      <w:tblGrid>
        <w:gridCol w:w="4755"/>
        <w:tblGridChange w:id="1">
          <w:tblGrid>
            <w:gridCol w:w="4755"/>
          </w:tblGrid>
        </w:tblGridChange>
      </w:tblGrid>
      <w:tr w:rsidR="00BB45CE" w:rsidRPr="006714D2" w:rsidTr="3E9548AA">
        <w:trPr>
          <w:jc w:val="center"/>
          <w:trPrChange w:id="2" w:author="F Wirz" w:date="2014-05-09T16:12:00Z">
            <w:trPr>
              <w:jc w:val="center"/>
            </w:trPr>
          </w:trPrChange>
        </w:trPr>
        <w:tc>
          <w:tcPr>
            <w:tcW w:w="4755" w:type="dxa"/>
            <w:tcPrChange w:id="3" w:author="F Wirz" w:date="2014-05-09T16:12:00Z">
              <w:tcPr>
                <w:tcW w:w="0" w:type="auto"/>
              </w:tcPr>
            </w:tcPrChange>
          </w:tcPr>
          <w:p w:rsidR="00BB45CE" w:rsidRPr="005C26B3" w:rsidRDefault="3E9548AA" w:rsidP="00BB45CE">
            <w:pPr>
              <w:jc w:val="center"/>
              <w:rPr>
                <w:sz w:val="48"/>
              </w:rPr>
            </w:pPr>
            <w:r w:rsidRPr="3E9548AA">
              <w:rPr>
                <w:sz w:val="48"/>
                <w:szCs w:val="48"/>
              </w:rPr>
              <w:t>The social contagion of obesity</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2E684318" w:rsidRDefault="2E684318" w:rsidP="2E684318">
      <w:pPr>
        <w:jc w:val="center"/>
      </w:pPr>
      <w:r w:rsidRPr="2E684318">
        <w:rPr>
          <w:sz w:val="36"/>
          <w:szCs w:val="36"/>
        </w:rPr>
        <w:t xml:space="preserve">    </w:t>
      </w:r>
      <w:proofErr w:type="spellStart"/>
      <w:r w:rsidRPr="2E684318">
        <w:rPr>
          <w:sz w:val="36"/>
          <w:szCs w:val="36"/>
        </w:rPr>
        <w:t>Amr</w:t>
      </w:r>
      <w:proofErr w:type="spellEnd"/>
      <w:r w:rsidRPr="2E684318">
        <w:rPr>
          <w:sz w:val="36"/>
          <w:szCs w:val="36"/>
        </w:rPr>
        <w:t xml:space="preserve"> Ahmed, </w:t>
      </w:r>
      <w:proofErr w:type="spellStart"/>
      <w:r w:rsidRPr="2E684318">
        <w:rPr>
          <w:sz w:val="36"/>
          <w:szCs w:val="36"/>
        </w:rPr>
        <w:t>ÉliseLedieu</w:t>
      </w:r>
      <w:proofErr w:type="spellEnd"/>
      <w:r w:rsidRPr="2E684318">
        <w:rPr>
          <w:sz w:val="36"/>
          <w:szCs w:val="36"/>
        </w:rPr>
        <w:t xml:space="preserve">, Emmanuel Munich &amp; François </w:t>
      </w:r>
      <w:proofErr w:type="spellStart"/>
      <w:r w:rsidRPr="2E684318">
        <w:rPr>
          <w:sz w:val="36"/>
          <w:szCs w:val="36"/>
        </w:rPr>
        <w:t>Wirz</w:t>
      </w:r>
      <w:proofErr w:type="spellEnd"/>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Default="00BB45CE" w:rsidP="00BB45CE">
      <w:pPr>
        <w:pStyle w:val="Heading1"/>
      </w:pPr>
      <w:r w:rsidRPr="006714D2">
        <w:t>Introduction and Motivations</w:t>
      </w:r>
    </w:p>
    <w:p w:rsidR="00B751C3" w:rsidRDefault="00B751C3" w:rsidP="00B751C3"/>
    <w:p w:rsidR="00B751C3" w:rsidRPr="00B751C3" w:rsidRDefault="00B751C3" w:rsidP="00B751C3">
      <w:pPr>
        <w:rPr>
          <w:b/>
        </w:rPr>
      </w:pPr>
      <w:r w:rsidRPr="00B751C3">
        <w:rPr>
          <w:b/>
        </w:rPr>
        <w:t>Introduction</w:t>
      </w:r>
    </w:p>
    <w:p w:rsidR="00B751C3" w:rsidRPr="00B751C3" w:rsidRDefault="00B751C3" w:rsidP="00B751C3"/>
    <w:p w:rsidR="00694214" w:rsidRDefault="00E5658C" w:rsidP="00E5658C">
      <w:r w:rsidRPr="00101B66">
        <w:t xml:space="preserve">Obesity is a major health concern in the </w:t>
      </w:r>
      <w:r>
        <w:t xml:space="preserve">world and </w:t>
      </w:r>
      <w:r w:rsidR="00553B0F">
        <w:t>particularly</w:t>
      </w:r>
      <w:r>
        <w:t xml:space="preserve"> in the US. In the US, it is estimated that </w:t>
      </w:r>
      <w:proofErr w:type="spellStart"/>
      <w:r>
        <w:t>obesity</w:t>
      </w:r>
      <w:del w:id="4" w:author="F Wirz" w:date="2014-05-09T16:12:00Z">
        <w:r w:rsidRPr="00101B66">
          <w:delText xml:space="preserve"> </w:delText>
        </w:r>
      </w:del>
      <w:r>
        <w:t>causes</w:t>
      </w:r>
      <w:proofErr w:type="spellEnd"/>
      <w:r>
        <w:t xml:space="preserve"> </w:t>
      </w:r>
      <w:r w:rsidRPr="00101B66">
        <w:t xml:space="preserve">annual mortality of </w:t>
      </w:r>
      <w:r w:rsidR="00E72D60">
        <w:t>more than</w:t>
      </w:r>
      <w:r w:rsidRPr="00101B66">
        <w:t xml:space="preserve"> 300'000 deaths per year </w:t>
      </w:r>
      <w:r w:rsidR="00F70B73">
        <w:fldChar w:fldCharType="begin" w:fldLock="1"/>
      </w:r>
      <w:r w:rsidR="006317D1">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F70B73">
        <w:fldChar w:fldCharType="separate"/>
      </w:r>
      <w:r w:rsidR="00BE0D7A" w:rsidRPr="00BE0D7A">
        <w:rPr>
          <w:noProof/>
        </w:rPr>
        <w:t>(Flegal, Williamson, Pamuk, &amp; Rosenberg, 2004)</w:t>
      </w:r>
      <w:r w:rsidR="00F70B73">
        <w:fldChar w:fldCharType="end"/>
      </w:r>
      <w:r>
        <w:t xml:space="preserve"> despite the difficulty to precisely evaluate death directly linked to obesity</w:t>
      </w:r>
      <w:r w:rsidRPr="00101B66">
        <w:t xml:space="preserve">. </w:t>
      </w:r>
      <w:r w:rsidR="00696DFE">
        <w:t xml:space="preserve">The </w:t>
      </w:r>
      <w:r w:rsidR="00696DFE" w:rsidRPr="00101B66">
        <w:t>World Health Organization</w:t>
      </w:r>
      <w:r w:rsidR="00696DFE">
        <w:t xml:space="preserve"> defines o</w:t>
      </w:r>
      <w:r w:rsidR="00553B0F">
        <w:t xml:space="preserve">besity </w:t>
      </w:r>
      <w:r w:rsidR="00696DFE">
        <w:t>as</w:t>
      </w:r>
      <w:r w:rsidR="00A70058">
        <w:t xml:space="preserve"> a</w:t>
      </w:r>
      <w:r>
        <w:t xml:space="preserve"> </w:t>
      </w:r>
      <w:r>
        <w:t>Body Mass Index higher than 30</w:t>
      </w:r>
      <w:ins w:id="5" w:author="Emmanuel" w:date="2014-05-09T16:12:00Z">
        <w:r>
          <w:t>.</w:t>
        </w:r>
      </w:ins>
      <w:r>
        <w:t xml:space="preserve"> WHO implemented in 2004 the WHO Global Strategy on Diet, Physical Activity and Health </w:t>
      </w:r>
      <w:r w:rsidR="00E72D60">
        <w:t>in order to cope with obesity</w:t>
      </w:r>
      <w:r w:rsidRPr="00101B66">
        <w:t>.</w:t>
      </w:r>
      <w:r w:rsidRPr="00101B66">
        <w:t xml:space="preserve"> </w:t>
      </w:r>
      <w:r>
        <w:t xml:space="preserve">While WHO recognizes the importance of "supportive environments and communities" to fight obesity, most proposed solutions </w:t>
      </w:r>
      <w:r w:rsidR="009C2E13">
        <w:t>put the emphasis</w:t>
      </w:r>
      <w:r>
        <w:t xml:space="preserve"> on an individual </w:t>
      </w:r>
      <w:r w:rsidR="009C2E13">
        <w:t>approach</w:t>
      </w:r>
      <w:r>
        <w:t xml:space="preserve"> such as limiting the quantity of fat absorbed, increasing the consumption of fruits and vegetables or practising physical activity. </w:t>
      </w:r>
    </w:p>
    <w:p w:rsidR="00694214" w:rsidRDefault="00694214" w:rsidP="00E5658C"/>
    <w:p w:rsidR="00694214" w:rsidRDefault="00343681" w:rsidP="00E5658C">
      <w:r>
        <w:rPr>
          <w:lang w:eastAsia="en-GB"/>
        </w:rPr>
        <w:t>Smith and</w:t>
      </w:r>
      <w:r w:rsidRPr="001C06CD">
        <w:rPr>
          <w:lang w:eastAsia="en-GB"/>
        </w:rPr>
        <w:t xml:space="preserve"> Christakis</w:t>
      </w:r>
      <w:r>
        <w:rPr>
          <w:lang w:eastAsia="en-GB"/>
        </w:rPr>
        <w:t xml:space="preserve"> </w:t>
      </w:r>
      <w:r w:rsidR="00E5658C">
        <w:t xml:space="preserve"> the </w:t>
      </w:r>
      <w:r>
        <w:t xml:space="preserve">importance of the social environment associated with the physical environment as a factor of good health hinting at public health interventions which should </w:t>
      </w:r>
      <w:r w:rsidR="00694214">
        <w:t xml:space="preserve">be </w:t>
      </w:r>
      <w:r>
        <w:t xml:space="preserve">elaborated in harmony with the social network. </w:t>
      </w:r>
      <w:r w:rsidR="0035685D" w:rsidRPr="00CB650C">
        <w:t xml:space="preserve">Christakis and Fowler </w:t>
      </w:r>
      <w:r w:rsidR="005D4436" w:rsidRPr="00CB650C">
        <w:fldChar w:fldCharType="begin" w:fldLock="1"/>
      </w:r>
      <w:r w:rsidR="00371666">
        <w:instrText>ADDIN CSL_CITATION { "citationItems" : [ { "id" : "ITEM-1", "itemData" : { "ISSN" : "0028-4793", "author" : [ { "dropping-particle" : "", "family" : "Christakis", "given" : "Nicholas A", "non-dropping-particle" : "", "parse-names" : false, "suffix" : "" }, { "dropping-particle" : "", "family" : "Fowler", "given" : "James H", "non-dropping-particle" : "", "parse-names" : false, "suffix" : "" } ], "container-title" : "New England journal of medicine", "id" : "ITEM-1", "issue" : "4", "issued" : { "date-parts" : [ [ "2007" ] ] }, "page" : "370-379", "publisher" : "Mass Medical Soc", "title" : "The spread of obesity in a large social network over 32 years", "type" : "article-journal", "volume" : "357" }, "uris" : [ "http://www.mendeley.com/documents/?uuid=6e9476c7-a322-447f-b43d-6e02e9cbd717" ] } ], "mendeley" : { "previouslyFormattedCitation" : "(Christakis &amp; Fowler, 2007)" }, "properties" : { "noteIndex" : 0 }, "schema" : "https://github.com/citation-style-language/schema/raw/master/csl-citation.json" }</w:instrText>
      </w:r>
      <w:r w:rsidR="005D4436" w:rsidRPr="00CB650C">
        <w:fldChar w:fldCharType="separate"/>
      </w:r>
      <w:r w:rsidR="00CB650C" w:rsidRPr="00CB650C">
        <w:rPr>
          <w:noProof/>
        </w:rPr>
        <w:t>(Christakis &amp; Fowler, 2007)</w:t>
      </w:r>
      <w:r w:rsidR="005D4436" w:rsidRPr="00CB650C">
        <w:fldChar w:fldCharType="end"/>
      </w:r>
      <w:r w:rsidR="00BF5B9D" w:rsidRPr="00CB650C">
        <w:t xml:space="preserve"> argue</w:t>
      </w:r>
      <w:r w:rsidR="0035685D">
        <w:t xml:space="preserve"> that obesity spread </w:t>
      </w:r>
      <w:r w:rsidR="00E5658C" w:rsidRPr="00101B66">
        <w:t xml:space="preserve"> through social networks</w:t>
      </w:r>
      <w:r w:rsidR="00A64716">
        <w:t xml:space="preserve"> as they find that contacts with obese persons </w:t>
      </w:r>
      <w:r w:rsidR="000913F6">
        <w:t xml:space="preserve">increase the </w:t>
      </w:r>
      <w:r w:rsidR="0038321E">
        <w:t>likelihood</w:t>
      </w:r>
      <w:r w:rsidR="000913F6">
        <w:t xml:space="preserve"> to become obese</w:t>
      </w:r>
      <w:r w:rsidR="00361EB7">
        <w:t xml:space="preserve">. This controversial result has been debated by many including </w:t>
      </w:r>
      <w:proofErr w:type="spellStart"/>
      <w:r w:rsidR="00361EB7">
        <w:t>Shalizi</w:t>
      </w:r>
      <w:proofErr w:type="spellEnd"/>
      <w:r w:rsidR="00361EB7">
        <w:t xml:space="preserve"> and Thomas</w:t>
      </w:r>
      <w:r w:rsidR="00E73427">
        <w:t xml:space="preserve"> </w:t>
      </w:r>
      <w:r w:rsidR="005D4436">
        <w:fldChar w:fldCharType="begin" w:fldLock="1"/>
      </w:r>
      <w:r w:rsidR="00371666">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5D4436">
        <w:fldChar w:fldCharType="separate"/>
      </w:r>
      <w:r w:rsidR="00E73427" w:rsidRPr="00E73427">
        <w:rPr>
          <w:noProof/>
        </w:rPr>
        <w:t>(Shalizi &amp; Thomas, 2011)</w:t>
      </w:r>
      <w:r w:rsidR="005D4436">
        <w:fldChar w:fldCharType="end"/>
      </w:r>
      <w:r w:rsidR="00B70970">
        <w:t xml:space="preserve"> who </w:t>
      </w:r>
      <w:r w:rsidR="009E6FBA">
        <w:t>point out</w:t>
      </w:r>
      <w:r w:rsidR="00B70970">
        <w:t xml:space="preserve"> the confusion </w:t>
      </w:r>
      <w:r w:rsidR="001C1A27">
        <w:t xml:space="preserve">made between </w:t>
      </w:r>
      <w:proofErr w:type="spellStart"/>
      <w:r w:rsidR="001C1A27">
        <w:t>homophily</w:t>
      </w:r>
      <w:proofErr w:type="spellEnd"/>
      <w:r w:rsidR="001C1A27">
        <w:t xml:space="preserve"> where</w:t>
      </w:r>
      <w:r w:rsidR="00B70970">
        <w:t xml:space="preserve"> subjects gather with those who resemble them, social contagion and</w:t>
      </w:r>
      <w:r w:rsidR="00F61179">
        <w:t xml:space="preserve"> confounding</w:t>
      </w:r>
      <w:r w:rsidR="00361EB7">
        <w:t>.</w:t>
      </w:r>
    </w:p>
    <w:p w:rsidR="00694214" w:rsidRDefault="00694214" w:rsidP="00E5658C"/>
    <w:p w:rsidR="00E50ED1" w:rsidRDefault="001C0C19" w:rsidP="00E5658C">
      <w:r>
        <w:t xml:space="preserve">Hill et al. </w:t>
      </w:r>
      <w:r w:rsidR="00F70B73">
        <w:fldChar w:fldCharType="begin" w:fldLock="1"/>
      </w:r>
      <w:r w:rsidR="006317D1">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F70B73">
        <w:fldChar w:fldCharType="separate"/>
      </w:r>
      <w:r w:rsidRPr="001C0C19">
        <w:rPr>
          <w:noProof/>
        </w:rPr>
        <w:t>(Hill, Rand, Nowak, &amp; Christakis, 2010)</w:t>
      </w:r>
      <w:r w:rsidR="00F70B73">
        <w:fldChar w:fldCharType="end"/>
      </w:r>
      <w:r w:rsidR="00F70B73">
        <w:rPr>
          <w:lang w:eastAsia="en-GB"/>
        </w:rPr>
        <w:fldChar w:fldCharType="begin" w:fldLock="1"/>
      </w:r>
      <w:r w:rsidR="006317D1">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F70B73">
        <w:rPr>
          <w:lang w:eastAsia="en-GB"/>
        </w:rPr>
        <w:fldChar w:fldCharType="separate"/>
      </w:r>
      <w:r w:rsidRPr="001C0C19">
        <w:rPr>
          <w:noProof/>
          <w:lang w:eastAsia="en-GB"/>
        </w:rPr>
        <w:t>(Smith &amp; Christakis, 2008)</w:t>
      </w:r>
      <w:r w:rsidR="00F70B73">
        <w:rPr>
          <w:lang w:eastAsia="en-GB"/>
        </w:rPr>
        <w:fldChar w:fldCharType="end"/>
      </w:r>
      <w:r w:rsidR="00E5658C">
        <w:rPr>
          <w:lang w:eastAsia="en-GB"/>
        </w:rPr>
        <w:t xml:space="preserve"> among others</w:t>
      </w:r>
      <w:r w:rsidR="00E5658C">
        <w:t xml:space="preserve">  have revealed</w:t>
      </w:r>
      <w:r>
        <w:t xml:space="preserve"> </w:t>
      </w:r>
      <w:r w:rsidR="004D10FB">
        <w:t xml:space="preserve">have extended </w:t>
      </w:r>
      <w:r w:rsidR="001C1A27">
        <w:t>the approach of</w:t>
      </w:r>
      <w:r w:rsidR="004D10FB">
        <w:t xml:space="preserve"> </w:t>
      </w:r>
      <w:r w:rsidR="001C1A27">
        <w:t xml:space="preserve">Christakis and Fowler </w:t>
      </w:r>
      <w:r w:rsidR="004D10FB">
        <w:t xml:space="preserve">to allow for a transmission of obesity through social networks but also capture spontaneous non social contagion. They introduce </w:t>
      </w:r>
      <w:r w:rsidR="00E905DE">
        <w:t xml:space="preserve">a new model, the </w:t>
      </w:r>
      <w:proofErr w:type="spellStart"/>
      <w:r w:rsidR="00E905DE">
        <w:t>SISa</w:t>
      </w:r>
      <w:proofErr w:type="spellEnd"/>
      <w:r w:rsidR="00E905DE">
        <w:t xml:space="preserve"> model,</w:t>
      </w:r>
      <w:r w:rsidR="00E5658C">
        <w:t xml:space="preserve"> derived from the classic SIS disease model </w:t>
      </w:r>
      <w:r w:rsidR="00253E10">
        <w:t>to evaluate the relative effect of social and non social contagion</w:t>
      </w:r>
      <w:r w:rsidR="00E5658C">
        <w:t xml:space="preserve">. Hill et al. extend economic diffusion models </w:t>
      </w:r>
      <w:r w:rsidR="00BC2F64">
        <w:t xml:space="preserve">which also include automatic diffusion </w:t>
      </w:r>
      <w:r w:rsidR="00E5658C">
        <w:t xml:space="preserve">by </w:t>
      </w:r>
      <w:r w:rsidR="00343681">
        <w:t>adding</w:t>
      </w:r>
      <w:r w:rsidR="00E50ED1">
        <w:t xml:space="preserve"> the possibility of recovery</w:t>
      </w:r>
      <w:r w:rsidR="00BC2F64">
        <w:t xml:space="preserve"> </w:t>
      </w:r>
      <w:r w:rsidR="00343681">
        <w:t>whereas</w:t>
      </w:r>
      <w:r w:rsidR="00BC2F64">
        <w:t xml:space="preserve"> economic diffusion are considered to be permanently acquired</w:t>
      </w:r>
      <w:r w:rsidR="00E50ED1">
        <w:t>.</w:t>
      </w:r>
      <w:r w:rsidR="00885A11" w:rsidRPr="00885A11">
        <w:t xml:space="preserve"> </w:t>
      </w:r>
    </w:p>
    <w:p w:rsidR="00B751C3" w:rsidRDefault="00B751C3" w:rsidP="00B751C3">
      <w:pPr>
        <w:rPr>
          <w:rPrChange w:id="6" w:author="Emmanuel" w:date="2014-05-09T16:12:00Z">
            <w:rPr>
              <w:color w:val="FF0000"/>
            </w:rPr>
          </w:rPrChange>
        </w:rPr>
      </w:pPr>
    </w:p>
    <w:p w:rsidR="00E50ED1" w:rsidRDefault="00B751C3" w:rsidP="00E5658C">
      <w:r>
        <w:rPr>
          <w:color w:val="FF0000"/>
        </w:rPr>
        <w:t>[Be clear on the research question]</w:t>
      </w:r>
    </w:p>
    <w:p w:rsidR="00E50ED1" w:rsidRDefault="00694214" w:rsidP="00E5658C">
      <w:r>
        <w:t xml:space="preserve">It is essential to understand how people become obese to design </w:t>
      </w:r>
      <w:r w:rsidRPr="00101B66">
        <w:t xml:space="preserve">adequate health </w:t>
      </w:r>
      <w:r>
        <w:t xml:space="preserve">interventions and to </w:t>
      </w:r>
      <w:r w:rsidRPr="00101B66">
        <w:t>decide if obesity has to be ta</w:t>
      </w:r>
      <w:r>
        <w:t>ckled as a clinical issue on an individual basis</w:t>
      </w:r>
      <w:r w:rsidRPr="00101B66">
        <w:t xml:space="preserve"> or </w:t>
      </w:r>
      <w:r w:rsidR="00B35794">
        <w:t xml:space="preserve">through social </w:t>
      </w:r>
      <w:r w:rsidRPr="00101B66">
        <w:t>network to spread posi</w:t>
      </w:r>
      <w:r>
        <w:t>tive behaviour to fight obesity.</w:t>
      </w:r>
    </w:p>
    <w:p w:rsidR="00B751C3" w:rsidRDefault="00B751C3" w:rsidP="00B751C3">
      <w:pPr>
        <w:rPr>
          <w:color w:val="FF0000"/>
        </w:rPr>
      </w:pPr>
    </w:p>
    <w:p w:rsidR="00E50ED1" w:rsidRPr="009B66D9" w:rsidRDefault="00D87C22" w:rsidP="00E5658C">
      <w:pPr>
        <w:rPr>
          <w:color w:val="FF0000"/>
        </w:rPr>
      </w:pPr>
      <w:r w:rsidRPr="009B66D9">
        <w:rPr>
          <w:color w:val="FF0000"/>
        </w:rPr>
        <w:lastRenderedPageBreak/>
        <w:t>Therefore, w</w:t>
      </w:r>
      <w:r w:rsidR="00E50ED1" w:rsidRPr="009B66D9">
        <w:rPr>
          <w:color w:val="FF0000"/>
        </w:rPr>
        <w:t>e</w:t>
      </w:r>
      <w:r w:rsidR="00E50ED1" w:rsidRPr="009B66D9">
        <w:rPr>
          <w:color w:val="FF0000"/>
        </w:rPr>
        <w:t xml:space="preserve"> want to examine </w:t>
      </w:r>
      <w:r w:rsidR="00F15CC6" w:rsidRPr="009B66D9">
        <w:rPr>
          <w:color w:val="FF0000"/>
        </w:rPr>
        <w:t xml:space="preserve">if </w:t>
      </w:r>
      <w:r w:rsidR="00E50ED1" w:rsidRPr="009B66D9">
        <w:rPr>
          <w:color w:val="FF0000"/>
        </w:rPr>
        <w:t xml:space="preserve">social infection </w:t>
      </w:r>
      <w:r w:rsidR="009B66D9" w:rsidRPr="009B66D9">
        <w:rPr>
          <w:color w:val="FF0000"/>
        </w:rPr>
        <w:t>really</w:t>
      </w:r>
      <w:r w:rsidR="005E79D2" w:rsidRPr="009B66D9">
        <w:rPr>
          <w:color w:val="FF0000"/>
        </w:rPr>
        <w:t xml:space="preserve"> plays a role in obesity spread</w:t>
      </w:r>
      <w:r w:rsidR="00E50ED1" w:rsidRPr="009B66D9">
        <w:rPr>
          <w:color w:val="FF0000"/>
        </w:rPr>
        <w:t xml:space="preserve"> </w:t>
      </w:r>
      <w:r w:rsidR="00F15CC6" w:rsidRPr="009B66D9">
        <w:rPr>
          <w:color w:val="FF0000"/>
        </w:rPr>
        <w:t xml:space="preserve">and </w:t>
      </w:r>
      <w:r w:rsidRPr="009B66D9">
        <w:rPr>
          <w:color w:val="FF0000"/>
        </w:rPr>
        <w:t>compare the relative effect of social and automatic infection in obesity</w:t>
      </w:r>
      <w:r w:rsidR="00F15CC6" w:rsidRPr="009B66D9">
        <w:rPr>
          <w:color w:val="FF0000"/>
        </w:rPr>
        <w:t>.</w:t>
      </w:r>
      <w:r w:rsidR="00966CF1" w:rsidRPr="009B66D9">
        <w:rPr>
          <w:color w:val="FF0000"/>
        </w:rPr>
        <w:t xml:space="preserve"> </w:t>
      </w:r>
      <w:r w:rsidR="00047B2C">
        <w:rPr>
          <w:color w:val="FF0000"/>
        </w:rPr>
        <w:t xml:space="preserve">We want to test if we find similar results as Hill et al. applying the </w:t>
      </w:r>
      <w:proofErr w:type="spellStart"/>
      <w:r w:rsidR="00047B2C">
        <w:rPr>
          <w:color w:val="FF0000"/>
        </w:rPr>
        <w:t>SISa</w:t>
      </w:r>
      <w:proofErr w:type="spellEnd"/>
      <w:r w:rsidR="00047B2C">
        <w:rPr>
          <w:color w:val="FF0000"/>
        </w:rPr>
        <w:t xml:space="preserve"> model to a different sample.</w:t>
      </w:r>
    </w:p>
    <w:p w:rsidR="00E50ED1" w:rsidRDefault="00E50ED1" w:rsidP="00E5658C"/>
    <w:p w:rsidR="00966CF1" w:rsidRDefault="009B67AE" w:rsidP="00E5658C">
      <w:r>
        <w:t xml:space="preserve">To </w:t>
      </w:r>
      <w:r w:rsidR="00F9293D">
        <w:t>answer our question,</w:t>
      </w:r>
      <w:r>
        <w:t xml:space="preserve"> w</w:t>
      </w:r>
      <w:r w:rsidR="00E5658C">
        <w:t>e</w:t>
      </w:r>
      <w:r w:rsidR="00E5658C">
        <w:t xml:space="preserve"> apply the </w:t>
      </w:r>
      <w:proofErr w:type="spellStart"/>
      <w:r w:rsidR="00E5658C">
        <w:t>SISa</w:t>
      </w:r>
      <w:proofErr w:type="spellEnd"/>
      <w:r w:rsidR="00E5658C">
        <w:t xml:space="preserve"> model to a dataset collected by</w:t>
      </w:r>
      <w:r w:rsidR="008676CC">
        <w:t xml:space="preserve"> </w:t>
      </w:r>
      <w:proofErr w:type="spellStart"/>
      <w:r w:rsidR="00E5658C" w:rsidRPr="000B7494">
        <w:t>Aharony</w:t>
      </w:r>
      <w:proofErr w:type="spellEnd"/>
      <w:r w:rsidR="00E5658C">
        <w:t xml:space="preserve"> et al. </w:t>
      </w:r>
      <w:r w:rsidR="00F70B73">
        <w:fldChar w:fldCharType="begin" w:fldLock="1"/>
      </w:r>
      <w:r w:rsidR="006317D1">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F70B73">
        <w:fldChar w:fldCharType="separate"/>
      </w:r>
      <w:r w:rsidR="00A362D2" w:rsidRPr="00A362D2">
        <w:rPr>
          <w:noProof/>
        </w:rPr>
        <w:t>(Aharony, Pan, Ip, Khayal, &amp; Pentland, 2011)</w:t>
      </w:r>
      <w:r w:rsidR="00F70B73">
        <w:fldChar w:fldCharType="end"/>
      </w:r>
      <w:r w:rsidR="00E5658C">
        <w:t xml:space="preserve"> which contains </w:t>
      </w:r>
      <w:r w:rsidR="00E5658C" w:rsidRPr="00D969C6">
        <w:t>one of the largest mobile data experiments done in academia</w:t>
      </w:r>
      <w:r w:rsidR="00E5658C">
        <w:t xml:space="preserve"> to test the validity of the </w:t>
      </w:r>
      <w:proofErr w:type="spellStart"/>
      <w:r>
        <w:t>SISa</w:t>
      </w:r>
      <w:proofErr w:type="spellEnd"/>
      <w:r w:rsidR="00E5658C">
        <w:t xml:space="preserve"> </w:t>
      </w:r>
      <w:r w:rsidR="00E5658C">
        <w:t>model and estimate the model parameters</w:t>
      </w:r>
      <w:r>
        <w:t xml:space="preserve"> in order</w:t>
      </w:r>
      <w:r w:rsidR="00E5658C">
        <w:t xml:space="preserve"> to evaluate </w:t>
      </w:r>
      <w:r>
        <w:t xml:space="preserve">the </w:t>
      </w:r>
      <w:r w:rsidR="00E5658C">
        <w:t xml:space="preserve">social </w:t>
      </w:r>
      <w:r>
        <w:t>and non social aspects</w:t>
      </w:r>
      <w:r w:rsidR="00E5658C">
        <w:t xml:space="preserve"> of </w:t>
      </w:r>
      <w:r>
        <w:t>obesity contagion</w:t>
      </w:r>
      <w:r w:rsidR="00E5658C">
        <w:t xml:space="preserve">. </w:t>
      </w:r>
      <w:proofErr w:type="spellStart"/>
      <w:r w:rsidR="00E5658C" w:rsidRPr="000B7494">
        <w:t>Aharony</w:t>
      </w:r>
      <w:proofErr w:type="spellEnd"/>
      <w:r w:rsidR="00E5658C">
        <w:t xml:space="preserve"> et al. have deployed a sensing system over 15 months to follow 130 adult members and collected their physical activity, their weight and their friendship status. </w:t>
      </w:r>
      <w:r w:rsidR="00623E7B">
        <w:t>We have restricted our study to a</w:t>
      </w:r>
      <w:r w:rsidR="00A81317">
        <w:t xml:space="preserve"> subset of </w:t>
      </w:r>
      <w:r w:rsidR="00A81317" w:rsidRPr="00623E7B">
        <w:rPr>
          <w:color w:val="FF0000"/>
        </w:rPr>
        <w:t>[85]</w:t>
      </w:r>
      <w:r w:rsidR="00A81317">
        <w:t xml:space="preserve"> </w:t>
      </w:r>
      <w:r w:rsidR="00623E7B">
        <w:t>adults</w:t>
      </w:r>
      <w:r w:rsidR="00A81317">
        <w:t xml:space="preserve"> for which complete </w:t>
      </w:r>
      <w:r w:rsidR="00561F08">
        <w:t>corpulence</w:t>
      </w:r>
      <w:r w:rsidR="00A81317">
        <w:t xml:space="preserve"> data were available.</w:t>
      </w:r>
    </w:p>
    <w:p w:rsidR="00B751C3" w:rsidRDefault="00B751C3" w:rsidP="00B751C3">
      <w:pPr>
        <w:rPr>
          <w:color w:val="FF0000"/>
        </w:rPr>
      </w:pPr>
    </w:p>
    <w:p w:rsidR="00B751C3" w:rsidRPr="00B751C3" w:rsidRDefault="00B751C3" w:rsidP="00B751C3">
      <w:pPr>
        <w:rPr>
          <w:b/>
        </w:rPr>
      </w:pPr>
      <w:r w:rsidRPr="00B751C3">
        <w:rPr>
          <w:b/>
        </w:rPr>
        <w:t>Motivation</w:t>
      </w:r>
    </w:p>
    <w:p w:rsidR="00B751C3" w:rsidRDefault="00B751C3" w:rsidP="00B751C3">
      <w:pPr>
        <w:rPr>
          <w:color w:val="FF0000"/>
        </w:rPr>
      </w:pPr>
    </w:p>
    <w:p w:rsidR="00B751C3" w:rsidRDefault="00B751C3" w:rsidP="00B751C3">
      <w:pPr>
        <w:rPr>
          <w:color w:val="FF0000"/>
        </w:rPr>
      </w:pPr>
    </w:p>
    <w:p w:rsidR="00B751C3" w:rsidRPr="00C90AC7" w:rsidRDefault="00B751C3" w:rsidP="00B751C3">
      <w:pPr>
        <w:rPr>
          <w:color w:val="FF0000"/>
        </w:rPr>
      </w:pPr>
      <w:r>
        <w:rPr>
          <w:color w:val="FF0000"/>
        </w:rPr>
        <w:t>[Cite previous report]</w:t>
      </w:r>
    </w:p>
    <w:p w:rsidR="00B751C3" w:rsidRDefault="00B751C3" w:rsidP="00E5658C"/>
    <w:p w:rsidR="00966CF1" w:rsidRDefault="00966CF1" w:rsidP="00E5658C">
      <w:pPr>
        <w:rPr>
          <w:color w:val="FF0000"/>
        </w:rPr>
      </w:pPr>
      <w:r>
        <w:rPr>
          <w:color w:val="FF0000"/>
        </w:rPr>
        <w:t xml:space="preserve"> [TO BE DELETED</w:t>
      </w:r>
      <w:r w:rsidR="00B751C3">
        <w:rPr>
          <w:color w:val="FF0000"/>
        </w:rPr>
        <w:t xml:space="preserve"> AS THIS MIGHT CONFUSE READER]</w:t>
      </w:r>
    </w:p>
    <w:p w:rsidR="00B751C3" w:rsidRDefault="00B751C3" w:rsidP="00E5658C">
      <w:pPr>
        <w:rPr>
          <w:color w:val="FF0000"/>
        </w:rPr>
      </w:pPr>
    </w:p>
    <w:p w:rsidR="00E5658C" w:rsidRPr="00966CF1" w:rsidRDefault="00E5658C" w:rsidP="00E5658C">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00E5658C" w:rsidRPr="00966CF1" w:rsidRDefault="00E5658C" w:rsidP="00E5658C">
      <w:pPr>
        <w:rPr>
          <w:color w:val="FF0000"/>
        </w:rPr>
      </w:pPr>
    </w:p>
    <w:tbl>
      <w:tblPr>
        <w:tblW w:w="0" w:type="auto"/>
        <w:jc w:val="center"/>
        <w:tblLook w:val="04A0"/>
      </w:tblPr>
      <w:tblGrid>
        <w:gridCol w:w="2794"/>
        <w:gridCol w:w="2794"/>
      </w:tblGrid>
      <w:tr w:rsidR="00E5658C" w:rsidRPr="00966CF1" w:rsidTr="00E5658C">
        <w:trPr>
          <w:trHeight w:val="280"/>
          <w:jc w:val="center"/>
        </w:trPr>
        <w:tc>
          <w:tcPr>
            <w:tcW w:w="5588" w:type="dxa"/>
            <w:gridSpan w:val="2"/>
            <w:tcBorders>
              <w:bottom w:val="single" w:sz="4" w:space="0" w:color="auto"/>
            </w:tcBorders>
          </w:tcPr>
          <w:p w:rsidR="00E5658C" w:rsidRPr="00966CF1" w:rsidRDefault="00E5658C" w:rsidP="00851E2D">
            <w:pPr>
              <w:rPr>
                <w:b/>
                <w:color w:val="FF0000"/>
              </w:rPr>
            </w:pPr>
            <w:r w:rsidRPr="00966CF1">
              <w:rPr>
                <w:b/>
                <w:color w:val="FF0000"/>
              </w:rPr>
              <w:t>Number of subjects in each condition</w:t>
            </w:r>
          </w:p>
        </w:tc>
      </w:tr>
      <w:tr w:rsidR="00E5658C" w:rsidRPr="00966CF1" w:rsidTr="00E5658C">
        <w:trPr>
          <w:trHeight w:val="263"/>
          <w:jc w:val="center"/>
        </w:trPr>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Condition</w:t>
            </w:r>
          </w:p>
        </w:tc>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Initial</w:t>
            </w:r>
          </w:p>
        </w:tc>
      </w:tr>
      <w:tr w:rsidR="00E5658C" w:rsidRPr="00966CF1" w:rsidTr="00E5658C">
        <w:trPr>
          <w:trHeight w:val="263"/>
          <w:jc w:val="center"/>
        </w:trPr>
        <w:tc>
          <w:tcPr>
            <w:tcW w:w="2794" w:type="dxa"/>
            <w:tcBorders>
              <w:top w:val="single" w:sz="4" w:space="0" w:color="auto"/>
            </w:tcBorders>
          </w:tcPr>
          <w:p w:rsidR="00E5658C" w:rsidRPr="00966CF1" w:rsidRDefault="00E5658C" w:rsidP="00851E2D">
            <w:pPr>
              <w:rPr>
                <w:color w:val="FF0000"/>
              </w:rPr>
            </w:pPr>
            <w:r w:rsidRPr="00966CF1">
              <w:rPr>
                <w:color w:val="FF0000"/>
              </w:rPr>
              <w:t>Control</w:t>
            </w:r>
          </w:p>
        </w:tc>
        <w:tc>
          <w:tcPr>
            <w:tcW w:w="2794" w:type="dxa"/>
            <w:tcBorders>
              <w:top w:val="single" w:sz="4" w:space="0" w:color="auto"/>
            </w:tcBorders>
          </w:tcPr>
          <w:p w:rsidR="00E5658C" w:rsidRPr="00966CF1" w:rsidRDefault="00E5658C" w:rsidP="00851E2D">
            <w:pPr>
              <w:rPr>
                <w:color w:val="FF0000"/>
              </w:rPr>
            </w:pPr>
            <w:r w:rsidRPr="00966CF1">
              <w:rPr>
                <w:color w:val="FF0000"/>
              </w:rPr>
              <w:t>18</w:t>
            </w:r>
          </w:p>
        </w:tc>
      </w:tr>
      <w:tr w:rsidR="00E5658C" w:rsidRPr="00966CF1" w:rsidTr="00E5658C">
        <w:trPr>
          <w:trHeight w:val="280"/>
          <w:jc w:val="center"/>
        </w:trPr>
        <w:tc>
          <w:tcPr>
            <w:tcW w:w="2794" w:type="dxa"/>
          </w:tcPr>
          <w:p w:rsidR="00E5658C" w:rsidRPr="00966CF1" w:rsidRDefault="00E5658C" w:rsidP="00851E2D">
            <w:pPr>
              <w:rPr>
                <w:color w:val="FF0000"/>
              </w:rPr>
            </w:pPr>
            <w:r w:rsidRPr="00966CF1">
              <w:rPr>
                <w:color w:val="FF0000"/>
              </w:rPr>
              <w:t>Peer-review</w:t>
            </w:r>
          </w:p>
        </w:tc>
        <w:tc>
          <w:tcPr>
            <w:tcW w:w="2794" w:type="dxa"/>
          </w:tcPr>
          <w:p w:rsidR="00E5658C" w:rsidRPr="00966CF1" w:rsidRDefault="00E5658C" w:rsidP="0011311A">
            <w:pPr>
              <w:tabs>
                <w:tab w:val="right" w:pos="2578"/>
              </w:tabs>
              <w:rPr>
                <w:color w:val="FF0000"/>
              </w:rPr>
            </w:pPr>
            <w:r w:rsidRPr="00966CF1">
              <w:rPr>
                <w:color w:val="FF0000"/>
              </w:rPr>
              <w:t>45</w:t>
            </w:r>
            <w:r w:rsidR="0011311A" w:rsidRPr="00966CF1">
              <w:rPr>
                <w:color w:val="FF0000"/>
              </w:rPr>
              <w:tab/>
            </w:r>
          </w:p>
        </w:tc>
      </w:tr>
      <w:tr w:rsidR="00E5658C" w:rsidRPr="00966CF1" w:rsidTr="00E5658C">
        <w:trPr>
          <w:trHeight w:val="77"/>
          <w:jc w:val="center"/>
        </w:trPr>
        <w:tc>
          <w:tcPr>
            <w:tcW w:w="2794" w:type="dxa"/>
            <w:tcBorders>
              <w:bottom w:val="single" w:sz="4" w:space="0" w:color="auto"/>
            </w:tcBorders>
          </w:tcPr>
          <w:p w:rsidR="00E5658C" w:rsidRPr="00966CF1" w:rsidRDefault="00E5658C" w:rsidP="00851E2D">
            <w:pPr>
              <w:rPr>
                <w:color w:val="FF0000"/>
              </w:rPr>
            </w:pPr>
            <w:r w:rsidRPr="00966CF1">
              <w:rPr>
                <w:color w:val="FF0000"/>
              </w:rPr>
              <w:t>Peer-reward</w:t>
            </w:r>
          </w:p>
        </w:tc>
        <w:tc>
          <w:tcPr>
            <w:tcW w:w="2794" w:type="dxa"/>
            <w:tcBorders>
              <w:bottom w:val="single" w:sz="4" w:space="0" w:color="auto"/>
            </w:tcBorders>
          </w:tcPr>
          <w:p w:rsidR="00E5658C" w:rsidRPr="00966CF1" w:rsidRDefault="00E5658C" w:rsidP="00E5658C">
            <w:pPr>
              <w:keepNext/>
              <w:rPr>
                <w:color w:val="FF0000"/>
              </w:rPr>
            </w:pPr>
            <w:r w:rsidRPr="00966CF1">
              <w:rPr>
                <w:color w:val="FF0000"/>
              </w:rPr>
              <w:t>45</w:t>
            </w:r>
          </w:p>
        </w:tc>
      </w:tr>
    </w:tbl>
    <w:p w:rsidR="00E5658C" w:rsidRPr="000044FA" w:rsidRDefault="00E5658C" w:rsidP="00593555">
      <w:pPr>
        <w:pStyle w:val="Caption"/>
        <w:rPr>
          <w:color w:val="FF0000"/>
        </w:rPr>
      </w:pPr>
      <w:r w:rsidRPr="000044FA">
        <w:rPr>
          <w:color w:val="FF0000"/>
        </w:rPr>
        <w:t xml:space="preserve">Table </w:t>
      </w:r>
      <w:fldSimple w:instr=" SEQ Table \* ARABIC ">
        <w:r w:rsidR="009B3FC3" w:rsidRPr="000044FA">
          <w:rPr>
            <w:color w:val="FF0000"/>
          </w:rPr>
          <w:t>1</w:t>
        </w:r>
      </w:fldSimple>
      <w:r w:rsidR="00DB74F8" w:rsidRPr="000044FA">
        <w:rPr>
          <w:color w:val="FF0000"/>
        </w:rPr>
        <w:t>:</w:t>
      </w:r>
      <w:r w:rsidRPr="000044FA">
        <w:rPr>
          <w:color w:val="FF0000"/>
        </w:rPr>
        <w:t xml:space="preserve"> Number of subjects in each intervention scheme</w:t>
      </w:r>
    </w:p>
    <w:p w:rsidR="00E5658C" w:rsidRDefault="00E5658C" w:rsidP="00E5658C">
      <w:r>
        <w:t>.</w:t>
      </w:r>
    </w:p>
    <w:p w:rsidR="00E5658C" w:rsidRPr="00461CCC" w:rsidRDefault="00E5658C" w:rsidP="00E5658C"/>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r w:rsidR="00201946">
        <w:rPr>
          <w:lang w:eastAsia="en-GB"/>
        </w:rPr>
        <w:t>by</w:t>
      </w:r>
      <w:r w:rsidR="00964163">
        <w:rPr>
          <w:lang w:eastAsia="en-GB"/>
        </w:rPr>
        <w:t xml:space="preserve">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F70B73">
        <w:rPr>
          <w:lang w:eastAsia="en-GB"/>
        </w:rPr>
        <w:fldChar w:fldCharType="begin" w:fldLock="1"/>
      </w:r>
      <w:r w:rsidR="006317D1">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F70B73">
        <w:rPr>
          <w:lang w:eastAsia="en-GB"/>
        </w:rPr>
        <w:fldChar w:fldCharType="separate"/>
      </w:r>
      <w:r w:rsidR="00964163" w:rsidRPr="00964163">
        <w:rPr>
          <w:noProof/>
          <w:lang w:eastAsia="en-GB"/>
        </w:rPr>
        <w:t>(Kermack &amp; McKendrick, 1932)</w:t>
      </w:r>
      <w:r w:rsidR="00F70B73">
        <w:rPr>
          <w:lang w:eastAsia="en-GB"/>
        </w:rPr>
        <w:fldChar w:fldCharType="end"/>
      </w:r>
      <w:r w:rsidR="00964163">
        <w:rPr>
          <w:lang w:eastAsia="en-GB"/>
        </w:rPr>
        <w:t xml:space="preserve">. In the SIR model the population is divided into three groups: </w:t>
      </w:r>
      <w:r w:rsidR="00964163">
        <w:rPr>
          <w:lang w:eastAsia="en-GB"/>
        </w:rPr>
        <w:lastRenderedPageBreak/>
        <w:t xml:space="preserve">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p>
    <w:p w:rsidR="00506217" w:rsidRDefault="00506217" w:rsidP="007F49B8">
      <w:pPr>
        <w:rPr>
          <w:lang w:eastAsia="en-GB"/>
        </w:rPr>
      </w:pPr>
    </w:p>
    <w:p w:rsidR="00506217" w:rsidRDefault="00506217" w:rsidP="007F49B8">
      <w:pPr>
        <w:rPr>
          <w:lang w:eastAsia="en-GB"/>
        </w:rPr>
      </w:pPr>
      <w:r>
        <w:rPr>
          <w:lang w:eastAsia="en-GB"/>
        </w:rPr>
        <w:t xml:space="preserve">In the standard </w:t>
      </w:r>
      <w:r w:rsidR="00201946">
        <w:rPr>
          <w:lang w:eastAsia="en-GB"/>
        </w:rPr>
        <w:t xml:space="preserve">SIS </w:t>
      </w:r>
      <w:r>
        <w:rPr>
          <w:lang w:eastAsia="en-GB"/>
        </w:rPr>
        <w:t>model</w:t>
      </w:r>
      <w:r w:rsidR="00201946">
        <w:rPr>
          <w:lang w:eastAsia="en-GB"/>
        </w:rPr>
        <w:t>,</w:t>
      </w:r>
      <w:r>
        <w:rPr>
          <w:lang w:eastAsia="en-GB"/>
        </w:rPr>
        <w:t xml:space="preserve"> infection can only be transmitted through the contact with an infected person. The SIS model is presented in </w:t>
      </w:r>
      <w:r w:rsidR="00F70B73">
        <w:rPr>
          <w:lang w:eastAsia="en-GB"/>
        </w:rPr>
        <w:fldChar w:fldCharType="begin"/>
      </w:r>
      <w:r w:rsidR="00DC7D11">
        <w:rPr>
          <w:lang w:eastAsia="en-GB"/>
        </w:rPr>
        <w:instrText xml:space="preserve"> REF SIS_model \h </w:instrText>
      </w:r>
      <w:r w:rsidR="00F70B73">
        <w:rPr>
          <w:lang w:eastAsia="en-GB"/>
        </w:rPr>
      </w:r>
      <w:r w:rsidR="00F70B73">
        <w:rPr>
          <w:lang w:eastAsia="en-GB"/>
        </w:rPr>
        <w:fldChar w:fldCharType="separate"/>
      </w:r>
      <w:r w:rsidR="009B3FC3" w:rsidRPr="00013A68">
        <w:rPr>
          <w:noProof/>
        </w:rPr>
        <w:t>(</w:t>
      </w:r>
      <w:r w:rsidR="009B3FC3">
        <w:rPr>
          <w:noProof/>
        </w:rPr>
        <w:t>1</w:t>
      </w:r>
      <w:r w:rsidR="009B3FC3" w:rsidRPr="00013A68">
        <w:rPr>
          <w:noProof/>
        </w:rPr>
        <w:t>)</w:t>
      </w:r>
      <w:r w:rsidR="00F70B73">
        <w:rPr>
          <w:lang w:eastAsia="en-GB"/>
        </w:rPr>
        <w:fldChar w:fldCharType="end"/>
      </w:r>
      <w:r w:rsidR="00ED7D1E">
        <w:rPr>
          <w:lang w:eastAsia="en-GB"/>
        </w:rPr>
        <w:t>:</w:t>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7"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8" w:name="revenue_growth_equation"/>
      <w:bookmarkStart w:id="9" w:name="SIS_model"/>
      <w:r w:rsidR="00F70B73" w:rsidRPr="00013A68">
        <w:rPr>
          <w:rFonts w:ascii="Times New Roman" w:cs="Times New Roman"/>
        </w:rPr>
        <w:fldChar w:fldCharType="begin"/>
      </w:r>
      <w:r w:rsidRPr="00013A68">
        <w:rPr>
          <w:rFonts w:ascii="Times New Roman" w:cs="Times New Roman"/>
        </w:rPr>
        <w:instrText xml:space="preserve"> SEQ Equation\#"(#)" \* MERGEFORMAT </w:instrText>
      </w:r>
      <w:r w:rsidR="00F70B7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F70B73" w:rsidRPr="00013A68">
        <w:rPr>
          <w:rFonts w:ascii="Times New Roman" w:cs="Times New Roman"/>
        </w:rPr>
        <w:fldChar w:fldCharType="end"/>
      </w:r>
      <w:bookmarkEnd w:id="7"/>
      <w:bookmarkEnd w:id="8"/>
      <w:bookmarkEnd w:id="9"/>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 xml:space="preserve">the model described in </w:t>
      </w:r>
      <w:r w:rsidR="00F70B73">
        <w:rPr>
          <w:lang w:eastAsia="en-GB"/>
        </w:rPr>
        <w:fldChar w:fldCharType="begin"/>
      </w:r>
      <w:r w:rsidR="00F667AA">
        <w:rPr>
          <w:lang w:eastAsia="en-GB"/>
        </w:rPr>
        <w:instrText xml:space="preserve"> REF SISa_model \h </w:instrText>
      </w:r>
      <w:r w:rsidR="00F70B73">
        <w:rPr>
          <w:lang w:eastAsia="en-GB"/>
        </w:rPr>
      </w:r>
      <w:r w:rsidR="00F70B73">
        <w:rPr>
          <w:lang w:eastAsia="en-GB"/>
        </w:rPr>
        <w:fldChar w:fldCharType="separate"/>
      </w:r>
      <w:r w:rsidR="009B3FC3" w:rsidRPr="00013A68">
        <w:rPr>
          <w:noProof/>
        </w:rPr>
        <w:t>(</w:t>
      </w:r>
      <w:r w:rsidR="009B3FC3">
        <w:rPr>
          <w:noProof/>
        </w:rPr>
        <w:t>2</w:t>
      </w:r>
      <w:r w:rsidR="009B3FC3" w:rsidRPr="00013A68">
        <w:rPr>
          <w:noProof/>
        </w:rPr>
        <w:t>)</w:t>
      </w:r>
      <w:r w:rsidR="00F70B73">
        <w:rPr>
          <w:lang w:eastAsia="en-GB"/>
        </w:rPr>
        <w:fldChar w:fldCharType="end"/>
      </w:r>
      <w:r w:rsidR="00ED7D1E">
        <w:rPr>
          <w:lang w:eastAsia="en-GB"/>
        </w:rPr>
        <w:t>:</w:t>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0" w:name="SISa_model"/>
      <w:r w:rsidR="00F70B73" w:rsidRPr="00013A68">
        <w:rPr>
          <w:rFonts w:ascii="Times New Roman" w:cs="Times New Roman"/>
        </w:rPr>
        <w:fldChar w:fldCharType="begin"/>
      </w:r>
      <w:r w:rsidRPr="00013A68">
        <w:rPr>
          <w:rFonts w:ascii="Times New Roman" w:cs="Times New Roman"/>
        </w:rPr>
        <w:instrText xml:space="preserve"> SEQ Equation\#"(#)" \* MERGEFORMAT </w:instrText>
      </w:r>
      <w:r w:rsidR="00F70B7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F70B73" w:rsidRPr="00013A68">
        <w:rPr>
          <w:rFonts w:ascii="Times New Roman" w:cs="Times New Roman"/>
        </w:rPr>
        <w:fldChar w:fldCharType="end"/>
      </w:r>
      <w:bookmarkEnd w:id="10"/>
    </w:p>
    <w:p w:rsidR="006570AC" w:rsidRDefault="006570AC" w:rsidP="006570AC">
      <w:r>
        <w:t xml:space="preserve">The automatic infection rate </w:t>
      </w:r>
      <m:oMath>
        <m:r>
          <w:rPr>
            <w:rFonts w:ascii="Cambria Math" w:hAnsi="Cambria Math"/>
            <w:lang w:eastAsia="en-GB"/>
          </w:rPr>
          <m:t>a</m:t>
        </m:r>
      </m:oMath>
      <w:r>
        <w:t xml:space="preserve"> and the transmission rate</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w:t>
      </w:r>
      <w:r w:rsidR="00ED7D1E">
        <w:t>:</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oMath>
      <w:r>
        <w:rPr>
          <w:rFonts w:ascii="Times New Roman" w:cs="Times New Roman"/>
        </w:rPr>
        <w:tab/>
      </w:r>
      <w:bookmarkStart w:id="11" w:name="Proba_susceptible_infected"/>
      <w:r w:rsidR="00F70B73" w:rsidRPr="00013A68">
        <w:rPr>
          <w:rFonts w:ascii="Times New Roman" w:cs="Times New Roman"/>
        </w:rPr>
        <w:fldChar w:fldCharType="begin"/>
      </w:r>
      <w:r w:rsidRPr="00013A68">
        <w:rPr>
          <w:rFonts w:ascii="Times New Roman" w:cs="Times New Roman"/>
        </w:rPr>
        <w:instrText xml:space="preserve"> SEQ Equation\#"(#)" \* MERGEFORMAT </w:instrText>
      </w:r>
      <w:r w:rsidR="00F70B7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F70B73" w:rsidRPr="00013A68">
        <w:rPr>
          <w:rFonts w:ascii="Times New Roman" w:cs="Times New Roman"/>
        </w:rPr>
        <w:fldChar w:fldCharType="end"/>
      </w:r>
      <w:bookmarkEnd w:id="11"/>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r w:rsidR="00ED7D1E">
        <w:t>:</w:t>
      </w:r>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hAnsi="Cambria Math" w:cs="Times New Roman"/>
          </w:rPr>
          <m:t>∆t</m:t>
        </m:r>
      </m:oMath>
      <w:r w:rsidR="00C503CF">
        <w:rPr>
          <w:rFonts w:ascii="Times New Roman" w:eastAsia="Times New Roman" w:cs="Times New Roman"/>
        </w:rPr>
        <w:tab/>
      </w:r>
      <w:bookmarkStart w:id="12" w:name="Proba_infected_susceptible"/>
      <w:r w:rsidR="00F70B73"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F70B73"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F70B73" w:rsidRPr="00C503CF">
        <w:rPr>
          <w:rFonts w:ascii="Times New Roman" w:eastAsia="Times New Roman" w:cs="Times New Roman"/>
        </w:rPr>
        <w:fldChar w:fldCharType="end"/>
      </w:r>
      <w:bookmarkEnd w:id="12"/>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e the transition between states</w:t>
      </w:r>
      <w:r w:rsidR="00D006E6">
        <w:t>.</w:t>
      </w:r>
    </w:p>
    <w:p w:rsidR="00094BCD" w:rsidRDefault="00094BCD" w:rsidP="00094BCD"/>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2735E0" w:rsidRDefault="00E4442E" w:rsidP="00BB45CE">
      <w:r>
        <w:t xml:space="preserve">In order to implement the </w:t>
      </w:r>
      <w:proofErr w:type="spellStart"/>
      <w:r>
        <w:t>SISa</w:t>
      </w:r>
      <w:proofErr w:type="spellEnd"/>
      <w:r>
        <w:t xml:space="preserve"> we </w:t>
      </w:r>
      <w:r w:rsidR="00297C0A">
        <w:t>searched for</w:t>
      </w:r>
      <w:r>
        <w:t xml:space="preserve"> a longitudinal dataset with similar properties as the Framingham Heart Study dataset </w:t>
      </w:r>
      <w:r w:rsidR="00297C0A">
        <w:t>used by</w:t>
      </w:r>
      <w:r>
        <w:t xml:space="preserve"> Hill et al. We used the Friends and Family dataset collected by </w:t>
      </w:r>
      <w:proofErr w:type="spellStart"/>
      <w:r w:rsidRPr="000B7494">
        <w:t>Aharony</w:t>
      </w:r>
      <w:proofErr w:type="spellEnd"/>
      <w:r>
        <w:t xml:space="preserve"> et al.</w:t>
      </w:r>
      <w:r w:rsidR="001525E9">
        <w:t xml:space="preserve"> </w:t>
      </w:r>
      <w:r w:rsidR="008F5795">
        <w:t>The dataset consist</w:t>
      </w:r>
      <w:r w:rsidR="00F66496">
        <w:t>s</w:t>
      </w:r>
      <w:r w:rsidR="008F5795">
        <w:t xml:space="preserve">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w:t>
      </w:r>
      <w:r w:rsidR="001E0538">
        <w:lastRenderedPageBreak/>
        <w:t xml:space="preserve">program </w:t>
      </w:r>
      <w:r w:rsidR="00705922">
        <w:t xml:space="preserve">was carried out from October to December 2010. </w:t>
      </w:r>
      <w:r w:rsidR="00651DD9">
        <w:t>We have therefore decided to restrict our study to a subsample of the data in which there was no intervention program in place</w:t>
      </w:r>
      <w:r w:rsidR="0036689F">
        <w:t xml:space="preserve"> and have </w:t>
      </w:r>
      <w:r w:rsidR="00F66496">
        <w:t xml:space="preserve">focussed our study on the period from end of December 2010 to May 2011. </w:t>
      </w:r>
    </w:p>
    <w:p w:rsidR="00371666" w:rsidRDefault="00371666" w:rsidP="00BB45CE"/>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E35CB7" w:rsidP="0045629C">
      <w:pPr>
        <w:rPr>
          <w:b/>
        </w:rPr>
      </w:pPr>
      <w:r>
        <w:rPr>
          <w:b/>
        </w:rPr>
        <w:t>Measure t</w:t>
      </w:r>
      <w:r w:rsidR="0045629C">
        <w:rPr>
          <w:b/>
        </w:rPr>
        <w: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w:t>
      </w:r>
      <w:r w:rsidR="00641C34">
        <w:t>as</w:t>
      </w:r>
      <w:r w:rsidR="00094118">
        <w:t xml:space="preserve"> the friendship was measured</w:t>
      </w:r>
      <w:r w:rsidR="00094118">
        <w:t>.</w:t>
      </w:r>
      <w:r w:rsidR="00AF6C7A">
        <w:t xml:space="preserve"> </w:t>
      </w:r>
      <w:r w:rsidR="00641C34">
        <w:t>We have therefore interpolated data to solve</w:t>
      </w:r>
      <w:r w:rsidR="00094118">
        <w:t xml:space="preserve"> for </w:t>
      </w:r>
      <w:r w:rsidR="00641C34">
        <w:t>this problem</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5F086A" w:rsidP="003E004D">
      <w:r>
        <w:t>Subjects reported their self-perceived closeness to other subjects on a scale from 0 to 7</w:t>
      </w:r>
      <w:r w:rsidR="003E004D">
        <w:t xml:space="preserve"> where a </w:t>
      </w:r>
      <w:r>
        <w:t>number strictly higher than 2</w:t>
      </w:r>
      <w:r w:rsidR="003E004D">
        <w:t xml:space="preserve"> stands for close</w:t>
      </w:r>
      <w:r w:rsidR="00B83784">
        <w:t xml:space="preserve"> </w:t>
      </w:r>
      <w:r w:rsidR="003E004D">
        <w:t>friendship</w:t>
      </w:r>
      <w:r w:rsidR="00B83784">
        <w:t xml:space="preserve"> </w:t>
      </w:r>
      <w:r>
        <w:t>enabling us to build a binary adjacency matrix over time.</w:t>
      </w:r>
    </w:p>
    <w:p w:rsidR="00371666" w:rsidRDefault="00371666" w:rsidP="005F086A"/>
    <w:p w:rsidR="003E004D" w:rsidRDefault="003E004D" w:rsidP="003E004D">
      <w:r>
        <w:t xml:space="preserve">Furthermore, we have analyzed </w:t>
      </w:r>
      <w:r w:rsidR="008A318C">
        <w:t>additional</w:t>
      </w:r>
      <w:r>
        <w:t xml:space="preserve"> properties of the network, namely its degree distribution, its diameter 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9A03A4" w:rsidRDefault="009A03A4" w:rsidP="009A03A4">
      <w:r>
        <w:t>We follow Hill et al. to determine how contacts with non obese and obese people influence the transition to another state</w:t>
      </w:r>
      <w:r w:rsidR="00C0421B">
        <w:t xml:space="preserve"> by performing longitudinal regression</w:t>
      </w:r>
      <w:r>
        <w:t xml:space="preserve">. </w:t>
      </w:r>
    </w:p>
    <w:p w:rsidR="009A03A4" w:rsidRDefault="009A03A4" w:rsidP="00BB45CE"/>
    <w:p w:rsidR="00371666" w:rsidRDefault="00371666" w:rsidP="00BB45CE"/>
    <w:p w:rsidR="00845D27" w:rsidRDefault="00845D27" w:rsidP="00BB45CE">
      <w:r>
        <w:t>For each subject, we track the change in BMI and body fat</w:t>
      </w:r>
      <w:r w:rsidR="00E9648E">
        <w:t xml:space="preserve"> and define a threshold above which a person changes state.</w:t>
      </w:r>
      <w:r w:rsidR="00533439">
        <w:t xml:space="preserve"> </w:t>
      </w:r>
      <w:r w:rsidR="00B65EBE">
        <w:t>While WHO defines obes</w:t>
      </w:r>
      <w:r w:rsidR="009B57F1">
        <w:t xml:space="preserve">ity as a BMI higher than 30, our sample only contained 5 obese subjects out of a total of </w:t>
      </w:r>
      <w:r w:rsidR="009B57F1" w:rsidRPr="009B57F1">
        <w:rPr>
          <w:color w:val="FF0000"/>
        </w:rPr>
        <w:t>[108/90</w:t>
      </w:r>
      <w:r w:rsidR="008A0E9A">
        <w:rPr>
          <w:color w:val="FF0000"/>
        </w:rPr>
        <w:t>/85</w:t>
      </w:r>
      <w:r w:rsidR="009B57F1" w:rsidRPr="009B57F1">
        <w:rPr>
          <w:color w:val="FF0000"/>
        </w:rPr>
        <w:t>]</w:t>
      </w:r>
      <w:r w:rsidR="009B57F1">
        <w:t xml:space="preserve">. This percentage of obese egos is much lower than the percentage of obese adult in the US which was higher than </w:t>
      </w:r>
      <w:r w:rsidR="00522F90">
        <w:t xml:space="preserve">35% </w:t>
      </w:r>
      <w:r w:rsidR="00F86E9A" w:rsidRPr="00F86E9A">
        <w:rPr>
          <w:color w:val="FF0000"/>
        </w:rPr>
        <w:t>[</w:t>
      </w:r>
      <w:r w:rsidR="00F86E9A">
        <w:rPr>
          <w:color w:val="FF0000"/>
        </w:rPr>
        <w:t>CITATION FLEGAL</w:t>
      </w:r>
      <w:r w:rsidR="00F86E9A" w:rsidRPr="00F86E9A">
        <w:rPr>
          <w:color w:val="FF0000"/>
        </w:rPr>
        <w:t>]</w:t>
      </w:r>
      <w:r w:rsidR="00F86E9A">
        <w:t xml:space="preserve"> </w:t>
      </w:r>
      <w:r w:rsidR="00A009CF">
        <w:t>and we have</w:t>
      </w:r>
      <w:r w:rsidR="00C92593">
        <w:t xml:space="preserve"> therefore </w:t>
      </w:r>
      <w:r w:rsidR="00A009CF">
        <w:t>decided to lower</w:t>
      </w:r>
      <w:r w:rsidR="000275E9">
        <w:t xml:space="preserve"> the </w:t>
      </w:r>
      <w:r w:rsidR="00E9648E">
        <w:t xml:space="preserve">threshold </w:t>
      </w:r>
      <w:r w:rsidR="00A009CF">
        <w:t xml:space="preserve">BMI </w:t>
      </w:r>
      <w:r w:rsidR="00E9648E">
        <w:t>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53CD6" w:rsidRPr="00353CD6" w:rsidRDefault="00353CD6" w:rsidP="003F1759">
      <w:pPr>
        <w:rPr>
          <w:b/>
        </w:rPr>
      </w:pPr>
      <w:r w:rsidRPr="00353CD6">
        <w:rPr>
          <w:b/>
        </w:rPr>
        <w:t>Network characteristic</w:t>
      </w:r>
    </w:p>
    <w:p w:rsidR="00353CD6" w:rsidRDefault="00353CD6" w:rsidP="003F1759"/>
    <w:p w:rsidR="003300C1" w:rsidRDefault="003300C1" w:rsidP="003F1759">
      <w:r>
        <w:t xml:space="preserve">The Friends and Family </w:t>
      </w:r>
      <w:r w:rsidR="00C27718">
        <w:t xml:space="preserve">network consists of </w:t>
      </w:r>
      <w:r w:rsidR="00C27718" w:rsidRPr="00C27718">
        <w:rPr>
          <w:color w:val="FF0000"/>
        </w:rPr>
        <w:t>[85]</w:t>
      </w:r>
      <w:r w:rsidR="00C27718">
        <w:t xml:space="preserve"> nodes. The</w:t>
      </w:r>
      <w:r w:rsidR="00B81BC7">
        <w:t xml:space="preserve"> friends distribution varies across time as the self perceived closeness is measured at </w:t>
      </w:r>
      <w:r w:rsidR="003F67B1">
        <w:t>three</w:t>
      </w:r>
      <w:r w:rsidR="00B81BC7">
        <w:t xml:space="preserve"> different times. </w:t>
      </w:r>
      <w:r w:rsidR="00DD6B30">
        <w:t xml:space="preserve">The degree distribution </w:t>
      </w:r>
      <w:r w:rsidR="00E60DFA">
        <w:t>at t=1 is</w:t>
      </w:r>
      <w:r w:rsidR="00DD6B30">
        <w:t xml:space="preserve"> shown in </w:t>
      </w:r>
      <w:r w:rsidR="00F86E9A" w:rsidRPr="00F86E9A">
        <w:rPr>
          <w:color w:val="FF0000"/>
        </w:rPr>
        <w:t>[</w:t>
      </w:r>
      <w:r w:rsidR="00F86E9A">
        <w:rPr>
          <w:color w:val="FF0000"/>
        </w:rPr>
        <w:t>F</w:t>
      </w:r>
      <w:r w:rsidR="00F86E9A" w:rsidRPr="00F86E9A">
        <w:rPr>
          <w:color w:val="FF0000"/>
        </w:rPr>
        <w:t>ig</w:t>
      </w:r>
      <w:r w:rsidR="00F86E9A">
        <w:rPr>
          <w:color w:val="FF0000"/>
        </w:rPr>
        <w:t>ure</w:t>
      </w:r>
      <w:r w:rsidR="00F86E9A" w:rsidRPr="00F86E9A">
        <w:rPr>
          <w:color w:val="FF0000"/>
        </w:rPr>
        <w:t>]</w:t>
      </w:r>
      <w:r w:rsidR="00E60DFA">
        <w:t>.</w:t>
      </w:r>
      <w:r w:rsidR="00FC5F20">
        <w:t xml:space="preserve"> </w:t>
      </w:r>
      <w:r w:rsidR="00E60DFA">
        <w:t>T</w:t>
      </w:r>
      <w:r w:rsidR="00B81BC7">
        <w:t>he</w:t>
      </w:r>
      <w:r w:rsidR="00B81BC7">
        <w:t xml:space="preserve"> </w:t>
      </w:r>
      <w:proofErr w:type="spellStart"/>
      <w:r w:rsidR="00B81BC7">
        <w:t>average</w:t>
      </w:r>
      <w:r w:rsidR="003F1759">
        <w:t>degree</w:t>
      </w:r>
      <w:proofErr w:type="spellEnd"/>
      <w:r w:rsidR="003F1759">
        <w:t xml:space="preserve"> distribution is quite stable over the measurement </w:t>
      </w:r>
      <w:r w:rsidR="0009265E">
        <w:t>period</w:t>
      </w:r>
      <w:r w:rsidR="003F1759">
        <w:t xml:space="preserve"> </w:t>
      </w:r>
      <w:r w:rsidR="005D0C09">
        <w:t>standing at 6.7, 6.1, 7.4for t=1...3</w:t>
      </w:r>
      <w:r w:rsidR="00DD6B30">
        <w:t>.</w:t>
      </w:r>
      <w:r w:rsidR="003E004D">
        <w:t xml:space="preserve"> In comparison</w:t>
      </w:r>
      <w:r w:rsidR="004A0B7B">
        <w:t>, the average degree amounted to 3 at the end of the Framingham Heart Study</w:t>
      </w:r>
      <w:r w:rsidR="00FF2AFF">
        <w:t>.</w:t>
      </w:r>
    </w:p>
    <w:p w:rsidR="00C101BD" w:rsidRPr="000F078F" w:rsidRDefault="00C101BD" w:rsidP="003F1759">
      <w:r>
        <w:t xml:space="preserve">We test a power law to fit the degree </w:t>
      </w:r>
      <w:r w:rsidR="006B1BF9">
        <w:t>distribution of the n</w:t>
      </w:r>
      <w:r w:rsidR="006B1BF9" w:rsidRPr="000F078F">
        <w:t xml:space="preserve">etwork as </w:t>
      </w:r>
      <w:r w:rsidRPr="000F078F">
        <w:t>many social networks are considered to be scale free networks</w:t>
      </w:r>
      <w:r w:rsidR="00F70B73" w:rsidRPr="000F078F">
        <w:fldChar w:fldCharType="begin" w:fldLock="1"/>
      </w:r>
      <w:r w:rsidR="006317D1">
        <w:instrText>ADDIN CSL_CITATION { "citationItems" : [ { "id" : "ITEM-1", "itemData" : { "ISSN" : "0036-8075", "author" : [ { "dropping-particle" : "", "family" : "Barab\u00e1si", "given" : "Albert-L\u00e1szl\u00f3", "non-dropping-particle" : "", "parse-names" : false, "suffix" : "" } ], "container-title" : "Science", "id" : "ITEM-1", "issue" : "5939", "issued" : { "date-parts" : [ [ "2009" ] ] }, "page" : "412-413", "publisher" : "American Association for the Advancement of Science", "title" : "Scale-free networks: a decade and beyond", "type" : "article-journal", "volume" : "325" }, "uris" : [ "http://www.mendeley.com/documents/?uuid=213bd0ea-6bfe-4b49-ab26-7c5490cc5db4" ] } ], "mendeley" : { "previouslyFormattedCitation" : "(Barab\u00e1si, 2009)" }, "properties" : { "noteIndex" : 0 }, "schema" : "https://github.com/citation-style-language/schema/raw/master/csl-citation.json" }</w:instrText>
      </w:r>
      <w:r w:rsidR="00F70B73" w:rsidRPr="000F078F">
        <w:fldChar w:fldCharType="separate"/>
      </w:r>
      <w:r w:rsidR="000F078F" w:rsidRPr="000F078F">
        <w:rPr>
          <w:noProof/>
        </w:rPr>
        <w:t>(Barabási, 2009)</w:t>
      </w:r>
      <w:r w:rsidR="00F70B73" w:rsidRPr="000F078F">
        <w:fldChar w:fldCharType="end"/>
      </w:r>
      <w:r w:rsidR="0024042B">
        <w:t xml:space="preserve"> and find that the Friends and Family network exhibit</w:t>
      </w:r>
      <w:r w:rsidR="00D532DC">
        <w:t>s</w:t>
      </w:r>
      <w:r w:rsidR="0024042B">
        <w:t xml:space="preserve"> characteristics of </w:t>
      </w:r>
      <w:r w:rsidR="005649F6">
        <w:t xml:space="preserve">a </w:t>
      </w:r>
      <w:r w:rsidR="0024042B">
        <w:t>scale-free network.</w:t>
      </w:r>
    </w:p>
    <w:p w:rsidR="00314ED8" w:rsidRPr="000F078F" w:rsidRDefault="000F078F" w:rsidP="000F078F">
      <w:pPr>
        <w:tabs>
          <w:tab w:val="left" w:pos="1620"/>
        </w:tabs>
      </w:pPr>
      <w:r w:rsidRPr="000F078F">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tblGrid>
      <w:tr w:rsidR="005D0C09" w:rsidTr="00E975CE">
        <w:tc>
          <w:tcPr>
            <w:tcW w:w="8755" w:type="dxa"/>
          </w:tcPr>
          <w:p w:rsidR="005D0C09" w:rsidRDefault="00E975CE" w:rsidP="00E975CE">
            <w:pPr>
              <w:jc w:val="center"/>
            </w:pPr>
            <w:r>
              <w:rPr>
                <w:noProof/>
                <w:lang w:eastAsia="en-GB"/>
              </w:rPr>
              <w:drawing>
                <wp:inline distT="0" distB="0" distL="0" distR="0">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00314ED8" w:rsidRPr="00593555" w:rsidRDefault="00D15ACE" w:rsidP="00593555">
      <w:pPr>
        <w:pStyle w:val="Caption"/>
        <w:ind w:left="284" w:right="843" w:firstLine="0"/>
      </w:pPr>
      <w:bookmarkStart w:id="13" w:name="_Ref386577152"/>
      <w:r w:rsidRPr="00593555">
        <w:t xml:space="preserve">Figure </w:t>
      </w:r>
      <w:fldSimple w:instr=" SEQ Figure \* ARABIC ">
        <w:r w:rsidR="0098030D" w:rsidRPr="00593555">
          <w:t>1</w:t>
        </w:r>
      </w:fldSimple>
      <w:bookmarkEnd w:id="13"/>
      <w:r w:rsidRPr="00593555">
        <w:t>: Average degre</w:t>
      </w:r>
      <w:r w:rsidR="00E975CE" w:rsidRPr="00593555">
        <w:t>e distribution of close friends</w:t>
      </w:r>
      <w:r w:rsidR="00593555">
        <w:t>. The parameters of the power law fitted function y=</w:t>
      </w:r>
      <w:proofErr w:type="spellStart"/>
      <w:r w:rsidR="00593555">
        <w:t>αx</w:t>
      </w:r>
      <w:r w:rsidR="00593555" w:rsidRPr="00593555">
        <w:rPr>
          <w:vertAlign w:val="superscript"/>
        </w:rPr>
        <w:t>β</w:t>
      </w:r>
      <w:proofErr w:type="spellEnd"/>
      <w:r w:rsidR="00593555">
        <w:t xml:space="preserve"> are α=55 and </w:t>
      </w:r>
      <w:r w:rsidR="00593555" w:rsidRPr="00593555">
        <w:t>β</w:t>
      </w:r>
      <w:r w:rsidR="00593555">
        <w:t>=-1.07</w:t>
      </w:r>
      <w:r w:rsidR="00984659">
        <w:t>.</w:t>
      </w:r>
    </w:p>
    <w:p w:rsidR="00640FDA" w:rsidRDefault="00821460" w:rsidP="00BB45CE">
      <w:r>
        <w:t xml:space="preserve">We test two types of </w:t>
      </w:r>
      <w:proofErr w:type="spellStart"/>
      <w:r>
        <w:t>assortativity</w:t>
      </w:r>
      <w:proofErr w:type="spellEnd"/>
      <w:r>
        <w:t xml:space="preserve">: social </w:t>
      </w:r>
      <w:proofErr w:type="spellStart"/>
      <w:r>
        <w:t>assortativity</w:t>
      </w:r>
      <w:proofErr w:type="spellEnd"/>
      <w:r>
        <w:t xml:space="preserve"> and weight </w:t>
      </w:r>
      <w:proofErr w:type="spellStart"/>
      <w:r>
        <w:t>assortativity</w:t>
      </w:r>
      <w:proofErr w:type="spellEnd"/>
      <w:r>
        <w:t>. W</w:t>
      </w:r>
      <w:r w:rsidR="00307962">
        <w:t xml:space="preserve">e run the regression of the average nearest </w:t>
      </w:r>
      <w:proofErr w:type="spellStart"/>
      <w:r w:rsidR="00307962">
        <w:t>neighbor</w:t>
      </w:r>
      <w:proofErr w:type="spellEnd"/>
      <w:r w:rsidR="00307962">
        <w:t xml:space="preserve"> degree against the average degree of a </w:t>
      </w:r>
      <w:r w:rsidR="00307962">
        <w:lastRenderedPageBreak/>
        <w:t xml:space="preserve">subject to </w:t>
      </w:r>
      <w:r w:rsidR="00D532DC">
        <w:t>test</w:t>
      </w:r>
      <w:r w:rsidR="00307962">
        <w:t xml:space="preserve"> the social </w:t>
      </w:r>
      <w:proofErr w:type="spellStart"/>
      <w:r w:rsidR="00307962">
        <w:t>assortativity</w:t>
      </w:r>
      <w:proofErr w:type="spellEnd"/>
      <w:r w:rsidR="00307962">
        <w:t xml:space="preserve"> of the network. </w:t>
      </w:r>
      <w:r w:rsidR="00AF2C28">
        <w:t xml:space="preserve">The Friends and Family network </w:t>
      </w:r>
      <w:r w:rsidR="00F2131F">
        <w:t xml:space="preserve">is </w:t>
      </w:r>
      <w:r w:rsidR="00640FDA">
        <w:t xml:space="preserve">socially </w:t>
      </w:r>
      <w:proofErr w:type="spellStart"/>
      <w:r w:rsidR="00AF2C28">
        <w:t>assortative</w:t>
      </w:r>
      <w:proofErr w:type="spellEnd"/>
      <w:r w:rsidR="00AF2C28">
        <w:t xml:space="preserve"> as shown in </w:t>
      </w:r>
      <w:r w:rsidR="00F70B73">
        <w:fldChar w:fldCharType="begin"/>
      </w:r>
      <w:r w:rsidR="00723096">
        <w:instrText xml:space="preserve"> REF _Ref386579732 \h </w:instrText>
      </w:r>
      <w:r w:rsidR="00F70B73">
        <w:fldChar w:fldCharType="separate"/>
      </w:r>
      <w:r w:rsidR="00723096">
        <w:t xml:space="preserve">Figure </w:t>
      </w:r>
      <w:r w:rsidR="00723096">
        <w:rPr>
          <w:noProof/>
        </w:rPr>
        <w:t>2</w:t>
      </w:r>
      <w:r w:rsidR="00F70B73">
        <w:fldChar w:fldCharType="end"/>
      </w:r>
      <w:r w:rsidR="00686DF2">
        <w:t>as</w:t>
      </w:r>
      <w:r w:rsidR="00640FDA">
        <w:t xml:space="preserve"> subjects with a higher </w:t>
      </w:r>
      <w:r w:rsidR="00686DF2">
        <w:t xml:space="preserve">number of close friends </w:t>
      </w:r>
      <w:r w:rsidR="00640FDA">
        <w:t xml:space="preserve">tend to have a higher nearest </w:t>
      </w:r>
      <w:proofErr w:type="spellStart"/>
      <w:r w:rsidR="00640FDA">
        <w:t>neighbor</w:t>
      </w:r>
      <w:proofErr w:type="spellEnd"/>
      <w:r w:rsidR="00640FDA">
        <w:t xml:space="preserve"> </w:t>
      </w:r>
      <w:proofErr w:type="spellStart"/>
      <w:r w:rsidR="00640FDA">
        <w:t>degree.</w:t>
      </w:r>
      <w:r w:rsidR="00307962">
        <w:t>We</w:t>
      </w:r>
      <w:proofErr w:type="spellEnd"/>
      <w:r w:rsidR="00307962">
        <w:t xml:space="preserve"> find a positive coefficient on the average degree equal to 0.34 and significant at the 5% level.</w:t>
      </w:r>
    </w:p>
    <w:p w:rsidR="00821460" w:rsidRDefault="00821460" w:rsidP="00BB45CE"/>
    <w:p w:rsidR="0098030D" w:rsidRDefault="00AE491C" w:rsidP="00AE491C">
      <w:pPr>
        <w:keepNext/>
        <w:jc w:val="center"/>
      </w:pPr>
      <w:r>
        <w:rPr>
          <w:noProof/>
          <w:lang w:eastAsia="en-GB"/>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593555">
      <w:pPr>
        <w:pStyle w:val="Caption"/>
      </w:pPr>
      <w:r>
        <w:t xml:space="preserve">Figure </w:t>
      </w:r>
      <w:r w:rsidR="005D4436">
        <w:fldChar w:fldCharType="begin"/>
      </w:r>
      <w:r w:rsidR="005D4436">
        <w:instrText xml:space="preserve"> SEQ Figure \* ARABIC </w:instrText>
      </w:r>
      <w:r w:rsidR="005D4436">
        <w:fldChar w:fldCharType="separate"/>
      </w:r>
      <w:r>
        <w:rPr>
          <w:noProof/>
        </w:rPr>
        <w:t>2</w:t>
      </w:r>
      <w:r w:rsidR="005D4436">
        <w:fldChar w:fldCharType="end"/>
      </w:r>
      <w:r>
        <w:t xml:space="preserve">: </w:t>
      </w:r>
      <w:r w:rsidR="00E7232B">
        <w:t xml:space="preserve">Friends and Family Network </w:t>
      </w:r>
      <w:r w:rsidR="00E56C49">
        <w:t xml:space="preserve">Social </w:t>
      </w:r>
      <w:proofErr w:type="spellStart"/>
      <w:r w:rsidR="00693FFF">
        <w:t>Assortativity</w:t>
      </w:r>
      <w:proofErr w:type="spellEnd"/>
      <w:r w:rsidR="00984659">
        <w:t>.</w:t>
      </w:r>
    </w:p>
    <w:p w:rsidR="00BB45CE" w:rsidRDefault="00640FDA" w:rsidP="00BB45CE">
      <w:r>
        <w:t xml:space="preserve">However </w:t>
      </w:r>
      <w:r w:rsidR="00C101BD">
        <w:t>we do not obtain</w:t>
      </w:r>
      <w:r w:rsidR="009107FF">
        <w:t xml:space="preserve"> significant</w:t>
      </w:r>
      <w:r w:rsidR="00C101BD">
        <w:t xml:space="preserve"> results </w:t>
      </w:r>
      <w:r w:rsidR="001A117C">
        <w:t xml:space="preserve">to </w:t>
      </w:r>
      <w:r w:rsidR="00C101BD">
        <w:t xml:space="preserve">support </w:t>
      </w:r>
      <w:r w:rsidR="00821460">
        <w:t>weight</w:t>
      </w:r>
      <w:r w:rsidR="00D532DC">
        <w:t xml:space="preserve"> </w:t>
      </w:r>
      <w:proofErr w:type="spellStart"/>
      <w:r w:rsidR="00C101BD">
        <w:t>assortativity</w:t>
      </w:r>
      <w:proofErr w:type="spellEnd"/>
      <w:r w:rsidR="00307962">
        <w:t xml:space="preserve"> when running the regression of the average nearest </w:t>
      </w:r>
      <w:proofErr w:type="spellStart"/>
      <w:r w:rsidR="00307962">
        <w:t>neighbor</w:t>
      </w:r>
      <w:proofErr w:type="spellEnd"/>
      <w:r w:rsidR="00307962">
        <w:t xml:space="preserve"> we</w:t>
      </w:r>
      <w:r w:rsidR="00E56C49">
        <w:t xml:space="preserve">ight against a subject's weight (see </w:t>
      </w:r>
      <w:r w:rsidR="00F70B73">
        <w:fldChar w:fldCharType="begin"/>
      </w:r>
      <w:r w:rsidR="00E56C49">
        <w:instrText xml:space="preserve"> REF _Ref387172154 \h </w:instrText>
      </w:r>
      <w:r w:rsidR="00F70B73">
        <w:fldChar w:fldCharType="separate"/>
      </w:r>
      <w:r w:rsidR="00E56C49">
        <w:t xml:space="preserve">Figure </w:t>
      </w:r>
      <w:r w:rsidR="00E56C49">
        <w:rPr>
          <w:noProof/>
        </w:rPr>
        <w:t>3</w:t>
      </w:r>
      <w:r w:rsidR="00F70B73">
        <w:fldChar w:fldCharType="end"/>
      </w:r>
      <w:r w:rsidR="00E56C49">
        <w:t>)</w:t>
      </w:r>
      <w:r w:rsidR="001A117C">
        <w:t>. The coefficient of the regression</w:t>
      </w:r>
      <w:r w:rsidR="00E55E06">
        <w:t xml:space="preserve"> slope</w:t>
      </w:r>
      <w:r w:rsidR="001A117C">
        <w:t xml:space="preserve"> of the average nearest </w:t>
      </w:r>
      <w:proofErr w:type="spellStart"/>
      <w:r w:rsidR="001A117C">
        <w:t>neighbor</w:t>
      </w:r>
      <w:proofErr w:type="spellEnd"/>
      <w:r w:rsidR="001A117C">
        <w:t xml:space="preserve"> weight against a subject weight is not significant at any conventional level.</w:t>
      </w:r>
      <w:r w:rsidR="00B536F5">
        <w:t xml:space="preserve"> We therefore conclude that a subject weight is not associated with its average nearest </w:t>
      </w:r>
      <w:proofErr w:type="spellStart"/>
      <w:r w:rsidR="00B536F5">
        <w:t>neighbor</w:t>
      </w:r>
      <w:proofErr w:type="spellEnd"/>
      <w:r w:rsidR="00B536F5">
        <w:t xml:space="preserve"> weight.</w:t>
      </w:r>
      <w:r w:rsidR="00D532DC">
        <w:t xml:space="preserve"> </w:t>
      </w:r>
    </w:p>
    <w:p w:rsidR="0098030D" w:rsidRDefault="00AE491C" w:rsidP="00AE491C">
      <w:pPr>
        <w:keepNext/>
        <w:jc w:val="center"/>
      </w:pPr>
      <w:r>
        <w:rPr>
          <w:noProof/>
          <w:lang w:eastAsia="en-GB"/>
        </w:rPr>
        <w:lastRenderedPageBreak/>
        <w:drawing>
          <wp:inline distT="0" distB="0" distL="0" distR="0">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593555">
      <w:pPr>
        <w:pStyle w:val="Caption"/>
      </w:pPr>
      <w:bookmarkStart w:id="14" w:name="_Ref386579732"/>
      <w:r>
        <w:t xml:space="preserve">Figure </w:t>
      </w:r>
      <w:r w:rsidR="00F70B73">
        <w:fldChar w:fldCharType="begin"/>
      </w:r>
      <w:r w:rsidR="00F70B73">
        <w:instrText xml:space="preserve"> SEQ Figure \* ARABIC </w:instrText>
      </w:r>
      <w:r w:rsidR="00F70B73">
        <w:fldChar w:fldCharType="separate"/>
      </w:r>
      <w:r>
        <w:rPr>
          <w:noProof/>
        </w:rPr>
        <w:t>2</w:t>
      </w:r>
      <w:r w:rsidR="00F70B73">
        <w:fldChar w:fldCharType="end"/>
      </w:r>
      <w:bookmarkEnd w:id="14"/>
      <w:r>
        <w:t xml:space="preserve">: </w:t>
      </w:r>
      <w:r w:rsidR="00E7232B">
        <w:t xml:space="preserve">Friends and Family Network </w:t>
      </w:r>
      <w:r w:rsidR="00E56C49">
        <w:t xml:space="preserve">Social </w:t>
      </w:r>
      <w:proofErr w:type="spellStart"/>
      <w:r w:rsidR="00693FFF">
        <w:t>Assortativity</w:t>
      </w:r>
      <w:proofErr w:type="spellEnd"/>
      <w:r w:rsidR="00984659">
        <w:t>.</w:t>
      </w:r>
    </w:p>
    <w:p w:rsidR="00693FFF" w:rsidRDefault="00640FDA" w:rsidP="00693FFF">
      <w:pPr>
        <w:keepNext/>
        <w:jc w:val="center"/>
      </w:pPr>
      <w:r>
        <w:rPr>
          <w:noProof/>
          <w:lang w:eastAsia="en-GB"/>
        </w:rPr>
        <w:lastRenderedPageBreak/>
        <w:drawing>
          <wp:inline distT="0" distB="0" distL="0" distR="0">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RDefault="00693FFF" w:rsidP="00593555">
      <w:pPr>
        <w:pStyle w:val="Caption"/>
      </w:pPr>
      <w:bookmarkStart w:id="15" w:name="_Ref387172154"/>
      <w:r>
        <w:t xml:space="preserve">Figure </w:t>
      </w:r>
      <w:fldSimple w:instr=" SEQ Figure \* ARABIC ">
        <w:r w:rsidR="00C101BD">
          <w:rPr>
            <w:noProof/>
          </w:rPr>
          <w:t>3</w:t>
        </w:r>
      </w:fldSimple>
      <w:bookmarkEnd w:id="15"/>
      <w:r>
        <w:t xml:space="preserve">: Friends and Family Network </w:t>
      </w:r>
      <w:r w:rsidR="00E56C49">
        <w:t xml:space="preserve">Weight </w:t>
      </w:r>
      <w:proofErr w:type="spellStart"/>
      <w:r>
        <w:t>Assortativity</w:t>
      </w:r>
      <w:proofErr w:type="spellEnd"/>
    </w:p>
    <w:p w:rsidR="00AA5CA9" w:rsidRDefault="00AA5CA9" w:rsidP="00BB45CE">
      <w:pPr>
        <w:rPr>
          <w:color w:val="FF0000"/>
        </w:rPr>
      </w:pPr>
    </w:p>
    <w:p w:rsidR="003215BC" w:rsidRDefault="003215BC" w:rsidP="003215BC">
      <w:pPr>
        <w:rPr>
          <w:color w:val="FF0000"/>
        </w:rPr>
      </w:pPr>
      <w:r w:rsidRPr="0071040B">
        <w:rPr>
          <w:color w:val="FF0000"/>
        </w:rPr>
        <w:t>[</w:t>
      </w:r>
      <w:r>
        <w:rPr>
          <w:color w:val="FF0000"/>
        </w:rPr>
        <w:t>Regression result</w:t>
      </w:r>
      <w:r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r w:rsidR="00B476B4">
        <w:rPr>
          <w:color w:val="FF0000"/>
        </w:rPr>
        <w:tab/>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6F77C838" w:rsidP="00A36EA2">
      <w:pPr>
        <w:rPr>
          <w:color w:val="FF0000"/>
        </w:rPr>
      </w:pPr>
      <w:r w:rsidRPr="6F77C838">
        <w:rPr>
          <w:color w:val="FF0000"/>
        </w:rPr>
        <w:t>[Society implication]</w:t>
      </w:r>
    </w:p>
    <w:p w:rsidR="6F77C838" w:rsidRDefault="6F77C838" w:rsidP="6F77C838">
      <w:r w:rsidRPr="6F77C838">
        <w:t xml:space="preserve">Our findings relate in parts to the outcome of the analysis of </w:t>
      </w:r>
      <w:proofErr w:type="spellStart"/>
      <w:r w:rsidRPr="6F77C838">
        <w:t>Christakys</w:t>
      </w:r>
      <w:proofErr w:type="spellEnd"/>
      <w:r w:rsidRPr="6F77C838">
        <w:t>. We solved to some extend the question raised in his talk at Dartmouth College in 2008 concerning the outcome in a different socio-economic environment, where perception of obesity is different.</w:t>
      </w:r>
    </w:p>
    <w:p w:rsidR="6F77C838" w:rsidRDefault="6F77C838" w:rsidP="6F77C838"/>
    <w:p w:rsidR="6F77C838" w:rsidRDefault="6F77C838" w:rsidP="6F77C838">
      <w:r w:rsidRPr="6F77C838">
        <w:rPr>
          <w:rFonts w:ascii="Arial" w:eastAsia="Arial" w:hAnsi="Arial" w:cs="Arial"/>
          <w:b/>
          <w:bCs/>
        </w:rPr>
        <w:t>Society implication</w:t>
      </w:r>
    </w:p>
    <w:p w:rsidR="6F77C838" w:rsidRDefault="6F77C838" w:rsidP="6F77C838"/>
    <w:p w:rsidR="6F77C838" w:rsidRDefault="0B853047" w:rsidP="6F77C838">
      <w:r w:rsidRPr="283E252D">
        <w:t>The society implication of clearly understanding the to what extend and in which manner social spreading of obesity happens are huge. Given that it is morally unacceptable to marginalize obese people and even the small direct correlation is hard to link causation, we prone a more holistic approach were obesity is seen as a risk factor as opposed to a disease</w:t>
      </w:r>
      <w:r w:rsidR="6F77C838" w:rsidRPr="283E252D">
        <w:rPr>
          <w:rStyle w:val="FootnoteReference"/>
        </w:rPr>
        <w:footnoteReference w:id="2"/>
      </w:r>
      <w:r w:rsidRPr="283E252D">
        <w:t xml:space="preserve">. Thus this risk factor has to be contained through environmental reforms on one hand like easier access to sport facilities, bike to work initiatives, promotion of healthier food alternatives in canteen settings, and social reforms on the other hand where risk </w:t>
      </w:r>
      <w:r w:rsidRPr="283E252D">
        <w:lastRenderedPageBreak/>
        <w:t>reduction due to obesity is rewarded and scheduled physical activity is integrated in the daily work routine. Politics also have to play a role as they did with the tobacco advertisement restrictions and warning by translating these efforts to the junk food advertisement restrictions and clearer formulated food declaration, lobbying for "junk food free" as they did for smoke free</w:t>
      </w:r>
      <w:r w:rsidR="6F77C838" w:rsidRPr="283E252D">
        <w:rPr>
          <w:rStyle w:val="FootnoteReference"/>
        </w:rPr>
        <w:footnoteReference w:id="3"/>
      </w:r>
      <w:r w:rsidRPr="283E252D">
        <w:t>.</w:t>
      </w:r>
      <w:r w:rsidR="6F77C838">
        <w:br/>
      </w:r>
    </w:p>
    <w:p w:rsidR="6F77C838" w:rsidRDefault="6F77C838" w:rsidP="6F77C838"/>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w:t>
      </w:r>
      <w:proofErr w:type="spellStart"/>
      <w:r w:rsidRPr="00D148E1">
        <w:rPr>
          <w:color w:val="FF0000"/>
        </w:rPr>
        <w:t>Homophily</w:t>
      </w:r>
      <w:proofErr w:type="spellEnd"/>
      <w:r w:rsidRPr="00D148E1">
        <w:rPr>
          <w:color w:val="FF0000"/>
        </w:rPr>
        <w:t>, social influence]</w:t>
      </w:r>
    </w:p>
    <w:p w:rsidR="00B476B4" w:rsidRDefault="00B476B4" w:rsidP="00BB45CE"/>
    <w:p w:rsidR="003215BC" w:rsidRPr="00891A5E" w:rsidRDefault="00883747" w:rsidP="00BB45CE">
      <w:r>
        <w:t xml:space="preserve">Despite </w:t>
      </w:r>
      <w:proofErr w:type="spellStart"/>
      <w:r w:rsidRPr="000B7494">
        <w:t>Aharony</w:t>
      </w:r>
      <w:proofErr w:type="spellEnd"/>
      <w:r>
        <w:t xml:space="preserve"> et al.</w:t>
      </w:r>
      <w:r w:rsidR="00FD2FB1">
        <w:t xml:space="preserve"> claims</w:t>
      </w:r>
      <w:r>
        <w:t xml:space="preserve">, the Friends and Family network </w:t>
      </w:r>
      <w:r w:rsidR="00BC2A53">
        <w:t>does</w:t>
      </w:r>
      <w:r w:rsidR="00A82078">
        <w:t xml:space="preserve"> </w:t>
      </w:r>
      <w:r w:rsidR="00C36916">
        <w:t xml:space="preserve">not </w:t>
      </w:r>
      <w:r w:rsidR="00BC2A53">
        <w:t>appear to be</w:t>
      </w:r>
      <w:r w:rsidR="00C36916">
        <w:t xml:space="preserve"> repre</w:t>
      </w:r>
      <w:r w:rsidR="00B476B4">
        <w:t>s</w:t>
      </w:r>
      <w:r w:rsidR="00C36916">
        <w:t>entati</w:t>
      </w:r>
      <w:r w:rsidR="00B476B4">
        <w:t>ve of the US population</w:t>
      </w:r>
      <w:r w:rsidR="00105582">
        <w:t xml:space="preserve"> as all subjects were members of a residential living community living next to MIT</w:t>
      </w:r>
      <w:r w:rsidR="00B476B4">
        <w:t xml:space="preserve">. </w:t>
      </w:r>
      <w:proofErr w:type="spellStart"/>
      <w:r w:rsidR="00B476B4">
        <w:t>Flegal</w:t>
      </w:r>
      <w:proofErr w:type="spellEnd"/>
      <w:r w:rsidR="00B476B4">
        <w:t xml:space="preserve"> et al. have found a prevalence of obesity of 35% among US adults</w:t>
      </w:r>
      <w:r w:rsidR="002A123F">
        <w:t>.</w:t>
      </w:r>
      <w:r w:rsidR="00A82078">
        <w:t xml:space="preserve"> In comparison, the mean BMI in the Friends and Family network is 23</w:t>
      </w:r>
      <w:r w:rsidR="00E2061D">
        <w:t xml:space="preserve"> and 5 out of the </w:t>
      </w:r>
      <w:r w:rsidR="00E2061D" w:rsidRPr="00E2061D">
        <w:rPr>
          <w:color w:val="FF0000"/>
        </w:rPr>
        <w:t>[</w:t>
      </w:r>
      <w:r w:rsidR="00E2061D">
        <w:rPr>
          <w:color w:val="FF0000"/>
        </w:rPr>
        <w:t>8</w:t>
      </w:r>
      <w:r w:rsidR="00E2061D" w:rsidRPr="00E2061D">
        <w:rPr>
          <w:color w:val="FF0000"/>
        </w:rPr>
        <w:t>5]</w:t>
      </w:r>
      <w:r w:rsidR="00E2061D">
        <w:t xml:space="preserve"> subjects are obese in the sample</w:t>
      </w:r>
      <w:r w:rsidR="004142CB">
        <w:t xml:space="preserve"> at the beginning of the study.</w:t>
      </w:r>
    </w:p>
    <w:p w:rsidR="000D59AC" w:rsidRDefault="000D59AC" w:rsidP="000D59AC">
      <w:pPr>
        <w:keepNext/>
        <w:jc w:val="center"/>
      </w:pPr>
      <w:r>
        <w:rPr>
          <w:noProof/>
          <w:lang w:eastAsia="en-GB"/>
        </w:rPr>
        <w:drawing>
          <wp:inline distT="0" distB="0" distL="0" distR="0">
            <wp:extent cx="5334000" cy="4000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D59AC" w:rsidRDefault="000D59AC" w:rsidP="00BA6C8F">
      <w:pPr>
        <w:pStyle w:val="Caption"/>
        <w:ind w:left="426" w:firstLine="0"/>
      </w:pPr>
      <w:r>
        <w:t>Figure</w:t>
      </w:r>
      <w:r w:rsidR="00F86E9A">
        <w:t xml:space="preserve"> </w:t>
      </w:r>
      <w:r w:rsidR="00F86E9A" w:rsidRPr="00F86E9A">
        <w:rPr>
          <w:color w:val="FF0000"/>
        </w:rPr>
        <w:t>[]</w:t>
      </w:r>
      <w:r>
        <w:t>: BMI distribution of the Friends and Family network</w:t>
      </w:r>
      <w:r w:rsidR="00BA6C8F">
        <w:t xml:space="preserve">. </w:t>
      </w:r>
      <w:r w:rsidR="00B65948">
        <w:t>A</w:t>
      </w:r>
      <w:r w:rsidR="009426EA">
        <w:t xml:space="preserve"> </w:t>
      </w:r>
      <w:r w:rsidR="00BA6C8F">
        <w:t xml:space="preserve">lognormal </w:t>
      </w:r>
      <w:r w:rsidR="00B77772">
        <w:t>distribution</w:t>
      </w:r>
      <w:r w:rsidR="00BA6C8F">
        <w:t xml:space="preserve"> </w:t>
      </w:r>
      <w:r w:rsidR="00B65948">
        <w:t xml:space="preserve">is fitted </w:t>
      </w:r>
      <w:r w:rsidR="00BA6C8F">
        <w:t xml:space="preserve">to the BMI </w:t>
      </w:r>
      <w:r w:rsidR="009426EA">
        <w:t>data</w:t>
      </w:r>
      <w:r w:rsidR="00936518">
        <w:t xml:space="preserve"> with</w:t>
      </w:r>
      <w:r w:rsidR="00B77772">
        <w:t xml:space="preserve"> a mean of </w:t>
      </w:r>
      <w:r w:rsidR="00BA6C8F">
        <w:t xml:space="preserve">3.13 and </w:t>
      </w:r>
      <w:r w:rsidR="00B77772">
        <w:t xml:space="preserve">standard deviation of </w:t>
      </w:r>
      <w:r w:rsidR="00BA6C8F">
        <w:t>0.18.</w:t>
      </w:r>
    </w:p>
    <w:p w:rsidR="000D59AC" w:rsidRPr="00B476B4" w:rsidRDefault="000D59AC" w:rsidP="00BB45CE"/>
    <w:p w:rsidR="1984E3FE" w:rsidRDefault="1984E3FE"/>
    <w:p w:rsidR="1984E3FE" w:rsidRDefault="1984E3FE" w:rsidP="1984E3FE">
      <w:pPr>
        <w:pStyle w:val="ListParagraph"/>
        <w:numPr>
          <w:ilvl w:val="1"/>
          <w:numId w:val="2"/>
        </w:numPr>
        <w:rPr>
          <w:color w:val="FF0000"/>
        </w:rPr>
      </w:pPr>
      <w:r w:rsidRPr="1984E3FE">
        <w:rPr>
          <w:color w:val="FF0000"/>
        </w:rPr>
        <w:t>Limitations [social influence]</w:t>
      </w:r>
    </w:p>
    <w:p w:rsidR="1984E3FE" w:rsidRDefault="1984E3FE"/>
    <w:p w:rsidR="584ADF03" w:rsidRDefault="6F9B3129">
      <w:proofErr w:type="spellStart"/>
      <w:r>
        <w:t>An other</w:t>
      </w:r>
      <w:proofErr w:type="spellEnd"/>
      <w:r>
        <w:t xml:space="preserve"> factor that a model purely bases on social contagion does not capture is the alimentary culture that is not directly related to social interaction but largely shared across a social group. Some populations, and therefor</w:t>
      </w:r>
      <w:r w:rsidR="00F86E9A">
        <w:t>e</w:t>
      </w:r>
      <w:r>
        <w:t xml:space="preserve"> the social networks they span, are much more at risk of a deregulation of equilibrium in their macronutrient intake, struggling to cover their protein needs while increasing their overall calories consumption.</w:t>
      </w:r>
      <w:r w:rsidR="584ADF03" w:rsidRPr="6F9B3129">
        <w:rPr>
          <w:rStyle w:val="FootnoteReference"/>
        </w:rPr>
        <w:footnoteReference w:id="4"/>
      </w: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6317D1" w:rsidRPr="006317D1" w:rsidRDefault="00F70B73">
      <w:pPr>
        <w:pStyle w:val="NormalWeb"/>
        <w:ind w:left="480" w:hanging="480"/>
        <w:divId w:val="18358174"/>
        <w:rPr>
          <w:noProof/>
        </w:rPr>
      </w:pPr>
      <w:r>
        <w:rPr>
          <w:b/>
        </w:rPr>
        <w:fldChar w:fldCharType="begin" w:fldLock="1"/>
      </w:r>
      <w:r w:rsidR="003068E9">
        <w:rPr>
          <w:b/>
        </w:rPr>
        <w:instrText xml:space="preserve">ADDIN Mendeley Bibliography CSL_BIBLIOGRAPHY </w:instrText>
      </w:r>
      <w:r>
        <w:rPr>
          <w:b/>
        </w:rPr>
        <w:fldChar w:fldCharType="separate"/>
      </w:r>
      <w:r w:rsidR="006317D1" w:rsidRPr="006317D1">
        <w:rPr>
          <w:noProof/>
        </w:rPr>
        <w:t xml:space="preserve">Aharony, N., Pan, W., Ip, C., Khayal, I., &amp; Pentland, A. (2011). Social fMRI: Investigating and shaping social mechanisms in the real world. </w:t>
      </w:r>
      <w:r w:rsidR="006317D1" w:rsidRPr="006317D1">
        <w:rPr>
          <w:i/>
          <w:iCs/>
          <w:noProof/>
        </w:rPr>
        <w:t>Pervasive and Mobile Computing</w:t>
      </w:r>
      <w:r w:rsidR="006317D1" w:rsidRPr="006317D1">
        <w:rPr>
          <w:noProof/>
        </w:rPr>
        <w:t xml:space="preserve">, </w:t>
      </w:r>
      <w:r w:rsidR="006317D1" w:rsidRPr="006317D1">
        <w:rPr>
          <w:i/>
          <w:iCs/>
          <w:noProof/>
        </w:rPr>
        <w:t>7</w:t>
      </w:r>
      <w:r w:rsidR="006317D1" w:rsidRPr="006317D1">
        <w:rPr>
          <w:noProof/>
        </w:rPr>
        <w:t>(6), 643–659.</w:t>
      </w:r>
    </w:p>
    <w:p w:rsidR="006317D1" w:rsidRPr="006317D1" w:rsidRDefault="006317D1">
      <w:pPr>
        <w:pStyle w:val="NormalWeb"/>
        <w:ind w:left="480" w:hanging="480"/>
        <w:divId w:val="2135907101"/>
        <w:rPr>
          <w:noProof/>
        </w:rPr>
      </w:pPr>
      <w:r w:rsidRPr="006317D1">
        <w:rPr>
          <w:noProof/>
        </w:rPr>
        <w:t xml:space="preserve">Barabási, A.-L. (2009). Scale-free networks: a decade and beyond. </w:t>
      </w:r>
      <w:r w:rsidRPr="006317D1">
        <w:rPr>
          <w:i/>
          <w:iCs/>
          <w:noProof/>
        </w:rPr>
        <w:t>Science</w:t>
      </w:r>
      <w:r w:rsidRPr="006317D1">
        <w:rPr>
          <w:noProof/>
        </w:rPr>
        <w:t xml:space="preserve">, </w:t>
      </w:r>
      <w:r w:rsidRPr="006317D1">
        <w:rPr>
          <w:i/>
          <w:iCs/>
          <w:noProof/>
        </w:rPr>
        <w:t>325</w:t>
      </w:r>
      <w:r w:rsidRPr="006317D1">
        <w:rPr>
          <w:noProof/>
        </w:rPr>
        <w:t>(5939), 412–413.</w:t>
      </w:r>
    </w:p>
    <w:p w:rsidR="00371666" w:rsidRPr="00371666" w:rsidRDefault="00371666">
      <w:pPr>
        <w:pStyle w:val="NormalWeb"/>
        <w:ind w:left="480" w:hanging="480"/>
        <w:divId w:val="2135907101"/>
        <w:rPr>
          <w:noProof/>
        </w:rPr>
      </w:pPr>
      <w:r w:rsidRPr="00371666">
        <w:rPr>
          <w:noProof/>
        </w:rPr>
        <w:t xml:space="preserve">Christakis, N. A., &amp; Fowler, J. H. (2007). The spread of obesity in a large social network over 32 years. </w:t>
      </w:r>
      <w:r w:rsidRPr="00371666">
        <w:rPr>
          <w:i/>
          <w:iCs/>
          <w:noProof/>
        </w:rPr>
        <w:t>New England Journal of Medicine</w:t>
      </w:r>
      <w:r w:rsidRPr="00371666">
        <w:rPr>
          <w:noProof/>
        </w:rPr>
        <w:t xml:space="preserve">, </w:t>
      </w:r>
      <w:r w:rsidRPr="00371666">
        <w:rPr>
          <w:i/>
          <w:iCs/>
          <w:noProof/>
        </w:rPr>
        <w:t>357</w:t>
      </w:r>
      <w:r w:rsidRPr="00371666">
        <w:rPr>
          <w:noProof/>
        </w:rPr>
        <w:t>(4), 370–379.</w:t>
      </w:r>
    </w:p>
    <w:p w:rsidR="006317D1" w:rsidRPr="006317D1" w:rsidRDefault="006317D1">
      <w:pPr>
        <w:pStyle w:val="NormalWeb"/>
        <w:ind w:left="480" w:hanging="480"/>
        <w:divId w:val="2135907101"/>
        <w:rPr>
          <w:noProof/>
        </w:rPr>
      </w:pPr>
      <w:r w:rsidRPr="006317D1">
        <w:rPr>
          <w:noProof/>
        </w:rPr>
        <w:t xml:space="preserve">Flegal, K. M., Carroll, M. D., Kit, B. K., &amp; Ogden, C. L. (2012). Prevalence of obesity and trends in the distribution of body mass index among US adults, 1999-2010. </w:t>
      </w:r>
      <w:r w:rsidRPr="006317D1">
        <w:rPr>
          <w:i/>
          <w:iCs/>
          <w:noProof/>
        </w:rPr>
        <w:t>Jama</w:t>
      </w:r>
      <w:r w:rsidRPr="006317D1">
        <w:rPr>
          <w:noProof/>
        </w:rPr>
        <w:t xml:space="preserve">, </w:t>
      </w:r>
      <w:r w:rsidRPr="006317D1">
        <w:rPr>
          <w:i/>
          <w:iCs/>
          <w:noProof/>
        </w:rPr>
        <w:t>307</w:t>
      </w:r>
      <w:r w:rsidRPr="006317D1">
        <w:rPr>
          <w:noProof/>
        </w:rPr>
        <w:t>(5), 491–497.</w:t>
      </w:r>
    </w:p>
    <w:p w:rsidR="006317D1" w:rsidRPr="006317D1" w:rsidRDefault="006317D1">
      <w:pPr>
        <w:pStyle w:val="NormalWeb"/>
        <w:ind w:left="480" w:hanging="480"/>
        <w:divId w:val="2135907101"/>
        <w:rPr>
          <w:noProof/>
        </w:rPr>
      </w:pPr>
      <w:r w:rsidRPr="006317D1">
        <w:rPr>
          <w:noProof/>
        </w:rPr>
        <w:t xml:space="preserve">Flegal, K. M., Williamson, D. F., Pamuk, E. R., &amp; Rosenberg, H. M. (2004). Estimating deaths attributable to obesity in the United States. </w:t>
      </w:r>
      <w:r w:rsidRPr="006317D1">
        <w:rPr>
          <w:i/>
          <w:iCs/>
          <w:noProof/>
        </w:rPr>
        <w:t>American Journal of Public Health</w:t>
      </w:r>
      <w:r w:rsidRPr="006317D1">
        <w:rPr>
          <w:noProof/>
        </w:rPr>
        <w:t xml:space="preserve">, </w:t>
      </w:r>
      <w:r w:rsidRPr="006317D1">
        <w:rPr>
          <w:i/>
          <w:iCs/>
          <w:noProof/>
        </w:rPr>
        <w:t>94</w:t>
      </w:r>
      <w:r w:rsidRPr="006317D1">
        <w:rPr>
          <w:noProof/>
        </w:rPr>
        <w:t>(9), 1486.</w:t>
      </w:r>
    </w:p>
    <w:p w:rsidR="006317D1" w:rsidRPr="006317D1" w:rsidRDefault="006317D1">
      <w:pPr>
        <w:pStyle w:val="NormalWeb"/>
        <w:ind w:left="480" w:hanging="480"/>
        <w:divId w:val="2135907101"/>
        <w:rPr>
          <w:noProof/>
        </w:rPr>
      </w:pPr>
      <w:r w:rsidRPr="006317D1">
        <w:rPr>
          <w:noProof/>
        </w:rPr>
        <w:t xml:space="preserve">Hill, A. L., Rand, D. G., Nowak, M. A., &amp; Christakis, N. A. (2010). Infectious disease modeling of social contagion in networks. </w:t>
      </w:r>
      <w:r w:rsidRPr="006317D1">
        <w:rPr>
          <w:i/>
          <w:iCs/>
          <w:noProof/>
        </w:rPr>
        <w:t>PLoS Computational Biology</w:t>
      </w:r>
      <w:r w:rsidRPr="006317D1">
        <w:rPr>
          <w:noProof/>
        </w:rPr>
        <w:t xml:space="preserve">, </w:t>
      </w:r>
      <w:r w:rsidRPr="006317D1">
        <w:rPr>
          <w:i/>
          <w:iCs/>
          <w:noProof/>
        </w:rPr>
        <w:t>6</w:t>
      </w:r>
      <w:r w:rsidRPr="006317D1">
        <w:rPr>
          <w:noProof/>
        </w:rPr>
        <w:t>(11), e1000968.</w:t>
      </w:r>
    </w:p>
    <w:p w:rsidR="006317D1" w:rsidRPr="006317D1" w:rsidRDefault="006317D1">
      <w:pPr>
        <w:pStyle w:val="NormalWeb"/>
        <w:ind w:left="480" w:hanging="480"/>
        <w:divId w:val="2135907101"/>
        <w:rPr>
          <w:noProof/>
        </w:rPr>
      </w:pPr>
      <w:r w:rsidRPr="00936518">
        <w:rPr>
          <w:lang w:val="de-DE"/>
        </w:rPr>
        <w:t xml:space="preserve">Kermack, W. O., &amp; McKendrick, A. G. (1932). </w:t>
      </w:r>
      <w:r w:rsidRPr="006317D1">
        <w:rPr>
          <w:noProof/>
        </w:rPr>
        <w:t xml:space="preserve">Contributions to the mathematical theory of epidemics. II. The problem of endemicity. </w:t>
      </w:r>
      <w:r w:rsidRPr="006317D1">
        <w:rPr>
          <w:i/>
          <w:iCs/>
          <w:noProof/>
        </w:rPr>
        <w:t>Proceedings of the Royal Society of London. Series A</w:t>
      </w:r>
      <w:r w:rsidRPr="006317D1">
        <w:rPr>
          <w:noProof/>
        </w:rPr>
        <w:t xml:space="preserve">, </w:t>
      </w:r>
      <w:r w:rsidRPr="006317D1">
        <w:rPr>
          <w:i/>
          <w:iCs/>
          <w:noProof/>
        </w:rPr>
        <w:t>138</w:t>
      </w:r>
      <w:r w:rsidRPr="006317D1">
        <w:rPr>
          <w:noProof/>
        </w:rPr>
        <w:t>(834), 55–83.</w:t>
      </w:r>
    </w:p>
    <w:p w:rsidR="006317D1" w:rsidRPr="006317D1" w:rsidRDefault="006317D1">
      <w:pPr>
        <w:pStyle w:val="NormalWeb"/>
        <w:ind w:left="480" w:hanging="480"/>
        <w:divId w:val="2135907101"/>
        <w:rPr>
          <w:noProof/>
        </w:rPr>
      </w:pPr>
      <w:r w:rsidRPr="006317D1">
        <w:rPr>
          <w:noProof/>
        </w:rPr>
        <w:t xml:space="preserve">Shalizi, C. R., &amp; Thomas, A. C. (2011). Homophily and contagion are generically confounded in observational social network studies. </w:t>
      </w:r>
      <w:r w:rsidRPr="006317D1">
        <w:rPr>
          <w:i/>
          <w:iCs/>
          <w:noProof/>
        </w:rPr>
        <w:t>Sociological Methods &amp; Research</w:t>
      </w:r>
      <w:r w:rsidRPr="006317D1">
        <w:rPr>
          <w:noProof/>
        </w:rPr>
        <w:t xml:space="preserve">, </w:t>
      </w:r>
      <w:r w:rsidRPr="006317D1">
        <w:rPr>
          <w:i/>
          <w:iCs/>
          <w:noProof/>
        </w:rPr>
        <w:t>40</w:t>
      </w:r>
      <w:r w:rsidRPr="006317D1">
        <w:rPr>
          <w:noProof/>
        </w:rPr>
        <w:t>(2), 211–239.</w:t>
      </w:r>
    </w:p>
    <w:p w:rsidR="006317D1" w:rsidRPr="006317D1" w:rsidRDefault="006317D1">
      <w:pPr>
        <w:pStyle w:val="NormalWeb"/>
        <w:ind w:left="480" w:hanging="480"/>
        <w:divId w:val="2135907101"/>
        <w:rPr>
          <w:noProof/>
        </w:rPr>
      </w:pPr>
      <w:r w:rsidRPr="006317D1">
        <w:rPr>
          <w:noProof/>
        </w:rPr>
        <w:lastRenderedPageBreak/>
        <w:t xml:space="preserve">Smith, K. P., &amp; Christakis, N. A. (2008). Social networks and health. </w:t>
      </w:r>
      <w:r w:rsidRPr="006317D1">
        <w:rPr>
          <w:i/>
          <w:iCs/>
          <w:noProof/>
        </w:rPr>
        <w:t>Annu. Rev. Sociol</w:t>
      </w:r>
      <w:r w:rsidRPr="006317D1">
        <w:rPr>
          <w:noProof/>
        </w:rPr>
        <w:t xml:space="preserve">, </w:t>
      </w:r>
      <w:r w:rsidRPr="006317D1">
        <w:rPr>
          <w:i/>
          <w:iCs/>
          <w:noProof/>
        </w:rPr>
        <w:t>34</w:t>
      </w:r>
      <w:r w:rsidRPr="006317D1">
        <w:rPr>
          <w:noProof/>
        </w:rPr>
        <w:t>, 405–429.</w:t>
      </w:r>
    </w:p>
    <w:p w:rsidR="00BB45CE" w:rsidRPr="006714D2" w:rsidRDefault="00F70B73" w:rsidP="00371666">
      <w:pPr>
        <w:pStyle w:val="NormalWeb"/>
        <w:ind w:left="480" w:hanging="480"/>
        <w:divId w:val="1788965003"/>
      </w:pPr>
      <w:r>
        <w:rPr>
          <w:b/>
        </w:rPr>
        <w:fldChar w:fldCharType="end"/>
      </w:r>
    </w:p>
    <w:sectPr w:rsidR="00BB45CE" w:rsidRPr="006714D2" w:rsidSect="00BB45CE">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6CC" w:rsidRDefault="008676CC" w:rsidP="00F70B73">
      <w:r>
        <w:separator/>
      </w:r>
    </w:p>
  </w:endnote>
  <w:endnote w:type="continuationSeparator" w:id="1">
    <w:p w:rsidR="008676CC" w:rsidRDefault="008676CC" w:rsidP="00F70B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CC" w:rsidRDefault="00867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6CC" w:rsidRDefault="008676CC" w:rsidP="00F70B73">
      <w:r>
        <w:separator/>
      </w:r>
    </w:p>
  </w:footnote>
  <w:footnote w:type="continuationSeparator" w:id="1">
    <w:p w:rsidR="008676CC" w:rsidRDefault="008676CC" w:rsidP="00F70B73">
      <w:r>
        <w:continuationSeparator/>
      </w:r>
    </w:p>
  </w:footnote>
  <w:footnote w:id="2">
    <w:p w:rsidR="0B853047" w:rsidRDefault="0B853047" w:rsidP="0B853047">
      <w:pPr>
        <w:pStyle w:val="FootnoteText"/>
      </w:pPr>
      <w:r w:rsidRPr="0B853047">
        <w:rPr>
          <w:rStyle w:val="FootnoteReference"/>
        </w:rPr>
        <w:footnoteRef/>
      </w:r>
      <w:r w:rsidRPr="283E252D">
        <w:t xml:space="preserve"> </w:t>
      </w:r>
      <w:r w:rsidR="283E252D">
        <w:t xml:space="preserve">Perspective: Obesity is not a disease D. L. </w:t>
      </w:r>
      <w:proofErr w:type="spellStart"/>
      <w:r w:rsidR="283E252D">
        <w:t>KatzNature</w:t>
      </w:r>
      <w:proofErr w:type="spellEnd"/>
      <w:r w:rsidR="283E252D">
        <w:t xml:space="preserve"> 508, S57 (17 April 2014)</w:t>
      </w:r>
    </w:p>
  </w:footnote>
  <w:footnote w:id="3">
    <w:p w:rsidR="20BF9B74" w:rsidRDefault="20BF9B74" w:rsidP="3F094E81">
      <w:pPr>
        <w:pStyle w:val="FootnoteText"/>
      </w:pPr>
      <w:r w:rsidRPr="3F094E81">
        <w:rPr>
          <w:rStyle w:val="FootnoteReference"/>
        </w:rPr>
        <w:footnoteRef/>
      </w:r>
      <w:r w:rsidR="3F094E81">
        <w:t xml:space="preserve"> "</w:t>
      </w:r>
      <w:proofErr w:type="spellStart"/>
      <w:r w:rsidR="3F094E81">
        <w:t>SmokeFree</w:t>
      </w:r>
      <w:proofErr w:type="spellEnd"/>
      <w:r w:rsidR="3F094E81">
        <w:t>. No brand is better." http://www.smokefree.ch/en/campaign/</w:t>
      </w:r>
    </w:p>
  </w:footnote>
  <w:footnote w:id="4">
    <w:p w:rsidR="218ED286" w:rsidRDefault="218ED286" w:rsidP="6F9B3129">
      <w:pPr>
        <w:pStyle w:val="FootnoteText"/>
      </w:pPr>
      <w:r w:rsidRPr="6F9B3129">
        <w:rPr>
          <w:rStyle w:val="FootnoteReference"/>
        </w:rPr>
        <w:footnoteRef/>
      </w:r>
      <w:r w:rsidR="6F9B3129">
        <w:t xml:space="preserve"> Perspective: Tricks of the </w:t>
      </w:r>
      <w:proofErr w:type="spellStart"/>
      <w:r w:rsidR="6F9B3129">
        <w:t>tradeStephen</w:t>
      </w:r>
      <w:proofErr w:type="spellEnd"/>
      <w:r w:rsidR="6F9B3129">
        <w:t xml:space="preserve"> J. Simpson and David </w:t>
      </w:r>
      <w:proofErr w:type="spellStart"/>
      <w:r w:rsidR="6F9B3129">
        <w:t>Raubenheimer</w:t>
      </w:r>
      <w:proofErr w:type="spellEnd"/>
      <w:r w:rsidR="6F9B3129">
        <w:t xml:space="preserve"> Nature 508, S66 (17 April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CC" w:rsidRDefault="00867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C34889"/>
    <w:rsid w:val="000044FA"/>
    <w:rsid w:val="00012704"/>
    <w:rsid w:val="00023C49"/>
    <w:rsid w:val="000275E9"/>
    <w:rsid w:val="00047B2C"/>
    <w:rsid w:val="0006520B"/>
    <w:rsid w:val="00070D85"/>
    <w:rsid w:val="00074876"/>
    <w:rsid w:val="000775A8"/>
    <w:rsid w:val="0008687C"/>
    <w:rsid w:val="000913F6"/>
    <w:rsid w:val="0009265E"/>
    <w:rsid w:val="00094118"/>
    <w:rsid w:val="00094BCD"/>
    <w:rsid w:val="000A0C12"/>
    <w:rsid w:val="000A3DA2"/>
    <w:rsid w:val="000C2682"/>
    <w:rsid w:val="000D59AC"/>
    <w:rsid w:val="000F078F"/>
    <w:rsid w:val="00105582"/>
    <w:rsid w:val="0011311A"/>
    <w:rsid w:val="001331A1"/>
    <w:rsid w:val="001525E9"/>
    <w:rsid w:val="0016488A"/>
    <w:rsid w:val="001857D7"/>
    <w:rsid w:val="001A117C"/>
    <w:rsid w:val="001C0C19"/>
    <w:rsid w:val="001C1A27"/>
    <w:rsid w:val="001E0538"/>
    <w:rsid w:val="001E3241"/>
    <w:rsid w:val="001F3060"/>
    <w:rsid w:val="00201946"/>
    <w:rsid w:val="002062FB"/>
    <w:rsid w:val="002363F4"/>
    <w:rsid w:val="0024042B"/>
    <w:rsid w:val="00253E10"/>
    <w:rsid w:val="0025730C"/>
    <w:rsid w:val="002735E0"/>
    <w:rsid w:val="00280C15"/>
    <w:rsid w:val="00297C0A"/>
    <w:rsid w:val="002A123F"/>
    <w:rsid w:val="002A1777"/>
    <w:rsid w:val="002B7B5D"/>
    <w:rsid w:val="002C0CB6"/>
    <w:rsid w:val="002C245A"/>
    <w:rsid w:val="002C4DF8"/>
    <w:rsid w:val="002D49BE"/>
    <w:rsid w:val="002F07D5"/>
    <w:rsid w:val="00302688"/>
    <w:rsid w:val="00304FC9"/>
    <w:rsid w:val="003068E9"/>
    <w:rsid w:val="00307962"/>
    <w:rsid w:val="00314ED8"/>
    <w:rsid w:val="003159B5"/>
    <w:rsid w:val="00320292"/>
    <w:rsid w:val="003215BC"/>
    <w:rsid w:val="003300C1"/>
    <w:rsid w:val="00331915"/>
    <w:rsid w:val="00343681"/>
    <w:rsid w:val="00353CD6"/>
    <w:rsid w:val="0035685D"/>
    <w:rsid w:val="00361EB7"/>
    <w:rsid w:val="0036689F"/>
    <w:rsid w:val="00371666"/>
    <w:rsid w:val="00374C0C"/>
    <w:rsid w:val="00380414"/>
    <w:rsid w:val="0038321E"/>
    <w:rsid w:val="00393212"/>
    <w:rsid w:val="00396E7B"/>
    <w:rsid w:val="003C7B39"/>
    <w:rsid w:val="003D7EB8"/>
    <w:rsid w:val="003E004D"/>
    <w:rsid w:val="003F16C7"/>
    <w:rsid w:val="003F1759"/>
    <w:rsid w:val="003F67B1"/>
    <w:rsid w:val="004019CE"/>
    <w:rsid w:val="004051F4"/>
    <w:rsid w:val="004142CB"/>
    <w:rsid w:val="00415F14"/>
    <w:rsid w:val="004208FB"/>
    <w:rsid w:val="004270B9"/>
    <w:rsid w:val="0045629C"/>
    <w:rsid w:val="004674D2"/>
    <w:rsid w:val="00480CC5"/>
    <w:rsid w:val="00484B4D"/>
    <w:rsid w:val="00493A2E"/>
    <w:rsid w:val="004A0B7B"/>
    <w:rsid w:val="004A4527"/>
    <w:rsid w:val="004D10FB"/>
    <w:rsid w:val="004D28AF"/>
    <w:rsid w:val="004D53BB"/>
    <w:rsid w:val="00505E30"/>
    <w:rsid w:val="00506217"/>
    <w:rsid w:val="00510497"/>
    <w:rsid w:val="00513457"/>
    <w:rsid w:val="00522F90"/>
    <w:rsid w:val="00524644"/>
    <w:rsid w:val="00533439"/>
    <w:rsid w:val="00537630"/>
    <w:rsid w:val="00553B0F"/>
    <w:rsid w:val="00561F08"/>
    <w:rsid w:val="005649F6"/>
    <w:rsid w:val="00564F69"/>
    <w:rsid w:val="00566E50"/>
    <w:rsid w:val="00593555"/>
    <w:rsid w:val="005C3966"/>
    <w:rsid w:val="005D0C09"/>
    <w:rsid w:val="005D4436"/>
    <w:rsid w:val="005D47C6"/>
    <w:rsid w:val="005E172A"/>
    <w:rsid w:val="005E2EB9"/>
    <w:rsid w:val="005E79D2"/>
    <w:rsid w:val="005F086A"/>
    <w:rsid w:val="00602056"/>
    <w:rsid w:val="00617A4F"/>
    <w:rsid w:val="00623E7B"/>
    <w:rsid w:val="006317D1"/>
    <w:rsid w:val="00640FDA"/>
    <w:rsid w:val="00641C34"/>
    <w:rsid w:val="00651DD9"/>
    <w:rsid w:val="0065538D"/>
    <w:rsid w:val="006570AC"/>
    <w:rsid w:val="00686DF2"/>
    <w:rsid w:val="00693FFF"/>
    <w:rsid w:val="00694214"/>
    <w:rsid w:val="00695C31"/>
    <w:rsid w:val="00696DFE"/>
    <w:rsid w:val="006B1BF9"/>
    <w:rsid w:val="006B7BAE"/>
    <w:rsid w:val="006E48AC"/>
    <w:rsid w:val="006F1228"/>
    <w:rsid w:val="007046E9"/>
    <w:rsid w:val="00705922"/>
    <w:rsid w:val="0071040B"/>
    <w:rsid w:val="00723096"/>
    <w:rsid w:val="00730879"/>
    <w:rsid w:val="0076699A"/>
    <w:rsid w:val="00796534"/>
    <w:rsid w:val="007A0FE3"/>
    <w:rsid w:val="007A2F79"/>
    <w:rsid w:val="007D6F10"/>
    <w:rsid w:val="007D76A2"/>
    <w:rsid w:val="007E3519"/>
    <w:rsid w:val="007F49B8"/>
    <w:rsid w:val="008106B7"/>
    <w:rsid w:val="008123FA"/>
    <w:rsid w:val="00821460"/>
    <w:rsid w:val="00845D27"/>
    <w:rsid w:val="00851E2D"/>
    <w:rsid w:val="008616F3"/>
    <w:rsid w:val="008676CC"/>
    <w:rsid w:val="00871781"/>
    <w:rsid w:val="00874179"/>
    <w:rsid w:val="00883747"/>
    <w:rsid w:val="00885A11"/>
    <w:rsid w:val="00891A5E"/>
    <w:rsid w:val="008A0E9A"/>
    <w:rsid w:val="008A228C"/>
    <w:rsid w:val="008A318C"/>
    <w:rsid w:val="008A5823"/>
    <w:rsid w:val="008E1C9A"/>
    <w:rsid w:val="008F5795"/>
    <w:rsid w:val="009107FF"/>
    <w:rsid w:val="00911DB6"/>
    <w:rsid w:val="00933EA3"/>
    <w:rsid w:val="00936518"/>
    <w:rsid w:val="009426EA"/>
    <w:rsid w:val="00952CDF"/>
    <w:rsid w:val="009550DE"/>
    <w:rsid w:val="00955373"/>
    <w:rsid w:val="00964163"/>
    <w:rsid w:val="00966CF1"/>
    <w:rsid w:val="0098030D"/>
    <w:rsid w:val="00984659"/>
    <w:rsid w:val="009A03A4"/>
    <w:rsid w:val="009A42A9"/>
    <w:rsid w:val="009B3FC3"/>
    <w:rsid w:val="009B533F"/>
    <w:rsid w:val="009B57F1"/>
    <w:rsid w:val="009B66D9"/>
    <w:rsid w:val="009B67AE"/>
    <w:rsid w:val="009C2E13"/>
    <w:rsid w:val="009D7A27"/>
    <w:rsid w:val="009E6FBA"/>
    <w:rsid w:val="009F3D44"/>
    <w:rsid w:val="00A009CF"/>
    <w:rsid w:val="00A17EC4"/>
    <w:rsid w:val="00A2347D"/>
    <w:rsid w:val="00A32492"/>
    <w:rsid w:val="00A362D2"/>
    <w:rsid w:val="00A36EA2"/>
    <w:rsid w:val="00A416FB"/>
    <w:rsid w:val="00A64716"/>
    <w:rsid w:val="00A70058"/>
    <w:rsid w:val="00A75405"/>
    <w:rsid w:val="00A77BE2"/>
    <w:rsid w:val="00A81259"/>
    <w:rsid w:val="00A81317"/>
    <w:rsid w:val="00A82078"/>
    <w:rsid w:val="00A96FE2"/>
    <w:rsid w:val="00AA5CA9"/>
    <w:rsid w:val="00AB750A"/>
    <w:rsid w:val="00AD6A0D"/>
    <w:rsid w:val="00AE491C"/>
    <w:rsid w:val="00AF2C28"/>
    <w:rsid w:val="00AF6C7A"/>
    <w:rsid w:val="00B03E55"/>
    <w:rsid w:val="00B16A4D"/>
    <w:rsid w:val="00B17A76"/>
    <w:rsid w:val="00B35794"/>
    <w:rsid w:val="00B476B4"/>
    <w:rsid w:val="00B51D84"/>
    <w:rsid w:val="00B536F5"/>
    <w:rsid w:val="00B546C7"/>
    <w:rsid w:val="00B65948"/>
    <w:rsid w:val="00B65EBE"/>
    <w:rsid w:val="00B66201"/>
    <w:rsid w:val="00B70970"/>
    <w:rsid w:val="00B751C3"/>
    <w:rsid w:val="00B75A41"/>
    <w:rsid w:val="00B76A3B"/>
    <w:rsid w:val="00B77772"/>
    <w:rsid w:val="00B81BC7"/>
    <w:rsid w:val="00B83784"/>
    <w:rsid w:val="00B847D2"/>
    <w:rsid w:val="00BA02F3"/>
    <w:rsid w:val="00BA34C3"/>
    <w:rsid w:val="00BA45F4"/>
    <w:rsid w:val="00BA6C8F"/>
    <w:rsid w:val="00BB45CE"/>
    <w:rsid w:val="00BC2A53"/>
    <w:rsid w:val="00BC2F64"/>
    <w:rsid w:val="00BE0D7A"/>
    <w:rsid w:val="00BE6F9E"/>
    <w:rsid w:val="00BF4228"/>
    <w:rsid w:val="00BF5B9D"/>
    <w:rsid w:val="00BF6ECB"/>
    <w:rsid w:val="00C0421B"/>
    <w:rsid w:val="00C101BD"/>
    <w:rsid w:val="00C27718"/>
    <w:rsid w:val="00C34889"/>
    <w:rsid w:val="00C3534F"/>
    <w:rsid w:val="00C36916"/>
    <w:rsid w:val="00C503CF"/>
    <w:rsid w:val="00C5045D"/>
    <w:rsid w:val="00C606D3"/>
    <w:rsid w:val="00C61F93"/>
    <w:rsid w:val="00C90AC7"/>
    <w:rsid w:val="00C92593"/>
    <w:rsid w:val="00CA67F2"/>
    <w:rsid w:val="00CB6342"/>
    <w:rsid w:val="00CB650C"/>
    <w:rsid w:val="00CB6585"/>
    <w:rsid w:val="00CC6734"/>
    <w:rsid w:val="00CE6FE5"/>
    <w:rsid w:val="00CF0E51"/>
    <w:rsid w:val="00D006E6"/>
    <w:rsid w:val="00D01FB8"/>
    <w:rsid w:val="00D05754"/>
    <w:rsid w:val="00D148E1"/>
    <w:rsid w:val="00D15ACE"/>
    <w:rsid w:val="00D31BE5"/>
    <w:rsid w:val="00D46872"/>
    <w:rsid w:val="00D532DC"/>
    <w:rsid w:val="00D60E8A"/>
    <w:rsid w:val="00D73E9B"/>
    <w:rsid w:val="00D87C22"/>
    <w:rsid w:val="00DA6EFF"/>
    <w:rsid w:val="00DB1F16"/>
    <w:rsid w:val="00DB6F9B"/>
    <w:rsid w:val="00DB74F8"/>
    <w:rsid w:val="00DC4852"/>
    <w:rsid w:val="00DC7D11"/>
    <w:rsid w:val="00DD6B30"/>
    <w:rsid w:val="00DE141B"/>
    <w:rsid w:val="00E01220"/>
    <w:rsid w:val="00E06566"/>
    <w:rsid w:val="00E2061D"/>
    <w:rsid w:val="00E35CB7"/>
    <w:rsid w:val="00E4442E"/>
    <w:rsid w:val="00E50ED1"/>
    <w:rsid w:val="00E55E06"/>
    <w:rsid w:val="00E5658C"/>
    <w:rsid w:val="00E56C49"/>
    <w:rsid w:val="00E60DFA"/>
    <w:rsid w:val="00E63BA7"/>
    <w:rsid w:val="00E7232B"/>
    <w:rsid w:val="00E72D60"/>
    <w:rsid w:val="00E73427"/>
    <w:rsid w:val="00E905DE"/>
    <w:rsid w:val="00E9498A"/>
    <w:rsid w:val="00E9648E"/>
    <w:rsid w:val="00E975CE"/>
    <w:rsid w:val="00EA5F74"/>
    <w:rsid w:val="00EB349B"/>
    <w:rsid w:val="00EB58DF"/>
    <w:rsid w:val="00EB5E55"/>
    <w:rsid w:val="00EC19B2"/>
    <w:rsid w:val="00ED7D1E"/>
    <w:rsid w:val="00F049C0"/>
    <w:rsid w:val="00F15CC6"/>
    <w:rsid w:val="00F2131F"/>
    <w:rsid w:val="00F61179"/>
    <w:rsid w:val="00F66496"/>
    <w:rsid w:val="00F667AA"/>
    <w:rsid w:val="00F70B73"/>
    <w:rsid w:val="00F86E9A"/>
    <w:rsid w:val="00F906C3"/>
    <w:rsid w:val="00F9293D"/>
    <w:rsid w:val="00F94EBE"/>
    <w:rsid w:val="00FB6AF7"/>
    <w:rsid w:val="00FC5F20"/>
    <w:rsid w:val="00FD2FB1"/>
    <w:rsid w:val="00FD3A47"/>
    <w:rsid w:val="00FD62A9"/>
    <w:rsid w:val="00FF2AFF"/>
    <w:rsid w:val="0B853047"/>
    <w:rsid w:val="0EAB6AD7"/>
    <w:rsid w:val="1066833D"/>
    <w:rsid w:val="12B62DFB"/>
    <w:rsid w:val="1444B401"/>
    <w:rsid w:val="16332E6D"/>
    <w:rsid w:val="19336265"/>
    <w:rsid w:val="1984E3FE"/>
    <w:rsid w:val="20BF9B74"/>
    <w:rsid w:val="218ED286"/>
    <w:rsid w:val="239C023E"/>
    <w:rsid w:val="283E252D"/>
    <w:rsid w:val="2A1F79CA"/>
    <w:rsid w:val="2CE09F8D"/>
    <w:rsid w:val="2E684318"/>
    <w:rsid w:val="34CDD2C9"/>
    <w:rsid w:val="37F65F4A"/>
    <w:rsid w:val="3E9548AA"/>
    <w:rsid w:val="3F094E81"/>
    <w:rsid w:val="40DD15D5"/>
    <w:rsid w:val="50881E0C"/>
    <w:rsid w:val="584ADF03"/>
    <w:rsid w:val="58FD6DC7"/>
    <w:rsid w:val="5C27F084"/>
    <w:rsid w:val="6264B278"/>
    <w:rsid w:val="65C16392"/>
    <w:rsid w:val="6852D0BF"/>
    <w:rsid w:val="6F77C838"/>
    <w:rsid w:val="6F9B3129"/>
    <w:rsid w:val="735588C2"/>
    <w:rsid w:val="7CDCB7E1"/>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593555"/>
    <w:pPr>
      <w:spacing w:after="200"/>
      <w:ind w:firstLine="1701"/>
    </w:pPr>
    <w:rPr>
      <w:rFonts w:eastAsia="Calibri"/>
      <w:bCs/>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 w:type="character" w:styleId="FootnoteReference">
    <w:name w:val="footnote reference"/>
    <w:basedOn w:val="DefaultParagraphFont"/>
    <w:uiPriority w:val="99"/>
    <w:semiHidden/>
    <w:unhideWhenUsed/>
    <w:rsid w:val="00F70B73"/>
    <w:rPr>
      <w:vertAlign w:val="superscript"/>
    </w:rPr>
  </w:style>
  <w:style w:type="character" w:customStyle="1" w:styleId="FootnoteTextChar">
    <w:name w:val="Footnote Text Char"/>
    <w:basedOn w:val="DefaultParagraphFont"/>
    <w:link w:val="FootnoteText"/>
    <w:uiPriority w:val="99"/>
    <w:semiHidden/>
    <w:rsid w:val="00F70B73"/>
    <w:rPr>
      <w:sz w:val="20"/>
      <w:szCs w:val="20"/>
    </w:rPr>
  </w:style>
  <w:style w:type="paragraph" w:styleId="FootnoteText">
    <w:name w:val="footnote text"/>
    <w:basedOn w:val="Normal"/>
    <w:link w:val="FootnoteTextChar"/>
    <w:uiPriority w:val="99"/>
    <w:semiHidden/>
    <w:unhideWhenUsed/>
    <w:rsid w:val="00F70B73"/>
    <w:rPr>
      <w:sz w:val="20"/>
      <w:szCs w:val="20"/>
    </w:rPr>
  </w:style>
  <w:style w:type="paragraph" w:styleId="Header">
    <w:name w:val="header"/>
    <w:basedOn w:val="Normal"/>
    <w:link w:val="HeaderChar"/>
    <w:uiPriority w:val="99"/>
    <w:semiHidden/>
    <w:unhideWhenUsed/>
    <w:rsid w:val="008676CC"/>
    <w:pPr>
      <w:tabs>
        <w:tab w:val="center" w:pos="4536"/>
        <w:tab w:val="right" w:pos="9072"/>
      </w:tabs>
    </w:pPr>
  </w:style>
  <w:style w:type="character" w:customStyle="1" w:styleId="HeaderChar">
    <w:name w:val="Header Char"/>
    <w:basedOn w:val="DefaultParagraphFont"/>
    <w:link w:val="Header"/>
    <w:uiPriority w:val="99"/>
    <w:semiHidden/>
    <w:rsid w:val="008676CC"/>
    <w:rPr>
      <w:sz w:val="24"/>
      <w:szCs w:val="24"/>
      <w:lang w:eastAsia="en-US"/>
    </w:rPr>
  </w:style>
  <w:style w:type="paragraph" w:styleId="Footer">
    <w:name w:val="footer"/>
    <w:basedOn w:val="Normal"/>
    <w:link w:val="FooterChar"/>
    <w:uiPriority w:val="99"/>
    <w:semiHidden/>
    <w:unhideWhenUsed/>
    <w:rsid w:val="008676CC"/>
    <w:pPr>
      <w:tabs>
        <w:tab w:val="center" w:pos="4536"/>
        <w:tab w:val="right" w:pos="9072"/>
      </w:tabs>
    </w:pPr>
  </w:style>
  <w:style w:type="character" w:customStyle="1" w:styleId="FooterChar">
    <w:name w:val="Footer Char"/>
    <w:basedOn w:val="DefaultParagraphFont"/>
    <w:link w:val="Footer"/>
    <w:uiPriority w:val="99"/>
    <w:semiHidden/>
    <w:rsid w:val="008676CC"/>
    <w:rPr>
      <w:sz w:val="24"/>
      <w:szCs w:val="24"/>
      <w:lang w:eastAsia="en-US"/>
    </w:rPr>
  </w:style>
  <w:style w:type="paragraph" w:styleId="Revision">
    <w:name w:val="Revision"/>
    <w:hidden/>
    <w:uiPriority w:val="71"/>
    <w:rsid w:val="008676CC"/>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sChild>
                            <w:div w:id="1469543687">
                              <w:marLeft w:val="0"/>
                              <w:marRight w:val="0"/>
                              <w:marTop w:val="0"/>
                              <w:marBottom w:val="0"/>
                              <w:divBdr>
                                <w:top w:val="none" w:sz="0" w:space="0" w:color="auto"/>
                                <w:left w:val="none" w:sz="0" w:space="0" w:color="auto"/>
                                <w:bottom w:val="none" w:sz="0" w:space="0" w:color="auto"/>
                                <w:right w:val="none" w:sz="0" w:space="0" w:color="auto"/>
                              </w:divBdr>
                              <w:divsChild>
                                <w:div w:id="438985583">
                                  <w:marLeft w:val="0"/>
                                  <w:marRight w:val="0"/>
                                  <w:marTop w:val="0"/>
                                  <w:marBottom w:val="0"/>
                                  <w:divBdr>
                                    <w:top w:val="none" w:sz="0" w:space="0" w:color="auto"/>
                                    <w:left w:val="none" w:sz="0" w:space="0" w:color="auto"/>
                                    <w:bottom w:val="none" w:sz="0" w:space="0" w:color="auto"/>
                                    <w:right w:val="none" w:sz="0" w:space="0" w:color="auto"/>
                                  </w:divBdr>
                                  <w:divsChild>
                                    <w:div w:id="1371614377">
                                      <w:marLeft w:val="0"/>
                                      <w:marRight w:val="0"/>
                                      <w:marTop w:val="0"/>
                                      <w:marBottom w:val="0"/>
                                      <w:divBdr>
                                        <w:top w:val="none" w:sz="0" w:space="0" w:color="auto"/>
                                        <w:left w:val="none" w:sz="0" w:space="0" w:color="auto"/>
                                        <w:bottom w:val="none" w:sz="0" w:space="0" w:color="auto"/>
                                        <w:right w:val="none" w:sz="0" w:space="0" w:color="auto"/>
                                      </w:divBdr>
                                    </w:div>
                                    <w:div w:id="18358174">
                                      <w:marLeft w:val="0"/>
                                      <w:marRight w:val="0"/>
                                      <w:marTop w:val="0"/>
                                      <w:marBottom w:val="0"/>
                                      <w:divBdr>
                                        <w:top w:val="none" w:sz="0" w:space="0" w:color="auto"/>
                                        <w:left w:val="none" w:sz="0" w:space="0" w:color="auto"/>
                                        <w:bottom w:val="none" w:sz="0" w:space="0" w:color="auto"/>
                                        <w:right w:val="none" w:sz="0" w:space="0" w:color="auto"/>
                                      </w:divBdr>
                                      <w:divsChild>
                                        <w:div w:id="1212578476">
                                          <w:marLeft w:val="0"/>
                                          <w:marRight w:val="0"/>
                                          <w:marTop w:val="0"/>
                                          <w:marBottom w:val="0"/>
                                          <w:divBdr>
                                            <w:top w:val="none" w:sz="0" w:space="0" w:color="auto"/>
                                            <w:left w:val="none" w:sz="0" w:space="0" w:color="auto"/>
                                            <w:bottom w:val="none" w:sz="0" w:space="0" w:color="auto"/>
                                            <w:right w:val="none" w:sz="0" w:space="0" w:color="auto"/>
                                          </w:divBdr>
                                          <w:divsChild>
                                            <w:div w:id="1788965003">
                                              <w:marLeft w:val="0"/>
                                              <w:marRight w:val="0"/>
                                              <w:marTop w:val="0"/>
                                              <w:marBottom w:val="0"/>
                                              <w:divBdr>
                                                <w:top w:val="none" w:sz="0" w:space="0" w:color="auto"/>
                                                <w:left w:val="none" w:sz="0" w:space="0" w:color="auto"/>
                                                <w:bottom w:val="none" w:sz="0" w:space="0" w:color="auto"/>
                                                <w:right w:val="none" w:sz="0" w:space="0" w:color="auto"/>
                                              </w:divBdr>
                                              <w:divsChild>
                                                <w:div w:id="21359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EE93-6E99-47D3-98C4-B1E1AFC696D8}">
  <ds:schemaRefs>
    <ds:schemaRef ds:uri="http://schemas.openxmlformats.org/officeDocument/2006/bibliography"/>
  </ds:schemaRefs>
</ds:datastoreItem>
</file>

<file path=customXml/itemProps2.xml><?xml version="1.0" encoding="utf-8"?>
<ds:datastoreItem xmlns:ds="http://schemas.openxmlformats.org/officeDocument/2006/customXml" ds:itemID="{EE68BEA6-498D-4C5B-8197-29770A79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2485</Words>
  <Characters>22671</Characters>
  <Application>Microsoft Office Word</Application>
  <DocSecurity>0</DocSecurity>
  <Lines>188</Lines>
  <Paragraphs>50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cp:revision>
  <cp:lastPrinted>2008-04-28T13:14:00Z</cp:lastPrinted>
  <dcterms:created xsi:type="dcterms:W3CDTF">2014-04-18T13:49:00Z</dcterms:created>
  <dcterms:modified xsi:type="dcterms:W3CDTF">2014-05-09T14:45:00Z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