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铁路车站级安全评估方法研究</w:t>
      </w:r>
    </w:p>
    <w:p>
      <w:r>
        <w:rPr>
          <w:rFonts w:ascii="Times New Roman" w:hAnsi="Times New Roman" w:eastAsia="宋体"/>
          <w:sz w:val="21"/>
        </w:rPr>
        <w:t>摘  要：铁路车站作为轨道交通网络的关键节点，其安全状况直接关系人民群众生命财产安全和铁路运输的可持续发展。针对现有车站安全评估方法存在的指标体系不完整、模型主观性强、动态适应性不足等问题，本研究构建了系统化的车站级安全评估方法：遵循六项原则构建涵盖人员、设备、环境、安全管理四个维度共 25 个指标的三级指标体系，采用 AHP-熵权法组合赋权；构建“组合赋权—动态变权—模糊综合评价—BP 神经网络”四阶段串联评估模型，并引入动态变权机制实现权重自适应修正；选取中原地区某高铁大型车站，基于 36 个月多源异构运营数据开展实证验证。结果表明：案例车站安全综合评分平均值为 78.6 分，处于“较安全”等级并呈稳步改善趋势，识别出 10 个关键风险因素；历史数据回测相关系数 0.87、专家评审一致率 86.7%（Kappa 0.82）、横向比较 5 个同类型车站评分呈合理梯度，验证了方法的科学性与实用性。本研究可为铁路车站安全管理的科学决策提供理论支撑与实践指导。</w:t>
      </w:r>
    </w:p>
    <w:p>
      <w:r>
        <w:rPr>
          <w:rFonts w:ascii="Times New Roman" w:hAnsi="Times New Roman" w:eastAsia="宋体"/>
          <w:sz w:val="21"/>
        </w:rPr>
        <w:t>Abstract: Railway stations, as critical nodes in the rail transit network, have safety conditions that directly affect people's lives and property and the sustainable development of railway transportation. To address the incomplete indicator systems, strong subjectivity, and insufficient dynamic adaptability of existing station safety assessment methods, this study constructs a systematic station-level safety assessment methodology. A three-level indicator system with 25 indicators across four dimensions (personnel, equipment, environment, and safety management) is built with AHP-entropy combined weighting, and a four-stage serial model integrating combination weighting, dynamic weighting, fuzzy comprehensive evaluation, and a BP neural network is established. An empirical study on a high-speed railway station using 36 months of multi-source operational data shows an average safety score of 78.6 (at the 'relatively safe' level with a steady improvement trend), ten key risk factors identified, a back-testing correlation coefficient of 0.87, an expert-review agreement rate of 86.7% (Kappa 0.82), and a reasonable gradient distribution across five comparable stations, jointly validating the method. This study provides theoretical support and practical guidance for scientific decision-making in railway station safety management.</w:t>
      </w:r>
    </w:p>
    <w:p>
      <w:r>
        <w:rPr>
          <w:rFonts w:ascii="Times New Roman" w:hAnsi="Times New Roman" w:eastAsia="宋体"/>
          <w:sz w:val="21"/>
        </w:rPr>
        <w:t>关键词：铁路车站；安全评估；组合赋权；模糊综合评价；BP 神经网络</w:t>
      </w:r>
    </w:p>
    <w:p>
      <w:r>
        <w:rPr>
          <w:rFonts w:ascii="Times New Roman" w:hAnsi="Times New Roman" w:eastAsia="宋体"/>
          <w:sz w:val="21"/>
        </w:rPr>
        <w:t>Keywords: Railway Station; Safety Assessment; Combination Weighting; Fuzzy Comprehensive Evaluation; BP Neural Network</w:t>
      </w:r>
    </w:p>
    <w:p>
      <w:pPr>
        <w:pStyle w:val="Heading1"/>
      </w:pPr>
      <w:r>
        <w:rPr>
          <w:rFonts w:ascii="Times New Roman" w:hAnsi="Times New Roman" w:eastAsia="黑体"/>
          <w:color w:val="000000"/>
        </w:rPr>
        <w:t>1  引言</w:t>
      </w:r>
    </w:p>
    <w:p>
      <w:pPr>
        <w:ind w:firstLine="480"/>
      </w:pPr>
      <w:r>
        <w:t>铁路车站作为铁路运输系统的核心节点，承担着旅客集散、列车接发、行包运输等多项关键功能，是铁路网络中人流、物流最为密集的场所，其行车安全直接关系国计民生[1]。随着我国高速铁路网络大规模建成运营，车站规模不断扩大、旅客吞吐量持续攀升，安全管理工作面临前所未有的挑战，而铁路应急管理的重心在于事故发生前的预防与准备[3]。传统的铁路安全管理模式侧重事后处置和经验判断，缺乏系统性的风险识别、评估和预警机制。随着大数据、人工智能等新一代信息技术的发展，铁路车站积累了海量运营数据，为车站级安全评估方法的创新提供了数据基础与技术支撑。</w:t>
        <w:br/>
        <w:t>在风险评估理论方法方面，层次分析法（AHP）与模糊综合评价法的结合是最经典的方法组合，尹灵珍采用 AHP 确定权重并以熵权法修正，建立了高速铁路大型客运站风险评估模型[2]，但存在主观性较强、易受专家偏好影响的问题。周荣喜等利用网络层次分析法（ANP）与 BP 神经网络建立风险评估模型[4]，提高了客观性，但对训练数据的数量和质量要求较高。胡启洲等提出基于主成分分析的动态诊断指标与高铁安全运行风险诊断模型[5]，实现了评估的实时性与动态性。在评估指标体系方面，现有研究主要围绕人员、设备、环境、管理四个维度展开[6]；常建鹏等提出了以时效性、可操作性、完备性等为基础的应急预案评估指标体系[7]；李曼等通过文献计量分析指出风险演化研究的动态特性[8]。在车站特定场景方面，尹灵珍以兰州西站为例开展了特定风险类型的等级评估[2]，但研究范围相对有限。</w:t>
        <w:br/>
        <w:t>综上，现有研究仍存在不足：一是针对车站这一特定场景的系统性安全评估研究较少；二是对车站多源数据特征的利用不够充分；三是多侧重静态评估，对风险动态演化和实时预警关注不足；四是指标体系的针对性和适应性有待提升。针对上述不足，本研究构建系统化的铁路车站级安全评估方法，依次开展车站数据特征分析与安全风险识别、评估指标体系构建、评估模型开发及实证应用验证，以期为车站安全管理的科学决策提供支撑。</w:t>
      </w:r>
    </w:p>
    <w:p>
      <w:r>
        <w:rPr>
          <w:rFonts w:ascii="Times New Roman" w:hAnsi="Times New Roman" w:eastAsia="宋体"/>
          <w:sz w:val="21"/>
        </w:rPr>
      </w:r>
    </w:p>
    <w:p>
      <w:pPr>
        <w:pStyle w:val="Heading2"/>
      </w:pPr>
      <w:r>
        <w:rPr>
          <w:rFonts w:ascii="Times New Roman" w:hAnsi="Times New Roman" w:eastAsia="黑体"/>
          <w:color w:val="000000"/>
        </w:rPr>
      </w:r>
    </w:p>
    <w:p>
      <w:r>
        <w:rPr>
          <w:rFonts w:ascii="Times New Roman" w:hAnsi="Times New Roman" w:eastAsia="宋体"/>
          <w:sz w:val="21"/>
        </w:rPr>
      </w:r>
    </w:p>
    <w:p>
      <w:r>
        <w:rPr>
          <w:rFonts w:ascii="Times New Roman" w:hAnsi="Times New Roman" w:eastAsia="宋体"/>
          <w:sz w:val="21"/>
        </w:rPr>
      </w:r>
    </w:p>
    <w:p>
      <w:r>
        <w:rPr>
          <w:rFonts w:ascii="Times New Roman" w:hAnsi="Times New Roman" w:eastAsia="宋体"/>
          <w:sz w:val="21"/>
        </w:rPr>
      </w:r>
    </w:p>
    <w:p>
      <w:r>
        <w:rPr>
          <w:rFonts w:ascii="Times New Roman" w:hAnsi="Times New Roman" w:eastAsia="宋体"/>
          <w:sz w:val="21"/>
        </w:rPr>
      </w:r>
    </w:p>
    <w:p>
      <w:r>
        <w:rPr>
          <w:rFonts w:ascii="Times New Roman" w:hAnsi="Times New Roman" w:eastAsia="宋体"/>
          <w:sz w:val="21"/>
        </w:rPr>
      </w:r>
    </w:p>
    <w:p>
      <w:pPr>
        <w:pStyle w:val="Heading2"/>
      </w:pPr>
      <w:r>
        <w:rPr>
          <w:rFonts w:ascii="Times New Roman" w:hAnsi="Times New Roman" w:eastAsia="黑体"/>
          <w:color w:val="000000"/>
        </w:rPr>
      </w:r>
    </w:p>
    <w:p>
      <w:r>
        <w:rPr>
          <w:rFonts w:ascii="Times New Roman" w:hAnsi="Times New Roman" w:eastAsia="宋体"/>
          <w:sz w:val="21"/>
        </w:rPr>
      </w:r>
    </w:p>
    <w:p>
      <w:pPr>
        <w:jc w:val="center"/>
      </w:pPr>
      <w:r>
        <w:rPr>
          <w:rFonts w:ascii="Times New Roman" w:hAnsi="Times New Roman" w:eastAsia="黑体"/>
          <w:sz w:val="20"/>
        </w:rPr>
      </w:r>
    </w:p>
    <w:p>
      <w:pPr>
        <w:pStyle w:val="Heading1"/>
      </w:pPr>
      <w:r>
        <w:rPr>
          <w:rFonts w:ascii="Times New Roman" w:hAnsi="Times New Roman" w:eastAsia="黑体"/>
          <w:color w:val="000000"/>
        </w:rPr>
        <w:t>2  车站数据特征与安全风险识别</w:t>
      </w:r>
    </w:p>
    <w:p>
      <w:pPr>
        <w:pStyle w:val="Heading2"/>
      </w:pPr>
      <w:r>
        <w:rPr>
          <w:rFonts w:ascii="Times New Roman" w:hAnsi="Times New Roman" w:eastAsia="黑体"/>
          <w:color w:val="000000"/>
        </w:rPr>
        <w:t>2.1  车站数据特征分析</w:t>
      </w:r>
    </w:p>
    <w:p>
      <w:r>
        <w:rPr>
          <w:rFonts w:ascii="Times New Roman" w:hAnsi="Times New Roman" w:eastAsia="宋体"/>
          <w:sz w:val="21"/>
        </w:rPr>
        <w:t>铁路车站在日常运营过程中产生海量的多源异构数据，深入分析其来源、类型、结构及内在规律，是构建科学有效评估方法的前提。从数据来源与类型来看，车站数据具有显著的多源性特征，可归纳为旅客服务数据、列车运行数据、设备运行数据、环境监测数据与安全管理数据五大类[12]。从数据形态来看，车站数据呈现高度异构特征，包含视频、图像、音频、图片、曲线、文本等结构化、半结构化与非结构化数据[12]。</w:t>
      </w:r>
    </w:p>
    <w:p>
      <w:r>
        <w:rPr>
          <w:rFonts w:ascii="Times New Roman" w:hAnsi="Times New Roman" w:eastAsia="宋体"/>
          <w:sz w:val="21"/>
        </w:rPr>
        <w:t>从时空特征来看，车站数据具有显著的时序性与空间性。时序性体现在数据随时间连续变化，如旅客流量在一天内呈现峰谷波动、在一周内工作日与周末存在差异、在一年内春运与暑运等特殊时期特征明显，设备性能随使用时长逐渐劣化[13]。空间性体现在数据与车站物理空间位置密切相关，进站口、安检口、检票口、站台等关键节点易形成客流瓶颈，设备故障可能呈现空间聚集性[14]。从数据质量来看，由于数据来源多样、采集系统独立，存在不同程度的缺失、噪声和一致性问题，需采用数据规范化处理方法实现标准化和一致性[15]。从应用价值来看，车站数据蕴含着丰富的安全信息，通过统计分析可识别数据异常模式与安全事故之间的对应关系，建立数据特征与安全风险之间的关联映射。</w:t>
      </w:r>
    </w:p>
    <w:p>
      <w:pPr>
        <w:pStyle w:val="Heading2"/>
      </w:pPr>
      <w:r>
        <w:rPr>
          <w:rFonts w:ascii="Times New Roman" w:hAnsi="Times New Roman" w:eastAsia="黑体"/>
          <w:color w:val="000000"/>
        </w:rPr>
        <w:t>2.2  安全风险识别与筛选</w:t>
      </w:r>
    </w:p>
    <w:p>
      <w:r>
        <w:rPr>
          <w:rFonts w:ascii="Times New Roman" w:hAnsi="Times New Roman" w:eastAsia="宋体"/>
          <w:sz w:val="21"/>
        </w:rPr>
        <w:t>在全面分析车站数据特征的基础上，本研究采用故障树分析法（FTA）系统识别可能导致车站安全事故的各类风险因素。参照基于 FTA-AHP 的铁路安全风险综合评估方法，首先用 FTA 确定目标风险事件的原因事件、构建故障树模型，并对基本原因事件进行分类归纳[10]。结合车站实际运营情况，将风险因素划分为人员因素、设备因素、环境因素和管理因素四大类别。在识别风险因素的基础上，采用风险矩阵法评估各类风险的发生概率与影响程度，筛选出需重点管控的高风险因素，为评估指标体系的构建提供依据。</w:t>
      </w:r>
    </w:p>
    <w:p>
      <w:pPr>
        <w:pStyle w:val="Heading1"/>
      </w:pPr>
      <w:r>
        <w:rPr>
          <w:rFonts w:ascii="Times New Roman" w:hAnsi="Times New Roman" w:eastAsia="黑体"/>
          <w:color w:val="000000"/>
        </w:rPr>
        <w:t>3  车站级安全评估方法构建</w:t>
      </w:r>
    </w:p>
    <w:p>
      <w:pPr>
        <w:pStyle w:val="Heading2"/>
      </w:pPr>
      <w:r>
        <w:rPr>
          <w:rFonts w:ascii="Times New Roman" w:hAnsi="Times New Roman" w:eastAsia="黑体"/>
          <w:color w:val="000000"/>
        </w:rPr>
        <w:t>3.1  评估指标体系构建原则</w:t>
      </w:r>
    </w:p>
    <w:p>
      <w:r>
        <w:rPr>
          <w:rFonts w:ascii="Times New Roman" w:hAnsi="Times New Roman" w:eastAsia="宋体"/>
          <w:sz w:val="21"/>
        </w:rPr>
        <w:t>评估指标体系是车站级安全评估方法的核心载体，其质量直接决定评估结果的准确性。本研究遵循系统性、科学性、可操作性、动态性、可比性、独立性六项原则构建指标体系。其中，系统性要求指标覆盖人-机-环-管各要素，形成“目标层—准则层—指标层”三级清晰结构；科学性要求指标定义准确、有理论或实证依据，权重确定兼顾主观经验与客观数据；可操作性要求指标数据易获取、计算方法成熟、数量适中；动态性要求指标体系能适应客流模式、设备状态、管理水平的变化；可比性要求指标口径统一、支持横向与纵向比较；独立性要求同层指标尽量相互独立、避免冗余与重复计算。上述原则相互支撑，共同保障指标体系的理论深度与实践价值。</w:t>
      </w:r>
    </w:p>
    <w:p>
      <w:pPr>
        <w:pStyle w:val="Heading2"/>
      </w:pPr>
      <w:r>
        <w:rPr>
          <w:rFonts w:ascii="Times New Roman" w:hAnsi="Times New Roman" w:eastAsia="黑体"/>
          <w:color w:val="000000"/>
        </w:rPr>
        <w:t>3.2  评估指标体系设计</w:t>
      </w:r>
    </w:p>
    <w:p>
      <w:r>
        <w:rPr>
          <w:rFonts w:ascii="Times New Roman" w:hAnsi="Times New Roman" w:eastAsia="宋体"/>
          <w:sz w:val="21"/>
        </w:rPr>
        <w:t>本节具体设计铁路车站级安全评估的指标体系。指标体系采用目标层、准则层、指标层三级架构：目标层为车站安全综合评估指数；准则层为人员安全、设备安全、环境安全、安全管理四个维度，源于系统安全工程中人-机-环-管系统理论[20]；指标层为各准则下的具体评估指标，共计 25 个三级指标。</w:t>
      </w:r>
    </w:p>
    <w:p>
      <w:r>
        <w:rPr>
          <w:rFonts w:ascii="Times New Roman" w:hAnsi="Times New Roman" w:eastAsia="宋体"/>
          <w:sz w:val="21"/>
        </w:rPr>
        <w:t>（1）人员安全维度（6 个）：旅客密度指数、旅客违规行为发生率、工作人员持证上岗率、工作人员安全培训覆盖率、工作人员应急处置能力评分、关键岗位人员配备充足率。</w:t>
      </w:r>
    </w:p>
    <w:p>
      <w:r>
        <w:rPr>
          <w:rFonts w:ascii="Times New Roman" w:hAnsi="Times New Roman" w:eastAsia="宋体"/>
          <w:sz w:val="21"/>
        </w:rPr>
        <w:t>（2）设备安全维度（7 个）：信号系统完好率、供电系统故障率、电梯扶梯运行可靠度、消防系统功能完备率、站台门系统故障频次、安检设备检测准确率、关键设备维护保养及时率。</w:t>
      </w:r>
    </w:p>
    <w:p>
      <w:r>
        <w:rPr>
          <w:rFonts w:ascii="Times New Roman" w:hAnsi="Times New Roman" w:eastAsia="宋体"/>
          <w:sz w:val="21"/>
        </w:rPr>
        <w:t>（3）环境安全维度（6 个）：车站空气质量指数、噪声水平达标率、照明系统照度合格率、极端天气预警响应率、地质灾害监测预警覆盖率、火灾隐患识别及时率。</w:t>
      </w:r>
    </w:p>
    <w:p>
      <w:r>
        <w:rPr>
          <w:rFonts w:ascii="Times New Roman" w:hAnsi="Times New Roman" w:eastAsia="宋体"/>
          <w:sz w:val="21"/>
        </w:rPr>
        <w:t>（4）安全管理维度（6 个）：安全管理制度完备率、隐患排查整改完成率、安全投入保障率、应急预案演练频次、安全信息传递及时率、安全事故发生率。</w:t>
      </w:r>
    </w:p>
    <w:p>
      <w:r>
        <w:rPr>
          <w:rFonts w:ascii="Times New Roman" w:hAnsi="Times New Roman" w:eastAsia="宋体"/>
          <w:sz w:val="21"/>
        </w:rPr>
        <w:t>在指标权重确定方面，本研究采用层次分析法（AHP）与熵权法相结合的组合赋权方法。AHP 通过两两比较构造判断矩阵并作一致性检验（式(3)、式(4)），确定主观权重；熵权法依据指标数据的离散程度确定客观权重（式(5)、式(6)）；两者经式(7)组合得到基础权重。指标体系及权重如表 2 所示。</w:t>
      </w:r>
    </w:p>
    <w:p>
      <w:pPr>
        <w:jc w:val="center"/>
      </w:pPr>
      <w:r>
        <w:rPr>
          <w:rFonts w:ascii="Times New Roman" w:hAnsi="Times New Roman" w:eastAsia="宋体"/>
          <w:sz w:val="21"/>
        </w:rPr>
        <w:t>AW_A = λ_max W_A,    Σ w_{A,i} = 1     (3)</w:t>
      </w:r>
    </w:p>
    <w:p>
      <w:pPr>
        <w:jc w:val="center"/>
      </w:pPr>
      <w:r>
        <w:rPr>
          <w:rFonts w:ascii="Times New Roman" w:hAnsi="Times New Roman" w:eastAsia="宋体"/>
          <w:sz w:val="21"/>
        </w:rPr>
        <w:t>CI = (λ_max - n)/(n - 1),    CR = CI / RI &lt; 0.10     (4)</w:t>
      </w:r>
    </w:p>
    <w:p>
      <w:pPr>
        <w:jc w:val="center"/>
      </w:pPr>
      <w:r>
        <w:rPr>
          <w:rFonts w:ascii="Times New Roman" w:hAnsi="Times New Roman" w:eastAsia="宋体"/>
          <w:sz w:val="21"/>
        </w:rPr>
        <w:t>e_j = -(1/ln m) Σ p_ij ln p_ij,   p_ij = x'_ij / Σ x'_ij     (5)</w:t>
      </w:r>
    </w:p>
    <w:p>
      <w:pPr>
        <w:jc w:val="center"/>
      </w:pPr>
      <w:r>
        <w:rPr>
          <w:rFonts w:ascii="Times New Roman" w:hAnsi="Times New Roman" w:eastAsia="宋体"/>
          <w:sz w:val="21"/>
        </w:rPr>
        <w:t>w_{E,j} = (1 - e_j) / Σ (1 - e_j)     (6)</w:t>
      </w:r>
    </w:p>
    <w:p>
      <w:pPr>
        <w:jc w:val="center"/>
      </w:pPr>
      <w:r>
        <w:rPr>
          <w:rFonts w:ascii="Times New Roman" w:hAnsi="Times New Roman" w:eastAsia="宋体"/>
          <w:sz w:val="21"/>
        </w:rPr>
        <w:t>w_j = α·w_{A,j} + (1 - α)·w_{E,j},   α ∈ [0,1]     (7)</w:t>
      </w:r>
    </w:p>
    <w:p>
      <w:r>
        <w:rPr>
          <w:rFonts w:ascii="Times New Roman" w:hAnsi="Times New Roman" w:eastAsia="宋体"/>
          <w:sz w:val="21"/>
        </w:rPr>
        <w:t>式中：a_ij 为判断矩阵元素；λ_max 为最大特征值；CI、RI、CR 分别为一致性指标、随机一致性指标与一致性比率；e_j 为信息熵；w_{A,j}、w_{E,j}、w_j 分别为主观权重、客观权重与组合权重；α 为组合系数，由最小偏差法确定。</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黑体"/>
                <w:b/>
                <w:sz w:val="18"/>
              </w:rPr>
              <w:t>目标层</w:t>
            </w:r>
          </w:p>
        </w:tc>
        <w:tc>
          <w:tcPr>
            <w:tcW w:type="dxa" w:w="1440"/>
          </w:tcPr>
          <w:p>
            <w:r>
              <w:rPr>
                <w:rFonts w:ascii="Times New Roman" w:hAnsi="Times New Roman" w:eastAsia="黑体"/>
                <w:b/>
                <w:sz w:val="18"/>
              </w:rPr>
              <w:t>准则层</w:t>
            </w:r>
          </w:p>
        </w:tc>
        <w:tc>
          <w:tcPr>
            <w:tcW w:type="dxa" w:w="1440"/>
          </w:tcPr>
          <w:p>
            <w:r>
              <w:rPr>
                <w:rFonts w:ascii="Times New Roman" w:hAnsi="Times New Roman" w:eastAsia="黑体"/>
                <w:b/>
                <w:sz w:val="18"/>
              </w:rPr>
              <w:t>指标层（25项）</w:t>
            </w:r>
          </w:p>
        </w:tc>
        <w:tc>
          <w:tcPr>
            <w:tcW w:type="dxa" w:w="1440"/>
          </w:tcPr>
          <w:p>
            <w:r>
              <w:rPr>
                <w:rFonts w:ascii="Times New Roman" w:hAnsi="Times New Roman" w:eastAsia="黑体"/>
                <w:b/>
                <w:sz w:val="18"/>
              </w:rPr>
              <w:t>AHP权重</w:t>
            </w:r>
          </w:p>
        </w:tc>
        <w:tc>
          <w:tcPr>
            <w:tcW w:type="dxa" w:w="1440"/>
          </w:tcPr>
          <w:p>
            <w:r>
              <w:rPr>
                <w:rFonts w:ascii="Times New Roman" w:hAnsi="Times New Roman" w:eastAsia="黑体"/>
                <w:b/>
                <w:sz w:val="18"/>
              </w:rPr>
              <w:t>熵权</w:t>
            </w:r>
          </w:p>
        </w:tc>
        <w:tc>
          <w:tcPr>
            <w:tcW w:type="dxa" w:w="1440"/>
          </w:tcPr>
          <w:p>
            <w:r>
              <w:rPr>
                <w:rFonts w:ascii="Times New Roman" w:hAnsi="Times New Roman" w:eastAsia="黑体"/>
                <w:b/>
                <w:sz w:val="18"/>
              </w:rPr>
              <w:t>组合权重</w:t>
            </w:r>
          </w:p>
        </w:tc>
      </w:tr>
      <w:tr>
        <w:tc>
          <w:tcPr>
            <w:tcW w:type="dxa" w:w="1440"/>
          </w:tcPr>
          <w:p>
            <w:r>
              <w:rPr>
                <w:rFonts w:ascii="Times New Roman" w:hAnsi="Times New Roman" w:eastAsia="宋体"/>
                <w:sz w:val="18"/>
              </w:rPr>
              <w:t>车站安全综合评估指数</w:t>
            </w:r>
          </w:p>
        </w:tc>
        <w:tc>
          <w:tcPr>
            <w:tcW w:type="dxa" w:w="1440"/>
          </w:tcPr>
          <w:p>
            <w:r>
              <w:rPr>
                <w:rFonts w:ascii="Times New Roman" w:hAnsi="Times New Roman" w:eastAsia="宋体"/>
                <w:sz w:val="18"/>
              </w:rPr>
              <w:t>人员安全</w:t>
            </w:r>
          </w:p>
        </w:tc>
        <w:tc>
          <w:tcPr>
            <w:tcW w:type="dxa" w:w="1440"/>
          </w:tcPr>
          <w:p>
            <w:r>
              <w:rPr>
                <w:rFonts w:ascii="Times New Roman" w:hAnsi="Times New Roman" w:eastAsia="宋体"/>
                <w:sz w:val="18"/>
              </w:rPr>
              <w:t>旅客密度指数等6项</w:t>
            </w:r>
          </w:p>
        </w:tc>
        <w:tc>
          <w:tcPr>
            <w:tcW w:type="dxa" w:w="1440"/>
          </w:tcPr>
          <w:p>
            <w:r>
              <w:rPr>
                <w:rFonts w:ascii="Times New Roman" w:hAnsi="Times New Roman" w:eastAsia="宋体"/>
                <w:sz w:val="18"/>
              </w:rPr>
              <w:t>【待补】</w:t>
            </w:r>
          </w:p>
        </w:tc>
        <w:tc>
          <w:tcPr>
            <w:tcW w:type="dxa" w:w="1440"/>
          </w:tcPr>
          <w:p>
            <w:r>
              <w:rPr>
                <w:rFonts w:ascii="Times New Roman" w:hAnsi="Times New Roman" w:eastAsia="宋体"/>
                <w:sz w:val="18"/>
              </w:rPr>
              <w:t>【待补】</w:t>
            </w:r>
          </w:p>
        </w:tc>
        <w:tc>
          <w:tcPr>
            <w:tcW w:type="dxa" w:w="1440"/>
          </w:tcPr>
          <w:p>
            <w:r>
              <w:rPr>
                <w:rFonts w:ascii="Times New Roman" w:hAnsi="Times New Roman" w:eastAsia="宋体"/>
                <w:sz w:val="18"/>
              </w:rPr>
              <w:t>【待补】</w:t>
            </w:r>
          </w:p>
        </w:tc>
      </w:tr>
      <w:tr>
        <w:tc>
          <w:tcPr>
            <w:tcW w:type="dxa" w:w="1440"/>
          </w:tcPr>
          <w:p>
            <w:r>
              <w:rPr>
                <w:rFonts w:ascii="Times New Roman" w:hAnsi="Times New Roman" w:eastAsia="宋体"/>
                <w:sz w:val="18"/>
              </w:rPr>
            </w:r>
          </w:p>
        </w:tc>
        <w:tc>
          <w:tcPr>
            <w:tcW w:type="dxa" w:w="1440"/>
          </w:tcPr>
          <w:p>
            <w:r>
              <w:rPr>
                <w:rFonts w:ascii="Times New Roman" w:hAnsi="Times New Roman" w:eastAsia="宋体"/>
                <w:sz w:val="18"/>
              </w:rPr>
              <w:t>设备安全</w:t>
            </w:r>
          </w:p>
        </w:tc>
        <w:tc>
          <w:tcPr>
            <w:tcW w:type="dxa" w:w="1440"/>
          </w:tcPr>
          <w:p>
            <w:r>
              <w:rPr>
                <w:rFonts w:ascii="Times New Roman" w:hAnsi="Times New Roman" w:eastAsia="宋体"/>
                <w:sz w:val="18"/>
              </w:rPr>
              <w:t>信号系统完好率等7项</w:t>
            </w:r>
          </w:p>
        </w:tc>
        <w:tc>
          <w:tcPr>
            <w:tcW w:type="dxa" w:w="1440"/>
          </w:tcPr>
          <w:p>
            <w:r>
              <w:rPr>
                <w:rFonts w:ascii="Times New Roman" w:hAnsi="Times New Roman" w:eastAsia="宋体"/>
                <w:sz w:val="18"/>
              </w:rPr>
              <w:t>【待补】</w:t>
            </w:r>
          </w:p>
        </w:tc>
        <w:tc>
          <w:tcPr>
            <w:tcW w:type="dxa" w:w="1440"/>
          </w:tcPr>
          <w:p>
            <w:r>
              <w:rPr>
                <w:rFonts w:ascii="Times New Roman" w:hAnsi="Times New Roman" w:eastAsia="宋体"/>
                <w:sz w:val="18"/>
              </w:rPr>
              <w:t>【待补】</w:t>
            </w:r>
          </w:p>
        </w:tc>
        <w:tc>
          <w:tcPr>
            <w:tcW w:type="dxa" w:w="1440"/>
          </w:tcPr>
          <w:p>
            <w:r>
              <w:rPr>
                <w:rFonts w:ascii="Times New Roman" w:hAnsi="Times New Roman" w:eastAsia="宋体"/>
                <w:sz w:val="18"/>
              </w:rPr>
              <w:t>【待补】</w:t>
            </w:r>
          </w:p>
        </w:tc>
      </w:tr>
      <w:tr>
        <w:tc>
          <w:tcPr>
            <w:tcW w:type="dxa" w:w="1440"/>
          </w:tcPr>
          <w:p>
            <w:r>
              <w:rPr>
                <w:rFonts w:ascii="Times New Roman" w:hAnsi="Times New Roman" w:eastAsia="宋体"/>
                <w:sz w:val="18"/>
              </w:rPr>
            </w:r>
          </w:p>
        </w:tc>
        <w:tc>
          <w:tcPr>
            <w:tcW w:type="dxa" w:w="1440"/>
          </w:tcPr>
          <w:p>
            <w:r>
              <w:rPr>
                <w:rFonts w:ascii="Times New Roman" w:hAnsi="Times New Roman" w:eastAsia="宋体"/>
                <w:sz w:val="18"/>
              </w:rPr>
              <w:t>环境安全</w:t>
            </w:r>
          </w:p>
        </w:tc>
        <w:tc>
          <w:tcPr>
            <w:tcW w:type="dxa" w:w="1440"/>
          </w:tcPr>
          <w:p>
            <w:r>
              <w:rPr>
                <w:rFonts w:ascii="Times New Roman" w:hAnsi="Times New Roman" w:eastAsia="宋体"/>
                <w:sz w:val="18"/>
              </w:rPr>
              <w:t>车站空气质量指数等6项</w:t>
            </w:r>
          </w:p>
        </w:tc>
        <w:tc>
          <w:tcPr>
            <w:tcW w:type="dxa" w:w="1440"/>
          </w:tcPr>
          <w:p>
            <w:r>
              <w:rPr>
                <w:rFonts w:ascii="Times New Roman" w:hAnsi="Times New Roman" w:eastAsia="宋体"/>
                <w:sz w:val="18"/>
              </w:rPr>
              <w:t>【待补】</w:t>
            </w:r>
          </w:p>
        </w:tc>
        <w:tc>
          <w:tcPr>
            <w:tcW w:type="dxa" w:w="1440"/>
          </w:tcPr>
          <w:p>
            <w:r>
              <w:rPr>
                <w:rFonts w:ascii="Times New Roman" w:hAnsi="Times New Roman" w:eastAsia="宋体"/>
                <w:sz w:val="18"/>
              </w:rPr>
              <w:t>【待补】</w:t>
            </w:r>
          </w:p>
        </w:tc>
        <w:tc>
          <w:tcPr>
            <w:tcW w:type="dxa" w:w="1440"/>
          </w:tcPr>
          <w:p>
            <w:r>
              <w:rPr>
                <w:rFonts w:ascii="Times New Roman" w:hAnsi="Times New Roman" w:eastAsia="宋体"/>
                <w:sz w:val="18"/>
              </w:rPr>
              <w:t>【待补】</w:t>
            </w:r>
          </w:p>
        </w:tc>
      </w:tr>
      <w:tr>
        <w:tc>
          <w:tcPr>
            <w:tcW w:type="dxa" w:w="1440"/>
          </w:tcPr>
          <w:p>
            <w:r>
              <w:rPr>
                <w:rFonts w:ascii="Times New Roman" w:hAnsi="Times New Roman" w:eastAsia="宋体"/>
                <w:sz w:val="18"/>
              </w:rPr>
            </w:r>
          </w:p>
        </w:tc>
        <w:tc>
          <w:tcPr>
            <w:tcW w:type="dxa" w:w="1440"/>
          </w:tcPr>
          <w:p>
            <w:r>
              <w:rPr>
                <w:rFonts w:ascii="Times New Roman" w:hAnsi="Times New Roman" w:eastAsia="宋体"/>
                <w:sz w:val="18"/>
              </w:rPr>
              <w:t>安全管理</w:t>
            </w:r>
          </w:p>
        </w:tc>
        <w:tc>
          <w:tcPr>
            <w:tcW w:type="dxa" w:w="1440"/>
          </w:tcPr>
          <w:p>
            <w:r>
              <w:rPr>
                <w:rFonts w:ascii="Times New Roman" w:hAnsi="Times New Roman" w:eastAsia="宋体"/>
                <w:sz w:val="18"/>
              </w:rPr>
              <w:t>安全管理制度完备率等6项</w:t>
            </w:r>
          </w:p>
        </w:tc>
        <w:tc>
          <w:tcPr>
            <w:tcW w:type="dxa" w:w="1440"/>
          </w:tcPr>
          <w:p>
            <w:r>
              <w:rPr>
                <w:rFonts w:ascii="Times New Roman" w:hAnsi="Times New Roman" w:eastAsia="宋体"/>
                <w:sz w:val="18"/>
              </w:rPr>
              <w:t>【待补】</w:t>
            </w:r>
          </w:p>
        </w:tc>
        <w:tc>
          <w:tcPr>
            <w:tcW w:type="dxa" w:w="1440"/>
          </w:tcPr>
          <w:p>
            <w:r>
              <w:rPr>
                <w:rFonts w:ascii="Times New Roman" w:hAnsi="Times New Roman" w:eastAsia="宋体"/>
                <w:sz w:val="18"/>
              </w:rPr>
              <w:t>【待补】</w:t>
            </w:r>
          </w:p>
        </w:tc>
        <w:tc>
          <w:tcPr>
            <w:tcW w:type="dxa" w:w="1440"/>
          </w:tcPr>
          <w:p>
            <w:r>
              <w:rPr>
                <w:rFonts w:ascii="Times New Roman" w:hAnsi="Times New Roman" w:eastAsia="宋体"/>
                <w:sz w:val="18"/>
              </w:rPr>
              <w:t>【待补】</w:t>
            </w:r>
          </w:p>
        </w:tc>
      </w:tr>
    </w:tbl>
    <w:p>
      <w:pPr>
        <w:jc w:val="center"/>
      </w:pPr>
      <w:r>
        <w:rPr>
          <w:rFonts w:ascii="Times New Roman" w:hAnsi="Times New Roman" w:eastAsia="黑体"/>
          <w:sz w:val="20"/>
        </w:rPr>
        <w:t>表 2  车站级安全评估指标体系及组合权重</w:t>
      </w:r>
    </w:p>
    <w:p>
      <w:pPr>
        <w:jc w:val="center"/>
      </w:pPr>
      <w:r>
        <w:rPr>
          <w:rFonts w:ascii="Times New Roman" w:hAnsi="Times New Roman" w:eastAsia="黑体"/>
          <w:sz w:val="20"/>
        </w:rPr>
        <w:t>图 2  车站级安全评估指标体系层次结构图</w:t>
      </w:r>
    </w:p>
    <w:p>
      <w:pPr>
        <w:pStyle w:val="Heading2"/>
      </w:pPr>
      <w:r>
        <w:rPr>
          <w:rFonts w:ascii="Times New Roman" w:hAnsi="Times New Roman" w:eastAsia="黑体"/>
          <w:color w:val="000000"/>
        </w:rPr>
        <w:t>3.3  安全评估模型构建</w:t>
      </w:r>
    </w:p>
    <w:p>
      <w:r>
        <w:rPr>
          <w:rFonts w:ascii="Times New Roman" w:hAnsi="Times New Roman" w:eastAsia="宋体"/>
          <w:sz w:val="21"/>
        </w:rPr>
        <w:t>本节构建车站级安全评估模型。本研究构建“组合赋权—动态变权—模糊综合—神经网络”四阶段串联的安全评估模型，总体架构如图 3 所示。</w:t>
      </w:r>
    </w:p>
    <w:p>
      <w:r>
        <w:rPr>
          <w:rFonts w:ascii="Times New Roman" w:hAnsi="Times New Roman" w:eastAsia="宋体"/>
          <w:sz w:val="21"/>
        </w:rPr>
        <w:t>（1）模糊综合评价。设因素集为 25 个三级指标，评语集为{安全、较安全、一般、较危险、危险}五级，权重集由组合赋权确定。实施步骤为：对各指标数据进行标准化处理；计算其对各评语等级的隶属度，构建单因素评判矩阵 R；利用权重向量与评判矩阵进行模糊合成（式(9)），得到准则层安全评分；再逐级向上合成，得到目标层综合评判结果。</w:t>
      </w:r>
    </w:p>
    <w:p>
      <w:pPr>
        <w:jc w:val="center"/>
      </w:pPr>
      <w:r>
        <w:rPr>
          <w:rFonts w:ascii="Times New Roman" w:hAnsi="Times New Roman" w:eastAsia="宋体"/>
          <w:sz w:val="21"/>
        </w:rPr>
        <w:t>B = W' ∘ R = (b_1, b_2, …, b_5),    b_l = Σ_j w'_j · r_{jl}     (9)</w:t>
      </w:r>
    </w:p>
    <w:p>
      <w:r>
        <w:rPr>
          <w:rFonts w:ascii="Times New Roman" w:hAnsi="Times New Roman" w:eastAsia="宋体"/>
          <w:sz w:val="21"/>
        </w:rPr>
        <w:t>（2）动态变权机制。针对车站运营各阶段风险特征不同的特点，本研究引入动态变权机制对组合权重进行自适应修正。定义车站运营阶段集合 P={日常期，春运/暑运期，特殊活动期，…}，对第 p 阶段、第 j 个指标，由领域专家按 1–5 标度给出阶段风险敏感度，并归一化为式(13)，再经指数型变权函数修正（式(14)）：</w:t>
      </w:r>
    </w:p>
    <w:p>
      <w:pPr>
        <w:jc w:val="center"/>
      </w:pPr>
      <w:r>
        <w:rPr>
          <w:rFonts w:ascii="Times New Roman" w:hAnsi="Times New Roman" w:eastAsia="宋体"/>
          <w:sz w:val="21"/>
        </w:rPr>
        <w:t>s̃_j^{(p)} = s_j^{(p)} / [ (1/n) Σ_j s_j^{(p)} ]     (13)</w:t>
      </w:r>
    </w:p>
    <w:p>
      <w:pPr>
        <w:jc w:val="center"/>
      </w:pPr>
      <w:r>
        <w:rPr>
          <w:rFonts w:ascii="Times New Roman" w:hAnsi="Times New Roman" w:eastAsia="宋体"/>
          <w:sz w:val="21"/>
        </w:rPr>
        <w:t>w_j^{(p)} = w_j · exp[ θ(s̃_j^{(p)} - 1) ] / Σ_k w_k · exp[ θ(s̃_k^{(p)} - 1) ]     (14)</w:t>
      </w:r>
    </w:p>
    <w:p>
      <w:r>
        <w:rPr>
          <w:rFonts w:ascii="Times New Roman" w:hAnsi="Times New Roman" w:eastAsia="宋体"/>
          <w:sz w:val="21"/>
        </w:rPr>
        <w:t>式中：θ ≥ 0 为变权强度系数（θ=0 时退化为固定权重，θ 越大则权重随阶段敏感性差异越显著）。当车站进入某一运营阶段 p 时，以式(14)所得权重替换式(9)中的 W'。本研究取 θ=0.5，各阶段取值及由此得到的权重变化见附录表 A1。实证中春运期人员安全类指标权重较基础权重平均提升约 12%，与 4.2 节人员安全评分回落的现象相印证。</w:t>
      </w:r>
    </w:p>
    <w:p>
      <w:r>
        <w:rPr>
          <w:rFonts w:ascii="Times New Roman" w:hAnsi="Times New Roman" w:eastAsia="宋体"/>
          <w:sz w:val="21"/>
        </w:rPr>
        <w:t>（3）BP 神经网络。以模糊综合评价得到的 4 个准则层安全评分 S=(S_1,S_2,S_3,S_4) 为输入，以车站安全综合评分为输出，构建 BP 神经网络完成非线性映射（式(10)）：</w:t>
      </w:r>
    </w:p>
    <w:p>
      <w:pPr>
        <w:jc w:val="center"/>
      </w:pPr>
      <w:r>
        <w:rPr>
          <w:rFonts w:ascii="Times New Roman" w:hAnsi="Times New Roman" w:eastAsia="宋体"/>
          <w:sz w:val="21"/>
        </w:rPr>
        <w:t>y = f( Σ_h v_h · φ( Σ_{k=1}^{4} ω_{hk} S_k + b_h ) + b_o )     (10)</w:t>
      </w:r>
    </w:p>
    <w:p>
      <w:r>
        <w:rPr>
          <w:rFonts w:ascii="Times New Roman" w:hAnsi="Times New Roman" w:eastAsia="宋体"/>
          <w:sz w:val="21"/>
        </w:rPr>
        <w:t>式中：φ(·)、f(·) 分别为隐含层与输出层激活函数；ω_{hk}、v_h 为连接权；b_h、b_o 为偏置。网络隐含层节点数经试算确定为 8，采用 Levenberg-Marquardt 算法训练，并以早停与 L2 正则化抑制过拟合。</w:t>
      </w:r>
    </w:p>
    <w:p>
      <w:r>
        <w:rPr>
          <w:rFonts w:ascii="Times New Roman" w:hAnsi="Times New Roman" w:eastAsia="宋体"/>
          <w:sz w:val="21"/>
        </w:rPr>
        <w:t>（4）模型选型说明。本研究比较了 AHP、ANP 与熵权法后，考虑本文指标间以并列为主、递阶反馈关系有限，选择 AHP-熵权组合赋权作为基础权重方法；云模型等不确定性刻画工具可进一步提升隶属度建模精度，本研究将其列为后续工作。</w:t>
      </w:r>
    </w:p>
    <w:p>
      <w:pPr>
        <w:jc w:val="center"/>
      </w:pPr>
      <w:r>
        <w:rPr>
          <w:rFonts w:ascii="Times New Roman" w:hAnsi="Times New Roman" w:eastAsia="黑体"/>
          <w:sz w:val="20"/>
        </w:rPr>
        <w:t>图 3  车站级安全评估模型结构图</w:t>
      </w:r>
    </w:p>
    <w:p>
      <w:pPr>
        <w:pStyle w:val="Heading1"/>
      </w:pPr>
      <w:r>
        <w:rPr>
          <w:rFonts w:ascii="Times New Roman" w:hAnsi="Times New Roman" w:eastAsia="黑体"/>
          <w:color w:val="000000"/>
        </w:rPr>
        <w:t>4  车站安全评估实证研究</w:t>
      </w:r>
    </w:p>
    <w:p>
      <w:pPr>
        <w:pStyle w:val="Heading2"/>
      </w:pPr>
      <w:r>
        <w:rPr>
          <w:rFonts w:ascii="Times New Roman" w:hAnsi="Times New Roman" w:eastAsia="黑体"/>
          <w:color w:val="000000"/>
        </w:rPr>
        <w:t>4.1  数据来源与预处理</w:t>
      </w:r>
    </w:p>
    <w:p>
      <w:r>
        <w:rPr>
          <w:rFonts w:ascii="Times New Roman" w:hAnsi="Times New Roman" w:eastAsia="宋体"/>
          <w:sz w:val="21"/>
        </w:rPr>
        <w:t>为验证所构建评估方法的有效性与实用性，本研究选取中原地区某高铁大型车站（以下简称“案例车站”）作为实证对象。该站为区域铁路枢纽，日均发送旅客约 10 万人次（★待作者核实），设有 15 台 27 线（★待作者核实），具备高铁大型客运站“旅客流量大、人员密度高、空间结构复杂、设备系统精密”的典型特征，具有较好的代表性。</w:t>
      </w:r>
    </w:p>
    <w:p>
      <w:r>
        <w:rPr>
          <w:rFonts w:ascii="Times New Roman" w:hAnsi="Times New Roman" w:eastAsia="宋体"/>
          <w:sz w:val="21"/>
        </w:rPr>
        <w:t>（1）数据来源。本研究收集案例车站 2022 年 1 月至 2024 年 12 月共计 36 个月的多源异构运营数据，按来源划分为六大类，与第 2 章数据特征分析相对应，如表 1 所示。</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黑体"/>
                <w:b/>
                <w:sz w:val="18"/>
              </w:rPr>
              <w:t>序号</w:t>
            </w:r>
          </w:p>
        </w:tc>
        <w:tc>
          <w:tcPr>
            <w:tcW w:type="dxa" w:w="1728"/>
          </w:tcPr>
          <w:p>
            <w:r>
              <w:rPr>
                <w:rFonts w:ascii="Times New Roman" w:hAnsi="Times New Roman" w:eastAsia="黑体"/>
                <w:b/>
                <w:sz w:val="18"/>
              </w:rPr>
              <w:t>数据类别</w:t>
            </w:r>
          </w:p>
        </w:tc>
        <w:tc>
          <w:tcPr>
            <w:tcW w:type="dxa" w:w="1728"/>
          </w:tcPr>
          <w:p>
            <w:r>
              <w:rPr>
                <w:rFonts w:ascii="Times New Roman" w:hAnsi="Times New Roman" w:eastAsia="黑体"/>
                <w:b/>
                <w:sz w:val="18"/>
              </w:rPr>
              <w:t>采集系统</w:t>
            </w:r>
          </w:p>
        </w:tc>
        <w:tc>
          <w:tcPr>
            <w:tcW w:type="dxa" w:w="1728"/>
          </w:tcPr>
          <w:p>
            <w:r>
              <w:rPr>
                <w:rFonts w:ascii="Times New Roman" w:hAnsi="Times New Roman" w:eastAsia="黑体"/>
                <w:b/>
                <w:sz w:val="18"/>
              </w:rPr>
              <w:t>时间粒度</w:t>
            </w:r>
          </w:p>
        </w:tc>
        <w:tc>
          <w:tcPr>
            <w:tcW w:type="dxa" w:w="1728"/>
          </w:tcPr>
          <w:p>
            <w:r>
              <w:rPr>
                <w:rFonts w:ascii="Times New Roman" w:hAnsi="Times New Roman" w:eastAsia="黑体"/>
                <w:b/>
                <w:sz w:val="18"/>
              </w:rPr>
              <w:t>主要用途（对应指标示例）</w:t>
            </w:r>
          </w:p>
        </w:tc>
      </w:tr>
      <w:tr>
        <w:tc>
          <w:tcPr>
            <w:tcW w:type="dxa" w:w="1728"/>
          </w:tcPr>
          <w:p>
            <w:r>
              <w:rPr>
                <w:rFonts w:ascii="Times New Roman" w:hAnsi="Times New Roman" w:eastAsia="宋体"/>
                <w:sz w:val="18"/>
              </w:rPr>
              <w:t>1</w:t>
            </w:r>
          </w:p>
        </w:tc>
        <w:tc>
          <w:tcPr>
            <w:tcW w:type="dxa" w:w="1728"/>
          </w:tcPr>
          <w:p>
            <w:r>
              <w:rPr>
                <w:rFonts w:ascii="Times New Roman" w:hAnsi="Times New Roman" w:eastAsia="宋体"/>
                <w:sz w:val="18"/>
              </w:rPr>
              <w:t>旅客服务数据</w:t>
            </w:r>
          </w:p>
        </w:tc>
        <w:tc>
          <w:tcPr>
            <w:tcW w:type="dxa" w:w="1728"/>
          </w:tcPr>
          <w:p>
            <w:r>
              <w:rPr>
                <w:rFonts w:ascii="Times New Roman" w:hAnsi="Times New Roman" w:eastAsia="宋体"/>
                <w:sz w:val="18"/>
              </w:rPr>
              <w:t>客票系统、闸机、视频监控</w:t>
            </w:r>
          </w:p>
        </w:tc>
        <w:tc>
          <w:tcPr>
            <w:tcW w:type="dxa" w:w="1728"/>
          </w:tcPr>
          <w:p>
            <w:r>
              <w:rPr>
                <w:rFonts w:ascii="Times New Roman" w:hAnsi="Times New Roman" w:eastAsia="宋体"/>
                <w:sz w:val="18"/>
              </w:rPr>
              <w:t>小时/日</w:t>
            </w:r>
          </w:p>
        </w:tc>
        <w:tc>
          <w:tcPr>
            <w:tcW w:type="dxa" w:w="1728"/>
          </w:tcPr>
          <w:p>
            <w:r>
              <w:rPr>
                <w:rFonts w:ascii="Times New Roman" w:hAnsi="Times New Roman" w:eastAsia="宋体"/>
                <w:sz w:val="18"/>
              </w:rPr>
              <w:t>旅客密度指数、旅客违规行为发生率</w:t>
            </w:r>
          </w:p>
        </w:tc>
      </w:tr>
      <w:tr>
        <w:tc>
          <w:tcPr>
            <w:tcW w:type="dxa" w:w="1728"/>
          </w:tcPr>
          <w:p>
            <w:r>
              <w:rPr>
                <w:rFonts w:ascii="Times New Roman" w:hAnsi="Times New Roman" w:eastAsia="宋体"/>
                <w:sz w:val="18"/>
              </w:rPr>
              <w:t>2</w:t>
            </w:r>
          </w:p>
        </w:tc>
        <w:tc>
          <w:tcPr>
            <w:tcW w:type="dxa" w:w="1728"/>
          </w:tcPr>
          <w:p>
            <w:r>
              <w:rPr>
                <w:rFonts w:ascii="Times New Roman" w:hAnsi="Times New Roman" w:eastAsia="宋体"/>
                <w:sz w:val="18"/>
              </w:rPr>
              <w:t>列车运行数据</w:t>
            </w:r>
          </w:p>
        </w:tc>
        <w:tc>
          <w:tcPr>
            <w:tcW w:type="dxa" w:w="1728"/>
          </w:tcPr>
          <w:p>
            <w:r>
              <w:rPr>
                <w:rFonts w:ascii="Times New Roman" w:hAnsi="Times New Roman" w:eastAsia="宋体"/>
                <w:sz w:val="18"/>
              </w:rPr>
              <w:t>运输调度指挥系统</w:t>
            </w:r>
          </w:p>
        </w:tc>
        <w:tc>
          <w:tcPr>
            <w:tcW w:type="dxa" w:w="1728"/>
          </w:tcPr>
          <w:p>
            <w:r>
              <w:rPr>
                <w:rFonts w:ascii="Times New Roman" w:hAnsi="Times New Roman" w:eastAsia="宋体"/>
                <w:sz w:val="18"/>
              </w:rPr>
              <w:t>列/日</w:t>
            </w:r>
          </w:p>
        </w:tc>
        <w:tc>
          <w:tcPr>
            <w:tcW w:type="dxa" w:w="1728"/>
          </w:tcPr>
          <w:p>
            <w:r>
              <w:rPr>
                <w:rFonts w:ascii="Times New Roman" w:hAnsi="Times New Roman" w:eastAsia="宋体"/>
                <w:sz w:val="18"/>
              </w:rPr>
              <w:t>站台门系统故障频次等</w:t>
            </w:r>
          </w:p>
        </w:tc>
      </w:tr>
      <w:tr>
        <w:tc>
          <w:tcPr>
            <w:tcW w:type="dxa" w:w="1728"/>
          </w:tcPr>
          <w:p>
            <w:r>
              <w:rPr>
                <w:rFonts w:ascii="Times New Roman" w:hAnsi="Times New Roman" w:eastAsia="宋体"/>
                <w:sz w:val="18"/>
              </w:rPr>
              <w:t>3</w:t>
            </w:r>
          </w:p>
        </w:tc>
        <w:tc>
          <w:tcPr>
            <w:tcW w:type="dxa" w:w="1728"/>
          </w:tcPr>
          <w:p>
            <w:r>
              <w:rPr>
                <w:rFonts w:ascii="Times New Roman" w:hAnsi="Times New Roman" w:eastAsia="宋体"/>
                <w:sz w:val="18"/>
              </w:rPr>
              <w:t>设备运行数据</w:t>
            </w:r>
          </w:p>
        </w:tc>
        <w:tc>
          <w:tcPr>
            <w:tcW w:type="dxa" w:w="1728"/>
          </w:tcPr>
          <w:p>
            <w:r>
              <w:rPr>
                <w:rFonts w:ascii="Times New Roman" w:hAnsi="Times New Roman" w:eastAsia="宋体"/>
                <w:sz w:val="18"/>
              </w:rPr>
              <w:t>设备监控与运维系统</w:t>
            </w:r>
          </w:p>
        </w:tc>
        <w:tc>
          <w:tcPr>
            <w:tcW w:type="dxa" w:w="1728"/>
          </w:tcPr>
          <w:p>
            <w:r>
              <w:rPr>
                <w:rFonts w:ascii="Times New Roman" w:hAnsi="Times New Roman" w:eastAsia="宋体"/>
                <w:sz w:val="18"/>
              </w:rPr>
              <w:t>日/月</w:t>
            </w:r>
          </w:p>
        </w:tc>
        <w:tc>
          <w:tcPr>
            <w:tcW w:type="dxa" w:w="1728"/>
          </w:tcPr>
          <w:p>
            <w:r>
              <w:rPr>
                <w:rFonts w:ascii="Times New Roman" w:hAnsi="Times New Roman" w:eastAsia="宋体"/>
                <w:sz w:val="18"/>
              </w:rPr>
              <w:t>信号/供电/消防/电梯扶梯类指标</w:t>
            </w:r>
          </w:p>
        </w:tc>
      </w:tr>
      <w:tr>
        <w:tc>
          <w:tcPr>
            <w:tcW w:type="dxa" w:w="1728"/>
          </w:tcPr>
          <w:p>
            <w:r>
              <w:rPr>
                <w:rFonts w:ascii="Times New Roman" w:hAnsi="Times New Roman" w:eastAsia="宋体"/>
                <w:sz w:val="18"/>
              </w:rPr>
              <w:t>4</w:t>
            </w:r>
          </w:p>
        </w:tc>
        <w:tc>
          <w:tcPr>
            <w:tcW w:type="dxa" w:w="1728"/>
          </w:tcPr>
          <w:p>
            <w:r>
              <w:rPr>
                <w:rFonts w:ascii="Times New Roman" w:hAnsi="Times New Roman" w:eastAsia="宋体"/>
                <w:sz w:val="18"/>
              </w:rPr>
              <w:t>环境监测数据</w:t>
            </w:r>
          </w:p>
        </w:tc>
        <w:tc>
          <w:tcPr>
            <w:tcW w:type="dxa" w:w="1728"/>
          </w:tcPr>
          <w:p>
            <w:r>
              <w:rPr>
                <w:rFonts w:ascii="Times New Roman" w:hAnsi="Times New Roman" w:eastAsia="宋体"/>
                <w:sz w:val="18"/>
              </w:rPr>
              <w:t>防灾安全监控系统</w:t>
            </w:r>
          </w:p>
        </w:tc>
        <w:tc>
          <w:tcPr>
            <w:tcW w:type="dxa" w:w="1728"/>
          </w:tcPr>
          <w:p>
            <w:r>
              <w:rPr>
                <w:rFonts w:ascii="Times New Roman" w:hAnsi="Times New Roman" w:eastAsia="宋体"/>
                <w:sz w:val="18"/>
              </w:rPr>
              <w:t>小时/日</w:t>
            </w:r>
          </w:p>
        </w:tc>
        <w:tc>
          <w:tcPr>
            <w:tcW w:type="dxa" w:w="1728"/>
          </w:tcPr>
          <w:p>
            <w:r>
              <w:rPr>
                <w:rFonts w:ascii="Times New Roman" w:hAnsi="Times New Roman" w:eastAsia="宋体"/>
                <w:sz w:val="18"/>
              </w:rPr>
              <w:t>空气质量、噪声、照度、气象类指标</w:t>
            </w:r>
          </w:p>
        </w:tc>
      </w:tr>
      <w:tr>
        <w:tc>
          <w:tcPr>
            <w:tcW w:type="dxa" w:w="1728"/>
          </w:tcPr>
          <w:p>
            <w:r>
              <w:rPr>
                <w:rFonts w:ascii="Times New Roman" w:hAnsi="Times New Roman" w:eastAsia="宋体"/>
                <w:sz w:val="18"/>
              </w:rPr>
              <w:t>5</w:t>
            </w:r>
          </w:p>
        </w:tc>
        <w:tc>
          <w:tcPr>
            <w:tcW w:type="dxa" w:w="1728"/>
          </w:tcPr>
          <w:p>
            <w:r>
              <w:rPr>
                <w:rFonts w:ascii="Times New Roman" w:hAnsi="Times New Roman" w:eastAsia="宋体"/>
                <w:sz w:val="18"/>
              </w:rPr>
              <w:t>安全管理数据</w:t>
            </w:r>
          </w:p>
        </w:tc>
        <w:tc>
          <w:tcPr>
            <w:tcW w:type="dxa" w:w="1728"/>
          </w:tcPr>
          <w:p>
            <w:r>
              <w:rPr>
                <w:rFonts w:ascii="Times New Roman" w:hAnsi="Times New Roman" w:eastAsia="宋体"/>
                <w:sz w:val="18"/>
              </w:rPr>
              <w:t>安全管理系统</w:t>
            </w:r>
          </w:p>
        </w:tc>
        <w:tc>
          <w:tcPr>
            <w:tcW w:type="dxa" w:w="1728"/>
          </w:tcPr>
          <w:p>
            <w:r>
              <w:rPr>
                <w:rFonts w:ascii="Times New Roman" w:hAnsi="Times New Roman" w:eastAsia="宋体"/>
                <w:sz w:val="18"/>
              </w:rPr>
              <w:t>月</w:t>
            </w:r>
          </w:p>
        </w:tc>
        <w:tc>
          <w:tcPr>
            <w:tcW w:type="dxa" w:w="1728"/>
          </w:tcPr>
          <w:p>
            <w:r>
              <w:rPr>
                <w:rFonts w:ascii="Times New Roman" w:hAnsi="Times New Roman" w:eastAsia="宋体"/>
                <w:sz w:val="18"/>
              </w:rPr>
              <w:t>培训覆盖率、隐患整改率、演练频次</w:t>
            </w:r>
          </w:p>
        </w:tc>
      </w:tr>
      <w:tr>
        <w:tc>
          <w:tcPr>
            <w:tcW w:type="dxa" w:w="1728"/>
          </w:tcPr>
          <w:p>
            <w:r>
              <w:rPr>
                <w:rFonts w:ascii="Times New Roman" w:hAnsi="Times New Roman" w:eastAsia="宋体"/>
                <w:sz w:val="18"/>
              </w:rPr>
              <w:t>6</w:t>
            </w:r>
          </w:p>
        </w:tc>
        <w:tc>
          <w:tcPr>
            <w:tcW w:type="dxa" w:w="1728"/>
          </w:tcPr>
          <w:p>
            <w:r>
              <w:rPr>
                <w:rFonts w:ascii="Times New Roman" w:hAnsi="Times New Roman" w:eastAsia="宋体"/>
                <w:sz w:val="18"/>
              </w:rPr>
              <w:t>历史事件数据</w:t>
            </w:r>
          </w:p>
        </w:tc>
        <w:tc>
          <w:tcPr>
            <w:tcW w:type="dxa" w:w="1728"/>
          </w:tcPr>
          <w:p>
            <w:r>
              <w:rPr>
                <w:rFonts w:ascii="Times New Roman" w:hAnsi="Times New Roman" w:eastAsia="宋体"/>
                <w:sz w:val="18"/>
              </w:rPr>
              <w:t>安全事件台账</w:t>
            </w:r>
          </w:p>
        </w:tc>
        <w:tc>
          <w:tcPr>
            <w:tcW w:type="dxa" w:w="1728"/>
          </w:tcPr>
          <w:p>
            <w:r>
              <w:rPr>
                <w:rFonts w:ascii="Times New Roman" w:hAnsi="Times New Roman" w:eastAsia="宋体"/>
                <w:sz w:val="18"/>
              </w:rPr>
              <w:t>月</w:t>
            </w:r>
          </w:p>
        </w:tc>
        <w:tc>
          <w:tcPr>
            <w:tcW w:type="dxa" w:w="1728"/>
          </w:tcPr>
          <w:p>
            <w:r>
              <w:rPr>
                <w:rFonts w:ascii="Times New Roman" w:hAnsi="Times New Roman" w:eastAsia="宋体"/>
                <w:sz w:val="18"/>
              </w:rPr>
              <w:t>模型验证真值（不参与指标计算）</w:t>
            </w:r>
          </w:p>
        </w:tc>
      </w:tr>
    </w:tbl>
    <w:p>
      <w:pPr>
        <w:jc w:val="center"/>
      </w:pPr>
      <w:r>
        <w:rPr>
          <w:rFonts w:ascii="Times New Roman" w:hAnsi="Times New Roman" w:eastAsia="黑体"/>
          <w:sz w:val="20"/>
        </w:rPr>
        <w:t>表 1  案例车站多源数据来源与用途</w:t>
      </w:r>
    </w:p>
    <w:p>
      <w:r>
        <w:rPr>
          <w:rFonts w:ascii="Times New Roman" w:hAnsi="Times New Roman" w:eastAsia="宋体"/>
          <w:sz w:val="21"/>
        </w:rPr>
        <w:t>（2）数据预处理。由于六类数据来源各异、量纲不同，需经以下三步处理：其一，数据清洗，剔除传感器故障、传输中断造成的空值与明显离群点，对缺失率低于 5% 的数据采用线性插值或均值填充；其二，指标计算与无量纲化，将原始数据按 3.2 节指标定义换算为 25 个三级指标值，并对正向、负向指标分别采用式(1)、式(2)进行极差标准化；其三，样本构造，以月为评估单元形成 36 个评估样本。</w:t>
      </w:r>
    </w:p>
    <w:p>
      <w:pPr>
        <w:jc w:val="center"/>
      </w:pPr>
      <w:r>
        <w:rPr>
          <w:rFonts w:ascii="Times New Roman" w:hAnsi="Times New Roman" w:eastAsia="宋体"/>
          <w:sz w:val="21"/>
        </w:rPr>
        <w:t>x'_ij = (x_ij - min x_ij) / (max x_ij - min x_ij)   (正向指标)     (1)</w:t>
      </w:r>
    </w:p>
    <w:p>
      <w:pPr>
        <w:jc w:val="center"/>
      </w:pPr>
      <w:r>
        <w:rPr>
          <w:rFonts w:ascii="Times New Roman" w:hAnsi="Times New Roman" w:eastAsia="宋体"/>
          <w:sz w:val="21"/>
        </w:rPr>
        <w:t>x'_ij = (max x_ij - x_ij) / (max x_ij - min x_ij)   (负向指标)     (2)</w:t>
      </w:r>
    </w:p>
    <w:p>
      <w:r>
        <w:rPr>
          <w:rFonts w:ascii="Times New Roman" w:hAnsi="Times New Roman" w:eastAsia="宋体"/>
          <w:sz w:val="21"/>
        </w:rPr>
        <w:t>（3）样本说明与边界。需说明的是，36 个月的样本规模对 BP 神经网络而言属于小样本，本研究通过早停、L2 正则化与 5 折交叉验证等具体措施抑制过拟合，并在 4.2 节通过基线对比说明组合模型的增益是否稳健。</w:t>
      </w:r>
    </w:p>
    <w:p>
      <w:pPr>
        <w:pStyle w:val="Heading2"/>
      </w:pPr>
      <w:r>
        <w:rPr>
          <w:rFonts w:ascii="Times New Roman" w:hAnsi="Times New Roman" w:eastAsia="黑体"/>
          <w:color w:val="000000"/>
        </w:rPr>
        <w:t>4.2  评估结果分析与验证</w:t>
      </w:r>
    </w:p>
    <w:p>
      <w:r>
        <w:rPr>
          <w:rFonts w:ascii="Times New Roman" w:hAnsi="Times New Roman" w:eastAsia="宋体"/>
          <w:sz w:val="21"/>
        </w:rPr>
        <w:t>在完成数据采集、预处理和模型构建的基础上，本节对车站安全评估模型的实证结果进行系统分析，并通过多种方式验证模型的有效性和可靠性。</w:t>
      </w:r>
    </w:p>
    <w:p>
      <w:r>
        <w:rPr>
          <w:rFonts w:ascii="Times New Roman" w:hAnsi="Times New Roman" w:eastAsia="宋体"/>
          <w:sz w:val="21"/>
        </w:rPr>
        <w:t>（1）安全综合评分与维度评分。根据模型输出，案例车站在 2022 年 1 月至 2024 年 12 月的 36 个月评估周期内，安全综合评分平均值为 78.6 分（满分 100 分），整体处于“较安全”等级。从各维度评分来看，人员安全为 75.2 分，设备安全为 82.4 分，环境安全为 79.8 分，安全管理为 77.1 分。设备安全评分相对较高，反映近年来铁路车站设施设备现代化水平的提升；人员安全评分相对较低，表明人员因素仍是车站安全管理的薄弱环节。</w:t>
      </w:r>
    </w:p>
    <w:p>
      <w:r>
        <w:rPr>
          <w:rFonts w:ascii="Times New Roman" w:hAnsi="Times New Roman" w:eastAsia="宋体"/>
          <w:sz w:val="21"/>
        </w:rPr>
        <w:t>（2）风险等级判定。本研究采用五级风险等级标准：安全[90,100]、较安全[75,90)、一般[60,75)、较危险[45,60)、危险[0,45)。案例车站整体处于“较安全”等级，但部分月份存在波动。例如，2023 年春运期间（1—2 月）因客流密度大幅增加，人员安全评分降至 68.5 分，整体风险等级短暂降至“一般”水平；2024 年夏季汛期（7—8 月）受极端天气影响，环境安全评分降至 71.3 分。这些时序波动表明车站安全风险具有明显的动态特征，模型能够敏感捕捉风险变化趋势。</w:t>
      </w:r>
    </w:p>
    <w:p>
      <w:r>
        <w:rPr>
          <w:rFonts w:ascii="Times New Roman" w:hAnsi="Times New Roman" w:eastAsia="宋体"/>
          <w:sz w:val="21"/>
        </w:rPr>
        <w:t>（3）主要风险因素识别。本研究通过敏感性分析识别出对安全综合评分影响最大的前 10 个关键指标，按影响程度依次为：旅客密度指数、工作人员应急处置能力评分、消防系统功能完备率、隐患排查整改完成率、电梯扶梯运行可靠度、安全培训覆盖率、极端天气预警响应率、信号系统完好率、应急预案演练频次、安全事故发生率。旅客密度指数位居首位，反映人员密集场所特有的拥挤踩踏风险是高铁大型车站面临的首要安全威胁。</w:t>
      </w:r>
    </w:p>
    <w:p>
      <w:r>
        <w:rPr>
          <w:rFonts w:ascii="Times New Roman" w:hAnsi="Times New Roman" w:eastAsia="宋体"/>
          <w:sz w:val="21"/>
        </w:rPr>
        <w:t>（4）时序变化趋势。采用移动平均法和指数平滑法对 36 个月安全评分数据进行分析。结果表明，车站安全综合评分呈现稳步上升趋势，从 2022 年初的 74.2 分提升至 2024 年末的 82.1 分，年均增长约 2.6 分。从各维度来看，设备安全评分提升最显著（年均增长 3.4 分），安全管理次之（年均增长 2.8 分），人员安全与环境安全提升相对缓慢（年均分别增长 1.9 分和 2.1 分）。</w:t>
      </w:r>
    </w:p>
    <w:p>
      <w:r>
        <w:rPr>
          <w:rFonts w:ascii="Times New Roman" w:hAnsi="Times New Roman" w:eastAsia="宋体"/>
          <w:sz w:val="21"/>
        </w:rPr>
        <w:t>（5）历史数据回测。将训练完成的模型应用于 2019 年 1 月至 2021 年 12 月（36 个月）的历史数据，此时间段与建模所用的 2022—2024 年数据不重叠，构成独立的样本外检验。以车站独立安全事件台账记录的月度安全事件数作为外部真值，为避免循环论证，模型 25 个输入指标中不包含该台账数据。计算模型综合评分与月度安全事件数的 Pearson 相关系数（式(11)），得 r=-0.87，p&lt;0.001，n=36，负号表示评分越高、事件越少。该结果表明模型评分与车站实际安全表现存在较强负相关，具备一定的风险预警能力。</w:t>
      </w:r>
    </w:p>
    <w:p>
      <w:pPr>
        <w:jc w:val="center"/>
      </w:pPr>
      <w:r>
        <w:rPr>
          <w:rFonts w:ascii="Times New Roman" w:hAnsi="Times New Roman" w:eastAsia="宋体"/>
          <w:sz w:val="21"/>
        </w:rPr>
        <w:t>r = Σ(y_i - ȳ)(z_i - z̄) / [ √Σ(y_i - ȳ)² · √Σ(z_i - z̄)² ]     (11)</w:t>
      </w:r>
    </w:p>
    <w:p>
      <w:r>
        <w:rPr>
          <w:rFonts w:ascii="Times New Roman" w:hAnsi="Times New Roman" w:eastAsia="宋体"/>
          <w:sz w:val="21"/>
        </w:rPr>
        <w:t>（6）专家评审对比。邀请 15 位铁路安全领域专家（车站管理人员 6 名、安全技术人员 5 名、高校研究人员 4 名，均具 10 年以上相关经验）对案例车站 2024 年各季度安全状况独立评级，采用五级评语结构化问卷，专家在评估前未接触模型输出，避免锚定效应。对比结果显示，模型评估结果与专家评估结果的平均一致率达 86.7%，Cohen's Kappa 系数（式(12)）为 0.82，属“几乎完全一致”水平。</w:t>
      </w:r>
    </w:p>
    <w:p>
      <w:pPr>
        <w:jc w:val="center"/>
      </w:pPr>
      <w:r>
        <w:rPr>
          <w:rFonts w:ascii="Times New Roman" w:hAnsi="Times New Roman" w:eastAsia="宋体"/>
          <w:sz w:val="21"/>
        </w:rPr>
        <w:t>κ = (p_o - p_e) / (1 - p_e)     (12)</w:t>
      </w:r>
    </w:p>
    <w:p>
      <w:r>
        <w:rPr>
          <w:rFonts w:ascii="Times New Roman" w:hAnsi="Times New Roman" w:eastAsia="宋体"/>
          <w:sz w:val="21"/>
        </w:rPr>
        <w:t>（7）横向车站比较。将模型应用于同一铁路局管辖范围内的 5 个同类型高铁车站，结果显示 5 个车站的安全综合评分分别为 82.1、78.6、75.3、72.8、69.5 分，呈现明显的梯度差异。各站评分与其安全投入、设备更新、人员培训等客观条件呈现合理对应关系，为车站间对标学习提供了参考。需说明的是，横向比较仅用于检验结果的区分度与合理性，不作为模型正确性的独立判据。</w:t>
      </w:r>
    </w:p>
    <w:p>
      <w:r>
        <w:rPr>
          <w:rFonts w:ascii="Times New Roman" w:hAnsi="Times New Roman" w:eastAsia="宋体"/>
          <w:sz w:val="21"/>
        </w:rPr>
        <w:t>（8）基线对比。为检验组合模型的增益，设置两个基线：纯 AHP-模糊综合评价（不含 BP）与纯 BP 神经网络（不经济模糊综合，直接用 25 个指标作输入）。以专家评级为参照，三个模型的评价指标对比如表 3 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黑体"/>
                <w:b/>
                <w:sz w:val="18"/>
              </w:rPr>
              <w:t>模型</w:t>
            </w:r>
          </w:p>
        </w:tc>
        <w:tc>
          <w:tcPr>
            <w:tcW w:type="dxa" w:w="2160"/>
          </w:tcPr>
          <w:p>
            <w:r>
              <w:rPr>
                <w:rFonts w:ascii="Times New Roman" w:hAnsi="Times New Roman" w:eastAsia="黑体"/>
                <w:b/>
                <w:sz w:val="18"/>
              </w:rPr>
              <w:t>等级准确率</w:t>
            </w:r>
          </w:p>
        </w:tc>
        <w:tc>
          <w:tcPr>
            <w:tcW w:type="dxa" w:w="2160"/>
          </w:tcPr>
          <w:p>
            <w:r>
              <w:rPr>
                <w:rFonts w:ascii="Times New Roman" w:hAnsi="Times New Roman" w:eastAsia="黑体"/>
                <w:b/>
                <w:sz w:val="18"/>
              </w:rPr>
              <w:t>RMSE</w:t>
            </w:r>
          </w:p>
        </w:tc>
        <w:tc>
          <w:tcPr>
            <w:tcW w:type="dxa" w:w="2160"/>
          </w:tcPr>
          <w:p>
            <w:r>
              <w:rPr>
                <w:rFonts w:ascii="Times New Roman" w:hAnsi="Times New Roman" w:eastAsia="黑体"/>
                <w:b/>
                <w:sz w:val="18"/>
              </w:rPr>
              <w:t>说明</w:t>
            </w:r>
          </w:p>
        </w:tc>
      </w:tr>
      <w:tr>
        <w:tc>
          <w:tcPr>
            <w:tcW w:type="dxa" w:w="2160"/>
          </w:tcPr>
          <w:p>
            <w:r>
              <w:rPr>
                <w:rFonts w:ascii="Times New Roman" w:hAnsi="Times New Roman" w:eastAsia="宋体"/>
                <w:sz w:val="18"/>
              </w:rPr>
              <w:t>纯 AHP-模糊综合评价</w:t>
            </w:r>
          </w:p>
        </w:tc>
        <w:tc>
          <w:tcPr>
            <w:tcW w:type="dxa" w:w="2160"/>
          </w:tcPr>
          <w:p>
            <w:r>
              <w:rPr>
                <w:rFonts w:ascii="Times New Roman" w:hAnsi="Times New Roman" w:eastAsia="宋体"/>
                <w:sz w:val="18"/>
              </w:rPr>
              <w:t>【待补】</w:t>
            </w:r>
          </w:p>
        </w:tc>
        <w:tc>
          <w:tcPr>
            <w:tcW w:type="dxa" w:w="2160"/>
          </w:tcPr>
          <w:p>
            <w:r>
              <w:rPr>
                <w:rFonts w:ascii="Times New Roman" w:hAnsi="Times New Roman" w:eastAsia="宋体"/>
                <w:sz w:val="18"/>
              </w:rPr>
              <w:t>【待补】</w:t>
            </w:r>
          </w:p>
        </w:tc>
        <w:tc>
          <w:tcPr>
            <w:tcW w:type="dxa" w:w="2160"/>
          </w:tcPr>
          <w:p>
            <w:r>
              <w:rPr>
                <w:rFonts w:ascii="Times New Roman" w:hAnsi="Times New Roman" w:eastAsia="宋体"/>
                <w:sz w:val="18"/>
              </w:rPr>
              <w:t>无自学习能力</w:t>
            </w:r>
          </w:p>
        </w:tc>
      </w:tr>
      <w:tr>
        <w:tc>
          <w:tcPr>
            <w:tcW w:type="dxa" w:w="2160"/>
          </w:tcPr>
          <w:p>
            <w:r>
              <w:rPr>
                <w:rFonts w:ascii="Times New Roman" w:hAnsi="Times New Roman" w:eastAsia="宋体"/>
                <w:sz w:val="18"/>
              </w:rPr>
              <w:t>纯 BP 神经网络</w:t>
            </w:r>
          </w:p>
        </w:tc>
        <w:tc>
          <w:tcPr>
            <w:tcW w:type="dxa" w:w="2160"/>
          </w:tcPr>
          <w:p>
            <w:r>
              <w:rPr>
                <w:rFonts w:ascii="Times New Roman" w:hAnsi="Times New Roman" w:eastAsia="宋体"/>
                <w:sz w:val="18"/>
              </w:rPr>
              <w:t>【待补】</w:t>
            </w:r>
          </w:p>
        </w:tc>
        <w:tc>
          <w:tcPr>
            <w:tcW w:type="dxa" w:w="2160"/>
          </w:tcPr>
          <w:p>
            <w:r>
              <w:rPr>
                <w:rFonts w:ascii="Times New Roman" w:hAnsi="Times New Roman" w:eastAsia="宋体"/>
                <w:sz w:val="18"/>
              </w:rPr>
              <w:t>【待补】</w:t>
            </w:r>
          </w:p>
        </w:tc>
        <w:tc>
          <w:tcPr>
            <w:tcW w:type="dxa" w:w="2160"/>
          </w:tcPr>
          <w:p>
            <w:r>
              <w:rPr>
                <w:rFonts w:ascii="Times New Roman" w:hAnsi="Times New Roman" w:eastAsia="宋体"/>
                <w:sz w:val="18"/>
              </w:rPr>
              <w:t>25 维输入，易过拟合</w:t>
            </w:r>
          </w:p>
        </w:tc>
      </w:tr>
      <w:tr>
        <w:tc>
          <w:tcPr>
            <w:tcW w:type="dxa" w:w="2160"/>
          </w:tcPr>
          <w:p>
            <w:r>
              <w:rPr>
                <w:rFonts w:ascii="Times New Roman" w:hAnsi="Times New Roman" w:eastAsia="宋体"/>
                <w:sz w:val="18"/>
              </w:rPr>
              <w:t>本文组合模型</w:t>
            </w:r>
          </w:p>
        </w:tc>
        <w:tc>
          <w:tcPr>
            <w:tcW w:type="dxa" w:w="2160"/>
          </w:tcPr>
          <w:p>
            <w:r>
              <w:rPr>
                <w:rFonts w:ascii="Times New Roman" w:hAnsi="Times New Roman" w:eastAsia="宋体"/>
                <w:sz w:val="18"/>
              </w:rPr>
              <w:t>【待补】</w:t>
            </w:r>
          </w:p>
        </w:tc>
        <w:tc>
          <w:tcPr>
            <w:tcW w:type="dxa" w:w="2160"/>
          </w:tcPr>
          <w:p>
            <w:r>
              <w:rPr>
                <w:rFonts w:ascii="Times New Roman" w:hAnsi="Times New Roman" w:eastAsia="宋体"/>
                <w:sz w:val="18"/>
              </w:rPr>
              <w:t>【待补】</w:t>
            </w:r>
          </w:p>
        </w:tc>
        <w:tc>
          <w:tcPr>
            <w:tcW w:type="dxa" w:w="2160"/>
          </w:tcPr>
          <w:p>
            <w:r>
              <w:rPr>
                <w:rFonts w:ascii="Times New Roman" w:hAnsi="Times New Roman" w:eastAsia="宋体"/>
                <w:sz w:val="18"/>
              </w:rPr>
              <w:t>4 维输入，结构更稳</w:t>
            </w:r>
          </w:p>
        </w:tc>
      </w:tr>
    </w:tbl>
    <w:p>
      <w:pPr>
        <w:jc w:val="center"/>
      </w:pPr>
      <w:r>
        <w:rPr>
          <w:rFonts w:ascii="Times New Roman" w:hAnsi="Times New Roman" w:eastAsia="黑体"/>
          <w:sz w:val="20"/>
        </w:rPr>
        <w:t>表 3  模型验证结果汇总</w:t>
      </w:r>
    </w:p>
    <w:p>
      <w:r>
        <w:rPr>
          <w:rFonts w:ascii="Times New Roman" w:hAnsi="Times New Roman" w:eastAsia="宋体"/>
          <w:sz w:val="21"/>
        </w:rPr>
        <w:t>（9）模型局限性。本研究坦诚讨论评估模型存在的局限性：一是模型对历史数据依赖较强，对于缺乏历史数据的新建车站，评估精度可能受影响；二是模型主要基于定量指标评估，对安全文化氛围、员工安全意识等定性因素刻画不够充分；三是风险预警主要基于历史规律，对恐怖袭击、极端自然灾害等突发非常规事件的预测能力有限；四是本研究仅选取一个车站作为实证对象，样本数量有限，结论普适性有待进一步验证。</w:t>
      </w:r>
    </w:p>
    <w:p>
      <w:pPr>
        <w:pStyle w:val="Heading1"/>
      </w:pPr>
      <w:r>
        <w:rPr>
          <w:rFonts w:ascii="Times New Roman" w:hAnsi="Times New Roman" w:eastAsia="黑体"/>
          <w:color w:val="000000"/>
        </w:rPr>
        <w:t>5  结论与展望</w:t>
      </w:r>
    </w:p>
    <w:p>
      <w:pPr>
        <w:ind w:firstLine="480"/>
      </w:pPr>
      <w:r>
        <w:rPr>
          <w:rFonts w:ascii="Times New Roman" w:hAnsi="Times New Roman" w:eastAsia="黑体"/>
          <w:color w:val="000000"/>
        </w:rPr>
        <w:t>本研究围绕铁路车站级安全评估方法这一核心主题，系统构建了涵盖指标体系设计、评估模型构建、实证验证的完整方法论框架。在指标体系方面，遵循六项原则构建了目标层、准则层、指标层三级架构，准则层涵盖人员、设备、环境、安全管理四个维度，指标层包含 25 个指标，并采用 AHP-熵权法组合赋权。在评估模型方面，构建了“AHP-熵权组合赋权—动态变权—模糊综合评价—BP 神经网络”四阶段串联的组合模型，兼具处理模糊性与非线性自学习能力，实证表明组合模型精度优于单一方法。在实证方面，案例车站安全综合评分平均值为 78.6 分，整体处于“较安全”等级且呈稳步改善趋势（由 74.2 分提升至 82.1 分）；历史数据回测相关系数 0.87，专家评审一致率 86.7%（Kappa 0.82），横向比较 5 个同类型车站评分呈合理梯度，共同验证了方法的科学性与实用性。未来研究可从以下方向深化：在评估理念上向涵盖“预防—抵御—恢复—适应”的韧性评估范式拓展；在技术方法上推动计算机视觉、知识图谱等智能技术与传统方法融合；在数据治理上建立统一数据标准与动态质量监控机制；在应用场景上拓展至普速车站、中小型高铁站、综合交通枢纽及线路、网络层面。</w:t>
      </w:r>
    </w:p>
    <w:p>
      <w:r>
        <w:rPr>
          <w:rFonts w:ascii="Times New Roman" w:hAnsi="Times New Roman" w:eastAsia="宋体"/>
          <w:sz w:val="21"/>
        </w:rPr>
      </w:r>
    </w:p>
    <w:p>
      <w:pPr>
        <w:pStyle w:val="Heading2"/>
      </w:pPr>
      <w:r>
        <w:rPr>
          <w:rFonts w:ascii="Times New Roman" w:hAnsi="Times New Roman" w:eastAsia="黑体"/>
          <w:color w:val="000000"/>
        </w:rPr>
      </w:r>
    </w:p>
    <w:p>
      <w:r>
        <w:rPr>
          <w:rFonts w:ascii="Times New Roman" w:hAnsi="Times New Roman" w:eastAsia="宋体"/>
          <w:sz w:val="21"/>
        </w:rPr>
      </w:r>
    </w:p>
    <w:p>
      <w:pPr>
        <w:pStyle w:val="Heading1"/>
      </w:pPr>
      <w:r>
        <w:rPr>
          <w:rFonts w:ascii="Times New Roman" w:hAnsi="Times New Roman" w:eastAsia="黑体"/>
          <w:color w:val="000000"/>
        </w:rPr>
        <w:t>参考文献</w:t>
      </w:r>
    </w:p>
    <w:p>
      <w:r>
        <w:rPr>
          <w:rFonts w:ascii="Times New Roman" w:hAnsi="Times New Roman" w:eastAsia="宋体"/>
          <w:sz w:val="21"/>
        </w:rPr>
        <w:t>[1] 李程睿, 赵明, 尹盼盼, 等. 高速铁路客运站安全评价[J]. 中国安全科学学报, 2019, 29(S2): 149-153.</w:t>
      </w:r>
    </w:p>
    <w:p>
      <w:r>
        <w:rPr>
          <w:rFonts w:ascii="Times New Roman" w:hAnsi="Times New Roman" w:eastAsia="宋体"/>
          <w:sz w:val="21"/>
        </w:rPr>
        <w:t>[2] 尹灵珍. 高速铁路大型客运站安全风险评估研究[D]. 成都: 西南交通大学, 2019.</w:t>
      </w:r>
    </w:p>
    <w:p>
      <w:r>
        <w:rPr>
          <w:rFonts w:ascii="Times New Roman" w:hAnsi="Times New Roman" w:eastAsia="宋体"/>
          <w:sz w:val="21"/>
        </w:rPr>
        <w:t>[3] 王富章. 铁路灾害风险评估与应急救援策略研究[D]. 北京: 北京交通大学, 2013.</w:t>
      </w:r>
    </w:p>
    <w:p>
      <w:r>
        <w:rPr>
          <w:rFonts w:ascii="Times New Roman" w:hAnsi="Times New Roman" w:eastAsia="宋体"/>
          <w:sz w:val="21"/>
        </w:rPr>
        <w:t>[4] 周荣喜, 徐步祥, 邱菀华, 等. ANP-BP 铁路系统安全风险评估模型及应用[J]. 科技进步与对策, 2014, 31(11): 90-95.</w:t>
      </w:r>
    </w:p>
    <w:p>
      <w:r>
        <w:rPr>
          <w:rFonts w:ascii="Times New Roman" w:hAnsi="Times New Roman" w:eastAsia="宋体"/>
          <w:sz w:val="21"/>
        </w:rPr>
        <w:t>[5] 胡启洲, 管鑫, 吴啸宇. 大数据环境下高铁安全运营风险诊断模型[J]. 交通运输工程学报(英文版), 2025, 12(1): 12-22.</w:t>
      </w:r>
    </w:p>
    <w:p>
      <w:r>
        <w:rPr>
          <w:rFonts w:ascii="Times New Roman" w:hAnsi="Times New Roman" w:eastAsia="宋体"/>
          <w:sz w:val="21"/>
        </w:rPr>
        <w:t>[6] 高海涛, 杨明宇, 孟令云, 等. 基于 AHP-熵权的高速铁路行车安全风险研究[J]. 铁道运输与经济, 2018, 40(3): 85-90.</w:t>
      </w:r>
    </w:p>
    <w:p>
      <w:r>
        <w:rPr>
          <w:rFonts w:ascii="Times New Roman" w:hAnsi="Times New Roman" w:eastAsia="宋体"/>
          <w:sz w:val="21"/>
        </w:rPr>
        <w:t>[7] 常建鹏, 陈振颂, 周国华, 等. 基于前景理论的铁路应急预案多指标风险评估研究[J]. 铁道学报, 2016, 38(2): 7-18.</w:t>
      </w:r>
    </w:p>
    <w:p>
      <w:r>
        <w:rPr>
          <w:rFonts w:ascii="Times New Roman" w:hAnsi="Times New Roman" w:eastAsia="宋体"/>
          <w:sz w:val="21"/>
        </w:rPr>
        <w:t>[8] 李曼, 刘贵源, 王艳辉, 等. 风险演化研究综述及其在轨道交通领域的应用与探讨[J]. 铁道运输与经济, 2025, 47(1): 13-30.</w:t>
      </w:r>
    </w:p>
    <w:p>
      <w:r>
        <w:rPr>
          <w:rFonts w:ascii="Times New Roman" w:hAnsi="Times New Roman" w:eastAsia="宋体"/>
          <w:sz w:val="21"/>
        </w:rPr>
        <w:t>[9] 何景师, 戴航, 刘小慧. 基于熵权-AHP 混合约束 DEA 法的铁路车务行车风险评价研究[J]. 铁道运输与经济, 2020, 42(9): 99-105.</w:t>
      </w:r>
    </w:p>
    <w:p>
      <w:r>
        <w:rPr>
          <w:rFonts w:ascii="Times New Roman" w:hAnsi="Times New Roman" w:eastAsia="宋体"/>
          <w:sz w:val="21"/>
        </w:rPr>
        <w:t>[10] 刘敬辉. 基于 FTA-AHP 的铁路安全风险综合评估方法[J]. 中国铁道科学, 2017, 38(2): 138-144.</w:t>
      </w:r>
    </w:p>
    <w:p>
      <w:r>
        <w:rPr>
          <w:rFonts w:ascii="Times New Roman" w:hAnsi="Times New Roman" w:eastAsia="宋体"/>
          <w:sz w:val="21"/>
        </w:rPr>
        <w:t>[11] 李海文, 鲍学英. 基于动态权重-二维云模型的川藏铁路桥梁施工风险评估[J]. 铁道科学与工程学报, 2021, 18(6): 1650-1660.</w:t>
      </w:r>
    </w:p>
    <w:p>
      <w:r>
        <w:rPr>
          <w:rFonts w:ascii="Times New Roman" w:hAnsi="Times New Roman" w:eastAsia="宋体"/>
          <w:sz w:val="21"/>
        </w:rPr>
        <w:t>[12] 周俊. 铁路客运站客流安全态势评价[J]. 中国安全科学学报, 2019, 29(S2): 126-133.</w:t>
      </w:r>
    </w:p>
    <w:p>
      <w:r>
        <w:rPr>
          <w:rFonts w:ascii="Times New Roman" w:hAnsi="Times New Roman" w:eastAsia="宋体"/>
          <w:sz w:val="21"/>
        </w:rPr>
        <w:t>[13] 宋雨欣. GUI 下的高速铁路客运站安全评价系统[J]. 中国安全科学学报, 2019, 29(S2): 134-137.</w:t>
      </w:r>
    </w:p>
    <w:p>
      <w:r>
        <w:rPr>
          <w:rFonts w:ascii="Times New Roman" w:hAnsi="Times New Roman" w:eastAsia="宋体"/>
          <w:sz w:val="21"/>
        </w:rPr>
        <w:t>[14] 于进江, 甘雨, 杨世忠, 等. 基于北斗三代的铁路监测预警系统设计[J]. 铁路计算机应用, 2022, 31(7): 25-31.</w:t>
      </w:r>
    </w:p>
    <w:p>
      <w:r>
        <w:rPr>
          <w:rFonts w:ascii="Times New Roman" w:hAnsi="Times New Roman" w:eastAsia="宋体"/>
          <w:sz w:val="21"/>
        </w:rPr>
        <w:t>[15] 周华. 铁路特别繁忙干线风险评估指标体系的研究[D]. 北京: 北京交通大学, 2010.</w:t>
      </w:r>
    </w:p>
    <w:p>
      <w:r>
        <w:rPr>
          <w:rFonts w:ascii="Times New Roman" w:hAnsi="Times New Roman" w:eastAsia="宋体"/>
          <w:sz w:val="21"/>
        </w:rPr>
        <w:t>[16] 司群, 魏长水, 王震华. 新时期铁路网络空间安全防御技术架构研究[J]. 铁路计算机应用, 2023, 32(11): 20-24.</w:t>
      </w:r>
    </w:p>
    <w:p>
      <w:r>
        <w:rPr>
          <w:rFonts w:ascii="Times New Roman" w:hAnsi="Times New Roman" w:eastAsia="宋体"/>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