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ED275F" w14:textId="77777777" w:rsidR="00AA3D27" w:rsidRDefault="00AA3D27">
      <w:pPr>
        <w:jc w:val="center"/>
        <w:rPr>
          <w:rFonts w:ascii="宋体" w:hAnsi="宋体"/>
          <w:sz w:val="24"/>
        </w:rPr>
      </w:pPr>
    </w:p>
    <w:p w14:paraId="4E0C4F36" w14:textId="3C941AE5" w:rsidR="00AA3D27" w:rsidRDefault="004046C4" w:rsidP="003E0DA2">
      <w:pPr>
        <w:pStyle w:val="af2"/>
      </w:pPr>
      <w:bookmarkStart w:id="0" w:name="中文标题_2"/>
      <w:r>
        <w:rPr>
          <w:rFonts w:hAnsi="Times New Roman"/>
        </w:rPr>
        <w:t>铁路车站网络边界一体化防御系统设计与机制研究</w:t>
      </w:r>
      <w:bookmarkEnd w:id="0"/>
      <w:r>
        <w:rPr>
          <w:rStyle w:val="a5"/>
          <w:color w:val="FFFFFF" w:themeColor="background1"/>
          <w14:textFill>
            <w14:noFill/>
          </w14:textFill>
        </w:rPr>
        <w:footnoteReference w:id="1"/>
      </w:r>
    </w:p>
    <w:p w14:paraId="5EBBD44F" w14:textId="77777777" w:rsidR="00AA3D27" w:rsidRDefault="00AA3D27" w:rsidP="00D45078">
      <w:pPr>
        <w:pStyle w:val="afe"/>
        <w:snapToGrid w:val="0"/>
        <w:ind w:firstLine="420"/>
      </w:pPr>
    </w:p>
    <w:p w14:paraId="35C4E704" w14:textId="77777777" w:rsidR="00AA3D27" w:rsidRDefault="00AA3D27">
      <w:pPr>
        <w:jc w:val="center"/>
        <w:rPr>
          <w:rFonts w:eastAsia="黑体"/>
          <w:szCs w:val="21"/>
        </w:rPr>
      </w:pPr>
    </w:p>
    <w:p w14:paraId="5DDF669C" w14:textId="0B9A61A3" w:rsidR="00AA3D27" w:rsidRDefault="004046C4" w:rsidP="00267222">
      <w:pPr>
        <w:pStyle w:val="affff6"/>
        <w:ind w:firstLine="360"/>
      </w:pPr>
      <w:r w:rsidRPr="003E0DA2">
        <w:rPr>
          <w:rStyle w:val="af5"/>
        </w:rPr>
        <w:t>摘</w:t>
      </w:r>
      <w:r w:rsidR="004500F5">
        <w:rPr>
          <w:rStyle w:val="af5"/>
          <w:rFonts w:hint="eastAsia"/>
        </w:rPr>
        <w:t xml:space="preserve">  </w:t>
      </w:r>
      <w:r w:rsidRPr="003E0DA2">
        <w:rPr>
          <w:rStyle w:val="af5"/>
        </w:rPr>
        <w:t>要</w:t>
      </w:r>
      <w:r w:rsidR="004500F5">
        <w:rPr>
          <w:rStyle w:val="af5"/>
          <w:rFonts w:hint="eastAsia"/>
        </w:rPr>
        <w:t xml:space="preserve">  </w:t>
      </w:r>
      <w:bookmarkStart w:id="5" w:name="中文摘要_2"/>
      <w:r>
        <w:rPr>
          <w:rFonts w:hAnsi="Times New Roman"/>
        </w:rPr>
        <w:t>针对铁路车站网络边界设备异构、策略分散、终端接入可信性不足以及账号权限体系不统一等问题，提出一种面向车站网络边界的一体化防御系统。系统采用基础执行层、核心控制层和业务呈现层三层架构，以统一身份和安全上下文为关联主线，融合边界访问控制、网络准入控制、加密传输、</w:t>
      </w:r>
      <w:r>
        <w:rPr>
          <w:rFonts w:hAnsi="Times New Roman"/>
        </w:rPr>
        <w:t>RBAC/ABAC</w:t>
      </w:r>
      <w:r>
        <w:rPr>
          <w:rFonts w:hAnsi="Times New Roman"/>
        </w:rPr>
        <w:t>混合授权以及多源安全数据关联。围绕客运服务终端接入和信号集中监测系统跨域运维两个典型场景，设计输入</w:t>
      </w:r>
      <w:r>
        <w:rPr>
          <w:rFonts w:hAnsi="Times New Roman"/>
        </w:rPr>
        <w:t>—</w:t>
      </w:r>
      <w:r>
        <w:rPr>
          <w:rFonts w:hAnsi="Times New Roman"/>
        </w:rPr>
        <w:t>决策</w:t>
      </w:r>
      <w:r>
        <w:rPr>
          <w:rFonts w:hAnsi="Times New Roman"/>
        </w:rPr>
        <w:t>—</w:t>
      </w:r>
      <w:r>
        <w:rPr>
          <w:rFonts w:hAnsi="Times New Roman"/>
        </w:rPr>
        <w:t>处置策略表，并基于</w:t>
      </w:r>
      <w:r>
        <w:rPr>
          <w:rFonts w:hAnsi="Times New Roman"/>
        </w:rPr>
        <w:t>Python</w:t>
      </w:r>
      <w:r>
        <w:rPr>
          <w:rFonts w:hAnsi="Times New Roman"/>
        </w:rPr>
        <w:t>建立策略判定原型。采用</w:t>
      </w:r>
      <w:r>
        <w:rPr>
          <w:rFonts w:hAnsi="Times New Roman"/>
        </w:rPr>
        <w:t>25</w:t>
      </w:r>
      <w:r>
        <w:rPr>
          <w:rFonts w:hAnsi="Times New Roman"/>
        </w:rPr>
        <w:t>组模拟访问请求开展规则级一致性检查，其中允许</w:t>
      </w:r>
      <w:r>
        <w:rPr>
          <w:rFonts w:hAnsi="Times New Roman"/>
        </w:rPr>
        <w:t>6</w:t>
      </w:r>
      <w:r>
        <w:rPr>
          <w:rFonts w:hAnsi="Times New Roman"/>
        </w:rPr>
        <w:t>组、受限允许</w:t>
      </w:r>
      <w:r>
        <w:rPr>
          <w:rFonts w:hAnsi="Times New Roman"/>
        </w:rPr>
        <w:t>5</w:t>
      </w:r>
      <w:r>
        <w:rPr>
          <w:rFonts w:hAnsi="Times New Roman"/>
        </w:rPr>
        <w:t>组、拒绝</w:t>
      </w:r>
      <w:r>
        <w:rPr>
          <w:rFonts w:hAnsi="Times New Roman"/>
        </w:rPr>
        <w:t>14</w:t>
      </w:r>
      <w:r>
        <w:rPr>
          <w:rFonts w:hAnsi="Times New Roman"/>
        </w:rPr>
        <w:t>组，检查输出与预设结果一致；并采用全组合枚举与</w:t>
      </w:r>
      <w:r>
        <w:rPr>
          <w:rFonts w:hAnsi="Times New Roman"/>
        </w:rPr>
        <w:t>SMT</w:t>
      </w:r>
      <w:r>
        <w:rPr>
          <w:rFonts w:hAnsi="Times New Roman"/>
        </w:rPr>
        <w:t>反证相结合的方式对三级判定链的决策完备性、禁止条件单调优先与规则可达性进行形式化检验。研究为铁路车站多类边界安全能力的统一策略管理与场景化应用提供了设计方法与规则语义的形式化说明。</w:t>
      </w:r>
      <w:bookmarkEnd w:id="5"/>
    </w:p>
    <w:p w14:paraId="5E704690" w14:textId="4096C021" w:rsidR="00AA3D27" w:rsidRDefault="004046C4" w:rsidP="00267222">
      <w:pPr>
        <w:ind w:firstLineChars="200" w:firstLine="360"/>
        <w:rPr>
          <w:rFonts w:eastAsia="楷体" w:hAnsi="楷体"/>
        </w:rPr>
      </w:pPr>
      <w:r w:rsidRPr="003E0DA2">
        <w:rPr>
          <w:rStyle w:val="af6"/>
        </w:rPr>
        <w:t>关键词</w:t>
      </w:r>
      <w:r w:rsidR="00691166">
        <w:rPr>
          <w:rStyle w:val="af6"/>
          <w:rFonts w:hint="eastAsia"/>
        </w:rPr>
        <w:t xml:space="preserve">  </w:t>
      </w:r>
      <w:bookmarkStart w:id="6" w:name="中文关键词_2"/>
      <w:r>
        <w:rPr>
          <w:rStyle w:val="af7"/>
          <w:kern w:val="0"/>
          <w:szCs w:val="20"/>
        </w:rPr>
        <w:t>铁路车站；网络边界；一体化防御；零信任；策略协同；</w:t>
      </w:r>
      <w:r>
        <w:rPr>
          <w:rStyle w:val="af7"/>
          <w:kern w:val="0"/>
          <w:szCs w:val="20"/>
        </w:rPr>
        <w:t>RBAC/ABAC</w:t>
      </w:r>
      <w:bookmarkEnd w:id="6"/>
    </w:p>
    <w:p w14:paraId="48FC7F36" w14:textId="06D66F04" w:rsidR="00D45078" w:rsidRDefault="004046C4" w:rsidP="00D42387">
      <w:pPr>
        <w:pStyle w:val="DOI"/>
        <w:ind w:firstLineChars="200" w:firstLine="360"/>
      </w:pPr>
      <w:bookmarkStart w:id="7" w:name="[中图分类号]_1"/>
      <w:r w:rsidRPr="0052479E">
        <w:rPr>
          <w:rFonts w:ascii="黑体" w:eastAsia="黑体" w:hAnsi="黑体"/>
        </w:rPr>
        <w:t>中图分类号</w:t>
      </w:r>
      <w:r w:rsidR="008A217A">
        <w:rPr>
          <w:rFonts w:ascii="黑体" w:eastAsia="黑体" w:hAnsi="黑体" w:hint="eastAsia"/>
        </w:rPr>
        <w:t xml:space="preserve">  </w:t>
      </w:r>
      <w:r>
        <w:rPr>
          <w:rFonts w:hint="eastAsia"/>
        </w:rPr>
        <w:t xml:space="preserve">  </w:t>
      </w:r>
      <w:r w:rsidRPr="0052479E">
        <w:rPr>
          <w:rFonts w:ascii="黑体" w:eastAsia="黑体" w:hAnsi="黑体"/>
        </w:rPr>
        <w:t>文献标识码</w:t>
      </w:r>
      <w:r w:rsidR="008A217A">
        <w:rPr>
          <w:rFonts w:ascii="黑体" w:eastAsia="黑体" w:hAnsi="黑体" w:hint="eastAsia"/>
        </w:rPr>
        <w:t xml:space="preserve">  </w:t>
      </w:r>
      <w:r>
        <w:t xml:space="preserve"> </w:t>
      </w:r>
      <w:r>
        <w:rPr>
          <w:rFonts w:hint="eastAsia"/>
        </w:rPr>
        <w:t xml:space="preserve">  </w:t>
      </w:r>
      <w:r w:rsidR="008A217A">
        <w:rPr>
          <w:rFonts w:ascii="黑体" w:eastAsia="黑体" w:hAnsi="黑体" w:hint="eastAsia"/>
        </w:rPr>
        <w:t xml:space="preserve"> </w:t>
      </w:r>
      <w:r w:rsidR="00F336CD" w:rsidRPr="0066632F">
        <w:rPr>
          <w:rFonts w:eastAsia="黑体"/>
          <w:b/>
          <w:bCs/>
        </w:rPr>
        <w:t>DOI</w:t>
      </w:r>
      <w:r w:rsidR="0066632F" w:rsidRPr="0066632F">
        <w:rPr>
          <w:rFonts w:eastAsia="黑体"/>
          <w:b/>
          <w:bCs/>
        </w:rPr>
        <w:t>：</w:t>
      </w:r>
      <w:bookmarkEnd w:id="7"/>
    </w:p>
    <w:p w14:paraId="712ACFDA" w14:textId="77777777" w:rsidR="00D45078" w:rsidRDefault="00D45078" w:rsidP="00D45078">
      <w:pPr>
        <w:pStyle w:val="DOI"/>
        <w:rPr>
          <w:rStyle w:val="aff8"/>
        </w:rPr>
      </w:pPr>
    </w:p>
    <w:p w14:paraId="1FDBFEF9" w14:textId="77777777" w:rsidR="009B31EC" w:rsidRPr="00A95C6B" w:rsidRDefault="009B31EC" w:rsidP="00D45078">
      <w:pPr>
        <w:pStyle w:val="DOI"/>
        <w:rPr>
          <w:rStyle w:val="aff8"/>
        </w:rPr>
      </w:pPr>
    </w:p>
    <w:p w14:paraId="7FCF44B3" w14:textId="77777777" w:rsidR="00B75CF9" w:rsidRDefault="004046C4">
      <w:pPr>
        <w:pStyle w:val="af8"/>
      </w:pPr>
      <w:bookmarkStart w:id="8" w:name="英文标题_2"/>
      <w:r>
        <w:t xml:space="preserve">Design </w:t>
      </w:r>
      <w:r>
        <w:t>and Mechanism of an Integrated Defense System for Railway Station Network Boundaries</w:t>
      </w:r>
      <w:bookmarkEnd w:id="8"/>
    </w:p>
    <w:p w14:paraId="6E395BEC" w14:textId="77777777" w:rsidR="00763472" w:rsidRDefault="00763472" w:rsidP="00AF3CC7">
      <w:pPr>
        <w:pStyle w:val="af9"/>
      </w:pPr>
    </w:p>
    <w:p w14:paraId="3BE641DC" w14:textId="77777777" w:rsidR="00763472" w:rsidRDefault="00763472" w:rsidP="00D45078">
      <w:pPr>
        <w:pStyle w:val="afa"/>
      </w:pPr>
    </w:p>
    <w:p w14:paraId="5947EF06" w14:textId="27EC7169" w:rsidR="00D45078" w:rsidRDefault="004046C4" w:rsidP="00D42387">
      <w:pPr>
        <w:pStyle w:val="affff7"/>
        <w:ind w:firstLine="361"/>
      </w:pPr>
      <w:r w:rsidRPr="0049594A">
        <w:rPr>
          <w:rStyle w:val="afb"/>
        </w:rPr>
        <w:t>Abstract</w:t>
      </w:r>
      <w:r w:rsidR="00950963">
        <w:rPr>
          <w:rStyle w:val="afb"/>
          <w:rFonts w:hint="eastAsia"/>
        </w:rPr>
        <w:t xml:space="preserve">  </w:t>
      </w:r>
      <w:bookmarkStart w:id="9" w:name="英文摘要_2"/>
      <w:r>
        <w:t xml:space="preserve">To address heterogeneous security devices, fragmented policies, insufficient endpoint trust, and inconsistent account and privilege management at railway </w:t>
      </w:r>
      <w:r>
        <w:t>station network boundaries, this paper proposes an integrated defense system with an execution layer, a core control layer, and a service presentation layer. Unified identity and security context coordinate boundary access control, network admission, encry</w:t>
      </w:r>
      <w:r>
        <w:t>pted communication, hybrid RBAC/ABAC authorization, and security data correlation. For passenger-service terminal access and cross-domain maintenance of centralized signaling monitoring systems, scenario-specific input-decision-action policy tables are dev</w:t>
      </w:r>
      <w:r>
        <w:t>eloped, and a Python-based policy decision prototype is implemented. A rule-level consistency check is conducted over 25 simulated access requests, covering six permit, five restricted-permit, and fourteen deny decisions, with all outputs matching the pred</w:t>
      </w:r>
      <w:r>
        <w:t>efined expectations. We further formalize the three-level decision chain by combining exhaustive enumeration of the full attribute space with SMT-based refutation to verify decision completeness, the monotonic priority of prohibitive conditions, and rule r</w:t>
      </w:r>
      <w:r>
        <w:t>eachability. This work provides a design method and a formal semantic account of rule consistency for coordinated boundary security policies in railway stations. Quantitative performance and latency evaluations in real production environments remain for fu</w:t>
      </w:r>
      <w:r>
        <w:t>ture work.</w:t>
      </w:r>
      <w:bookmarkEnd w:id="9"/>
    </w:p>
    <w:p w14:paraId="2038D532" w14:textId="53B3C0C0" w:rsidR="00AA3D27" w:rsidRDefault="004046C4" w:rsidP="00D42387">
      <w:pPr>
        <w:ind w:firstLineChars="200" w:firstLine="361"/>
        <w:rPr>
          <w:rStyle w:val="afd"/>
        </w:rPr>
      </w:pPr>
      <w:r w:rsidRPr="0049594A">
        <w:rPr>
          <w:rStyle w:val="afc"/>
        </w:rPr>
        <w:t>Key words</w:t>
      </w:r>
      <w:r w:rsidR="00950963">
        <w:rPr>
          <w:rStyle w:val="afc"/>
          <w:rFonts w:hint="eastAsia"/>
        </w:rPr>
        <w:t xml:space="preserve">  </w:t>
      </w:r>
      <w:bookmarkStart w:id="10" w:name="英文关键词_2"/>
      <w:r>
        <w:rPr>
          <w:rStyle w:val="afd"/>
          <w:szCs w:val="20"/>
        </w:rPr>
        <w:t>railway station; network boundary; integrated defense; zero trust; policy coordination; RBAC/ABAC</w:t>
      </w:r>
      <w:bookmarkEnd w:id="10"/>
    </w:p>
    <w:p w14:paraId="3AD9E332" w14:textId="0E41980C" w:rsidR="00C95E88" w:rsidRPr="000C4863" w:rsidRDefault="004046C4" w:rsidP="00D42387">
      <w:pPr>
        <w:ind w:firstLineChars="200" w:firstLine="361"/>
        <w:rPr>
          <w:rFonts w:eastAsia="黑体"/>
          <w:b/>
          <w:bCs/>
          <w:sz w:val="18"/>
          <w:szCs w:val="18"/>
        </w:rPr>
      </w:pPr>
      <w:bookmarkStart w:id="11" w:name="[中图分类号]_2"/>
      <w:r w:rsidRPr="000C4863">
        <w:rPr>
          <w:rFonts w:eastAsia="黑体"/>
          <w:b/>
          <w:bCs/>
          <w:sz w:val="18"/>
          <w:szCs w:val="18"/>
        </w:rPr>
        <w:t>Class Number</w:t>
      </w:r>
      <w:r w:rsidR="000908CB" w:rsidRPr="000C4863">
        <w:rPr>
          <w:rFonts w:eastAsia="黑体" w:hint="eastAsia"/>
          <w:b/>
          <w:bCs/>
          <w:sz w:val="18"/>
          <w:szCs w:val="18"/>
        </w:rPr>
        <w:t xml:space="preserve">  </w:t>
      </w:r>
      <w:bookmarkEnd w:id="11"/>
    </w:p>
    <w:p w14:paraId="3F579962" w14:textId="77777777" w:rsidR="0026166D" w:rsidRDefault="0026166D" w:rsidP="00B47711">
      <w:pPr>
        <w:pStyle w:val="afe"/>
        <w:ind w:firstLine="420"/>
      </w:pPr>
    </w:p>
    <w:p w14:paraId="4661EB72" w14:textId="77777777" w:rsidR="00D45078" w:rsidRDefault="00D45078" w:rsidP="00B47711">
      <w:pPr>
        <w:pStyle w:val="afe"/>
        <w:ind w:firstLine="420"/>
        <w:sectPr w:rsidR="00D45078" w:rsidSect="007C0CEE">
          <w:headerReference w:type="even" r:id="rId9"/>
          <w:headerReference w:type="default" r:id="rId10"/>
          <w:footerReference w:type="even" r:id="rId11"/>
          <w:footerReference w:type="default" r:id="rId12"/>
          <w:headerReference w:type="first" r:id="rId13"/>
          <w:footerReference w:type="first" r:id="rId14"/>
          <w:endnotePr>
            <w:numFmt w:val="decimal"/>
          </w:endnotePr>
          <w:type w:val="continuous"/>
          <w:pgSz w:w="11906" w:h="16838" w:code="9"/>
          <w:pgMar w:top="1701" w:right="1134" w:bottom="1134" w:left="1134" w:header="992" w:footer="851" w:gutter="0"/>
          <w:cols w:space="720"/>
          <w:titlePg/>
          <w:docGrid w:type="linesAndChars" w:linePitch="312"/>
        </w:sectPr>
      </w:pPr>
    </w:p>
    <w:p w14:paraId="0A98320B" w14:textId="77777777" w:rsidR="00B75CF9" w:rsidRDefault="004046C4">
      <w:pPr>
        <w:pStyle w:val="aff"/>
        <w:keepNext/>
        <w:spacing w:before="218" w:after="218"/>
      </w:pPr>
      <w:bookmarkStart w:id="13" w:name="一级标题序号_1"/>
      <w:bookmarkStart w:id="14" w:name="一级标题_2"/>
      <w:r>
        <w:rPr>
          <w:rStyle w:val="afffa"/>
          <w:kern w:val="0"/>
          <w:szCs w:val="20"/>
        </w:rPr>
        <w:t xml:space="preserve">1  </w:t>
      </w:r>
      <w:bookmarkEnd w:id="13"/>
      <w:r>
        <w:t>引言</w:t>
      </w:r>
      <w:bookmarkEnd w:id="14"/>
    </w:p>
    <w:p w14:paraId="0BC49023" w14:textId="77777777" w:rsidR="00B75CF9" w:rsidRDefault="004046C4">
      <w:pPr>
        <w:pStyle w:val="afe"/>
        <w:ind w:firstLine="420"/>
      </w:pPr>
      <w:bookmarkStart w:id="15" w:name="正文段落_怀疑_1"/>
      <w:r>
        <w:t>随着铁路业务数字化、网络化和平台化程度持续提高，车站侧承载的客运服务、生产管理、信号监测、视频监控、办公及运维等系统之间的数据交</w:t>
      </w:r>
      <w:r>
        <w:t>互不断增加，网络边界由单一出口逐步演变为多区域、多系统、多角色共同作用的逻辑边界。交通运输部发布的《铁路关键信息基础设施安全保护管理办法》强调铁路领域重要网络设施和信息系统的安全保护要求</w:t>
      </w:r>
      <w:r>
        <w:t>[1]</w:t>
      </w:r>
      <w:r>
        <w:t>；网络安全等级保护相关国家标准也对边界防护、访问控制、安全审计和集中安全管理提出了系统性要求</w:t>
      </w:r>
      <w:r>
        <w:t>[2-3]</w:t>
      </w:r>
      <w:r>
        <w:t>。在此背景下，仅依靠独立</w:t>
      </w:r>
      <w:r>
        <w:lastRenderedPageBreak/>
        <w:t>防火墙、网闸、入侵检测或单机账号管理已难以满足车站网络边界的持续安</w:t>
      </w:r>
      <w:r>
        <w:t>全治理需求。</w:t>
      </w:r>
      <w:bookmarkEnd w:id="15"/>
    </w:p>
    <w:p w14:paraId="0EDA54C7" w14:textId="77777777" w:rsidR="00B75CF9" w:rsidRDefault="004046C4">
      <w:pPr>
        <w:pStyle w:val="afe"/>
        <w:ind w:firstLine="420"/>
      </w:pPr>
      <w:bookmarkStart w:id="16" w:name="正文段落_3"/>
      <w:r>
        <w:t>现有铁路网络安全研究已从传统边界防护逐步扩展到细粒度访问控制、零信任架构、资产风险可视化和数据安全管控等方向。在访问控制方面，锁向荣等针对铁路云平台提出细粒度访问控制方案</w:t>
      </w:r>
      <w:r>
        <w:t>[4]</w:t>
      </w:r>
      <w:r>
        <w:t>，季宏志、李向阳从关键要素管控角度研究铁路网络空间安全防御</w:t>
      </w:r>
      <w:r>
        <w:t>[7]</w:t>
      </w:r>
      <w:r>
        <w:t>；在零信任与软件定义边界方面，周游等研究了软件定义边界在铁路企业网络中的部署方式</w:t>
      </w:r>
      <w:r>
        <w:t>[5]</w:t>
      </w:r>
      <w:r>
        <w:t>，吴兴华等面向高铁旅客服务系统提出</w:t>
      </w:r>
      <w:r>
        <w:t>DSDP</w:t>
      </w:r>
      <w:r>
        <w:t>零信任架构</w:t>
      </w:r>
      <w:r>
        <w:t>[8]</w:t>
      </w:r>
      <w:r>
        <w:t>；在资产与数据管控方面，卫婧等通过网络安全知识图谱实现资产集中管理与风险关联分析</w:t>
      </w:r>
      <w:r>
        <w:t>[6]</w:t>
      </w:r>
      <w:r>
        <w:t>，铁路敏感数据安全管理也逐步</w:t>
      </w:r>
      <w:r>
        <w:t>由单点防护转向流程化管控</w:t>
      </w:r>
      <w:r>
        <w:t>[9]</w:t>
      </w:r>
      <w:r>
        <w:t>。上述研究从不同侧面提升了铁路网络安全能力，但从车站侧工程实施看，防火墙、准入、加密、身份权限和安全运维仍常由不同系统分别实现，跨设备策略关联和闭环处置能力不足，单一技术路线难以覆盖多类安全能力的协同需求。</w:t>
      </w:r>
      <w:bookmarkEnd w:id="16"/>
    </w:p>
    <w:p w14:paraId="68F30366" w14:textId="77777777" w:rsidR="00B75CF9" w:rsidRDefault="004046C4">
      <w:pPr>
        <w:pStyle w:val="afe"/>
        <w:ind w:firstLine="420"/>
      </w:pPr>
      <w:bookmarkStart w:id="17" w:name="正文段落_5"/>
      <w:r>
        <w:t>因此，本文以铁路车站网络边界为对象，在不改变既有业务系统核心逻辑的前提下，提出一种</w:t>
      </w:r>
      <w:r>
        <w:t>“</w:t>
      </w:r>
      <w:r>
        <w:t>一体化控制、分层执行、统一呈现</w:t>
      </w:r>
      <w:r>
        <w:t>”</w:t>
      </w:r>
      <w:r>
        <w:t>的边界防御系统。与单纯增加安全设备不同，本文重点研究多类安全能力之间的策略协同机制：一是构建统一身份与安全上下文，将用户、终端、网络区域、业务和数据属性纳入同</w:t>
      </w:r>
      <w:r>
        <w:t>一策略输入；二是建立边界访问控制、网络准入与加密传输的联动决策机制；三是通过统一平台实现异构设备纳管、策略下发、告警归一化和权限审计；四是结合车站典型业务场景分析方案的适用性与工程约束。</w:t>
      </w:r>
      <w:bookmarkEnd w:id="17"/>
    </w:p>
    <w:p w14:paraId="4DD6473B" w14:textId="77777777" w:rsidR="00B75CF9" w:rsidRDefault="004046C4">
      <w:pPr>
        <w:pStyle w:val="afe"/>
        <w:ind w:firstLine="420"/>
      </w:pPr>
      <w:bookmarkStart w:id="18" w:name="正文段落_7"/>
      <w:r>
        <w:t>与已有研究相比，本文的增量主要体现在三个方面。其一，在上下文建模粒度上，已有软件定义</w:t>
      </w:r>
      <w:r>
        <w:t>边界（</w:t>
      </w:r>
      <w:r>
        <w:t>SDP</w:t>
      </w:r>
      <w:r>
        <w:t>）与零信任方案多以</w:t>
      </w:r>
      <w:r>
        <w:t>IP</w:t>
      </w:r>
      <w:r>
        <w:t>地址和身份标识的二元判断为核心，本文则面向车站侧多区域、多角色、多服务白名单构建统一安全上下文</w:t>
      </w:r>
      <w:r>
        <w:t xml:space="preserve"> X={U,D,Zs,Zt,S,L,C}</w:t>
      </w:r>
      <w:r>
        <w:t>，将终端可信状态、网络区域、目标业务、数据级别与运维工单等属性一并纳入判</w:t>
      </w:r>
      <w:r>
        <w:t>定，判定粒度更细。其二，在纳管路径上，考虑到车站侧大量既有设备难以直接联动，本文不以推倒重建为目标，而是通过标准接口、日志归一化与策略适配实现渐进式兼容纳管，这是区别于纯理论方案的实际工程贡献。其三，在决策语义上，本文将分散的访问控制规则收敛为可证明的禁止性条件优先三级判定链，并采用形式化方法对决策完备性与规则一致性加以检验，而非停留在经验式规则罗列。</w:t>
      </w:r>
      <w:bookmarkEnd w:id="18"/>
    </w:p>
    <w:p w14:paraId="307780D8" w14:textId="77777777" w:rsidR="00B75CF9" w:rsidRDefault="004046C4">
      <w:pPr>
        <w:pStyle w:val="aff"/>
        <w:keepNext/>
        <w:spacing w:before="218" w:after="218"/>
      </w:pPr>
      <w:bookmarkStart w:id="19" w:name="一级标题序号_2"/>
      <w:bookmarkStart w:id="20" w:name="一级标题_4"/>
      <w:r>
        <w:rPr>
          <w:rStyle w:val="afffa"/>
          <w:kern w:val="0"/>
          <w:szCs w:val="20"/>
        </w:rPr>
        <w:t xml:space="preserve">2  </w:t>
      </w:r>
      <w:bookmarkEnd w:id="19"/>
      <w:r>
        <w:t>车站网络边界安全需求与设计目标</w:t>
      </w:r>
      <w:bookmarkEnd w:id="20"/>
    </w:p>
    <w:p w14:paraId="7396B336" w14:textId="77777777" w:rsidR="00B75CF9" w:rsidRDefault="004046C4">
      <w:pPr>
        <w:pStyle w:val="aff0"/>
        <w:keepNext/>
      </w:pPr>
      <w:bookmarkStart w:id="21" w:name="二级标题序号_3"/>
      <w:bookmarkStart w:id="22" w:name="二级标题_2"/>
      <w:r>
        <w:rPr>
          <w:rStyle w:val="afffb"/>
          <w:kern w:val="0"/>
          <w:szCs w:val="20"/>
        </w:rPr>
        <w:t xml:space="preserve">2.1  </w:t>
      </w:r>
      <w:bookmarkEnd w:id="21"/>
      <w:r>
        <w:t>边界对象与主要威胁</w:t>
      </w:r>
      <w:bookmarkEnd w:id="22"/>
    </w:p>
    <w:p w14:paraId="7766092A" w14:textId="77777777" w:rsidR="00B75CF9" w:rsidRDefault="004046C4">
      <w:pPr>
        <w:pStyle w:val="afe"/>
        <w:ind w:firstLine="420"/>
        <w:sectPr w:rsidR="00B75CF9" w:rsidSect="000A6557">
          <w:endnotePr>
            <w:numFmt w:val="decimal"/>
          </w:endnotePr>
          <w:type w:val="continuous"/>
          <w:pgSz w:w="11906" w:h="16838" w:code="9"/>
          <w:pgMar w:top="1701" w:right="1134" w:bottom="1134" w:left="1134" w:header="992" w:footer="851" w:gutter="0"/>
          <w:cols w:num="2" w:space="420"/>
          <w:docGrid w:type="linesAndChars" w:linePitch="312"/>
        </w:sectPr>
      </w:pPr>
      <w:bookmarkStart w:id="23" w:name="正文段落_怀疑_8"/>
      <w:r>
        <w:t>本文所称</w:t>
      </w:r>
      <w:r>
        <w:t>“</w:t>
      </w:r>
      <w:r>
        <w:t>车站网络边界</w:t>
      </w:r>
      <w:r>
        <w:t>”</w:t>
      </w:r>
      <w:r>
        <w:t>是指车站内部不同安全区域、不同业务系统以及车站网络与上级中心、外部服务网络之间发生访问和数据交换时形成的逻辑交界面。其保护对象既包括网络链路和安全设备，也包括账号、终端、应用服务、业务数据和运维行为。考虑铁路业务高可用、强实时和多厂家设备并存等特点，车站网络边界的主要风险可归纳为非法终端接入、账号凭据滥用、跨区域横向访问、异常协议或业务指令、敏感数据窃听与篡改以及安全策略不一致等。</w:t>
      </w:r>
      <w:bookmarkEnd w:id="23"/>
    </w:p>
    <w:p w14:paraId="207A757D" w14:textId="77777777" w:rsidR="00B75CF9" w:rsidRDefault="004046C4">
      <w:pPr>
        <w:pStyle w:val="afffc"/>
        <w:keepNext/>
        <w:keepLines/>
      </w:pPr>
      <w:bookmarkStart w:id="24" w:name="中文表序_1"/>
      <w:bookmarkStart w:id="25" w:name="中文表题_2"/>
      <w:r>
        <w:t>表</w:t>
      </w:r>
      <w:r>
        <w:t>1</w:t>
      </w:r>
      <w:bookmarkEnd w:id="24"/>
      <w:r>
        <w:rPr>
          <w:b w:val="0"/>
        </w:rPr>
        <w:t xml:space="preserve">  </w:t>
      </w:r>
      <w:r>
        <w:rPr>
          <w:b w:val="0"/>
        </w:rPr>
        <w:t>车站网络边界主要风险与控制需求</w:t>
      </w:r>
      <w:bookmarkEnd w:id="25"/>
    </w:p>
    <w:tbl>
      <w:tblPr>
        <w:tblStyle w:val="affff5"/>
        <w:tblW w:w="5000" w:type="pct"/>
        <w:jc w:val="center"/>
        <w:tblInd w:w="0" w:type="dxa"/>
        <w:tblLook w:val="04A0" w:firstRow="1" w:lastRow="0" w:firstColumn="1" w:lastColumn="0" w:noHBand="0" w:noVBand="1"/>
      </w:tblPr>
      <w:tblGrid>
        <w:gridCol w:w="1169"/>
        <w:gridCol w:w="4647"/>
        <w:gridCol w:w="3822"/>
      </w:tblGrid>
      <w:tr w:rsidR="00B75CF9" w14:paraId="7F612C65" w14:textId="77777777" w:rsidTr="00B75CF9">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AF7"/>
          </w:tcPr>
          <w:p w14:paraId="14F9FF2D" w14:textId="77777777" w:rsidR="0080633A" w:rsidRDefault="004046C4">
            <w:pPr>
              <w:pStyle w:val="affd"/>
            </w:pPr>
            <w:r>
              <w:rPr>
                <w:rFonts w:cs="宋体"/>
              </w:rPr>
              <w:t>风险类型</w:t>
            </w:r>
            <w:bookmarkStart w:id="26" w:name="表格_1"/>
          </w:p>
        </w:tc>
        <w:tc>
          <w:tcPr>
            <w:tcW w:w="0" w:type="auto"/>
            <w:shd w:val="clear" w:color="auto" w:fill="D9EAF7"/>
          </w:tcPr>
          <w:p w14:paraId="55BF0EC1" w14:textId="77777777" w:rsidR="0080633A" w:rsidRDefault="004046C4">
            <w:pPr>
              <w:pStyle w:val="affd"/>
            </w:pPr>
            <w:r>
              <w:rPr>
                <w:rFonts w:cs="宋体"/>
              </w:rPr>
              <w:t>典型表现</w:t>
            </w:r>
          </w:p>
        </w:tc>
        <w:tc>
          <w:tcPr>
            <w:tcW w:w="0" w:type="auto"/>
            <w:shd w:val="clear" w:color="auto" w:fill="D9EAF7"/>
          </w:tcPr>
          <w:p w14:paraId="1DA5DECD" w14:textId="77777777" w:rsidR="0080633A" w:rsidRDefault="004046C4">
            <w:pPr>
              <w:pStyle w:val="affd"/>
            </w:pPr>
            <w:r>
              <w:rPr>
                <w:rFonts w:cs="宋体"/>
              </w:rPr>
              <w:t>主要控制需求</w:t>
            </w:r>
          </w:p>
        </w:tc>
      </w:tr>
      <w:tr w:rsidR="00B75CF9" w14:paraId="3EBC1E3B" w14:textId="77777777" w:rsidTr="00B75CF9">
        <w:trPr>
          <w:jc w:val="center"/>
        </w:trPr>
        <w:tc>
          <w:tcPr>
            <w:tcW w:w="0" w:type="auto"/>
          </w:tcPr>
          <w:p w14:paraId="4DF11B4C" w14:textId="77777777" w:rsidR="0080633A" w:rsidRDefault="004046C4">
            <w:pPr>
              <w:pStyle w:val="affd"/>
            </w:pPr>
            <w:r>
              <w:rPr>
                <w:rFonts w:cs="宋体"/>
              </w:rPr>
              <w:t>非法终端接入</w:t>
            </w:r>
          </w:p>
        </w:tc>
        <w:tc>
          <w:tcPr>
            <w:tcW w:w="0" w:type="auto"/>
          </w:tcPr>
          <w:p w14:paraId="35B10F26" w14:textId="77777777" w:rsidR="0080633A" w:rsidRDefault="004046C4">
            <w:pPr>
              <w:pStyle w:val="affd"/>
            </w:pPr>
            <w:r>
              <w:rPr>
                <w:rFonts w:cs="宋体"/>
              </w:rPr>
              <w:t>未授权设备接入生产或管理网络，伪造地址或冒用合法终端身份</w:t>
            </w:r>
          </w:p>
        </w:tc>
        <w:tc>
          <w:tcPr>
            <w:tcW w:w="0" w:type="auto"/>
          </w:tcPr>
          <w:p w14:paraId="649EE4CB" w14:textId="77777777" w:rsidR="0080633A" w:rsidRDefault="004046C4">
            <w:pPr>
              <w:pStyle w:val="affd"/>
            </w:pPr>
            <w:r>
              <w:rPr>
                <w:rFonts w:cs="宋体"/>
              </w:rPr>
              <w:t>终端身份识别、准入认证、终端健康检查、异常隔离</w:t>
            </w:r>
          </w:p>
        </w:tc>
      </w:tr>
      <w:tr w:rsidR="00B75CF9" w14:paraId="2EE4B50A" w14:textId="77777777" w:rsidTr="00B75CF9">
        <w:trPr>
          <w:jc w:val="center"/>
        </w:trPr>
        <w:tc>
          <w:tcPr>
            <w:tcW w:w="0" w:type="auto"/>
          </w:tcPr>
          <w:p w14:paraId="51E09925" w14:textId="77777777" w:rsidR="0080633A" w:rsidRDefault="004046C4">
            <w:pPr>
              <w:pStyle w:val="affd"/>
            </w:pPr>
            <w:r>
              <w:rPr>
                <w:rFonts w:cs="宋体"/>
              </w:rPr>
              <w:t>账号与权限滥用</w:t>
            </w:r>
          </w:p>
        </w:tc>
        <w:tc>
          <w:tcPr>
            <w:tcW w:w="0" w:type="auto"/>
          </w:tcPr>
          <w:p w14:paraId="306006DF" w14:textId="77777777" w:rsidR="0080633A" w:rsidRDefault="004046C4">
            <w:pPr>
              <w:pStyle w:val="affd"/>
            </w:pPr>
            <w:r>
              <w:rPr>
                <w:rFonts w:cs="宋体"/>
              </w:rPr>
              <w:t>共享账号、长期闲置账号、越权访问、运维凭据泄露</w:t>
            </w:r>
          </w:p>
        </w:tc>
        <w:tc>
          <w:tcPr>
            <w:tcW w:w="0" w:type="auto"/>
          </w:tcPr>
          <w:p w14:paraId="6EF45819" w14:textId="77777777" w:rsidR="0080633A" w:rsidRDefault="004046C4">
            <w:pPr>
              <w:pStyle w:val="affd"/>
            </w:pPr>
            <w:r>
              <w:rPr>
                <w:rFonts w:cs="宋体"/>
              </w:rPr>
              <w:t>统一身份、最小权限、强认证、动态授权、全程审计</w:t>
            </w:r>
          </w:p>
        </w:tc>
      </w:tr>
      <w:tr w:rsidR="00B75CF9" w14:paraId="10DF636E" w14:textId="77777777" w:rsidTr="00B75CF9">
        <w:trPr>
          <w:jc w:val="center"/>
        </w:trPr>
        <w:tc>
          <w:tcPr>
            <w:tcW w:w="0" w:type="auto"/>
          </w:tcPr>
          <w:p w14:paraId="17020126" w14:textId="77777777" w:rsidR="0080633A" w:rsidRDefault="004046C4">
            <w:pPr>
              <w:pStyle w:val="affd"/>
            </w:pPr>
            <w:r>
              <w:rPr>
                <w:rFonts w:cs="宋体"/>
              </w:rPr>
              <w:t>跨域横向访问</w:t>
            </w:r>
          </w:p>
        </w:tc>
        <w:tc>
          <w:tcPr>
            <w:tcW w:w="0" w:type="auto"/>
          </w:tcPr>
          <w:p w14:paraId="42F2D157" w14:textId="77777777" w:rsidR="0080633A" w:rsidRDefault="004046C4">
            <w:pPr>
              <w:pStyle w:val="affd"/>
            </w:pPr>
            <w:r>
              <w:rPr>
                <w:rFonts w:cs="宋体"/>
              </w:rPr>
              <w:t>办公或外部区域通过非预期路径访问生产业务资源</w:t>
            </w:r>
          </w:p>
        </w:tc>
        <w:tc>
          <w:tcPr>
            <w:tcW w:w="0" w:type="auto"/>
          </w:tcPr>
          <w:p w14:paraId="7855DBD5" w14:textId="77777777" w:rsidR="0080633A" w:rsidRDefault="004046C4">
            <w:pPr>
              <w:pStyle w:val="affd"/>
            </w:pPr>
            <w:r>
              <w:rPr>
                <w:rFonts w:cs="宋体"/>
              </w:rPr>
              <w:t>区域隔离、身份驱动访问控制、微隔离、策略联动</w:t>
            </w:r>
          </w:p>
        </w:tc>
      </w:tr>
      <w:tr w:rsidR="00B75CF9" w14:paraId="6CAE00BA" w14:textId="77777777" w:rsidTr="00B75CF9">
        <w:trPr>
          <w:jc w:val="center"/>
        </w:trPr>
        <w:tc>
          <w:tcPr>
            <w:tcW w:w="0" w:type="auto"/>
          </w:tcPr>
          <w:p w14:paraId="64F63FE9" w14:textId="77777777" w:rsidR="0080633A" w:rsidRDefault="004046C4">
            <w:pPr>
              <w:pStyle w:val="affd"/>
            </w:pPr>
            <w:r>
              <w:rPr>
                <w:rFonts w:cs="宋体"/>
              </w:rPr>
              <w:t>业务协议异常</w:t>
            </w:r>
          </w:p>
        </w:tc>
        <w:tc>
          <w:tcPr>
            <w:tcW w:w="0" w:type="auto"/>
          </w:tcPr>
          <w:p w14:paraId="55FEBC63" w14:textId="77777777" w:rsidR="0080633A" w:rsidRDefault="004046C4">
            <w:pPr>
              <w:pStyle w:val="affd"/>
            </w:pPr>
            <w:r>
              <w:rPr>
                <w:rFonts w:cs="宋体"/>
              </w:rPr>
              <w:t>协议字段异常、非预期命令或异常交互序列</w:t>
            </w:r>
          </w:p>
        </w:tc>
        <w:tc>
          <w:tcPr>
            <w:tcW w:w="0" w:type="auto"/>
          </w:tcPr>
          <w:p w14:paraId="288E0DA3" w14:textId="77777777" w:rsidR="0080633A" w:rsidRDefault="004046C4">
            <w:pPr>
              <w:pStyle w:val="affd"/>
            </w:pPr>
            <w:r>
              <w:rPr>
                <w:rFonts w:cs="宋体"/>
              </w:rPr>
              <w:t>协议识别、白名单控制、应用层审计、异常告警</w:t>
            </w:r>
          </w:p>
        </w:tc>
      </w:tr>
      <w:tr w:rsidR="00B75CF9" w14:paraId="5F15F856" w14:textId="77777777" w:rsidTr="00B75CF9">
        <w:trPr>
          <w:jc w:val="center"/>
        </w:trPr>
        <w:tc>
          <w:tcPr>
            <w:tcW w:w="0" w:type="auto"/>
          </w:tcPr>
          <w:p w14:paraId="6A5EC997" w14:textId="77777777" w:rsidR="0080633A" w:rsidRDefault="004046C4">
            <w:pPr>
              <w:pStyle w:val="affd"/>
            </w:pPr>
            <w:r>
              <w:rPr>
                <w:rFonts w:cs="宋体"/>
              </w:rPr>
              <w:t>数据泄露或篡改</w:t>
            </w:r>
          </w:p>
        </w:tc>
        <w:tc>
          <w:tcPr>
            <w:tcW w:w="0" w:type="auto"/>
          </w:tcPr>
          <w:p w14:paraId="5168A6F5" w14:textId="77777777" w:rsidR="0080633A" w:rsidRDefault="004046C4">
            <w:pPr>
              <w:pStyle w:val="affd"/>
            </w:pPr>
            <w:r>
              <w:rPr>
                <w:rFonts w:cs="宋体"/>
              </w:rPr>
              <w:t>跨边界传输过程中被窃听、替换或重放</w:t>
            </w:r>
          </w:p>
        </w:tc>
        <w:tc>
          <w:tcPr>
            <w:tcW w:w="0" w:type="auto"/>
          </w:tcPr>
          <w:p w14:paraId="36D9DD92" w14:textId="77777777" w:rsidR="0080633A" w:rsidRDefault="004046C4">
            <w:pPr>
              <w:pStyle w:val="affd"/>
            </w:pPr>
            <w:r>
              <w:rPr>
                <w:rFonts w:cs="宋体"/>
              </w:rPr>
              <w:t>传输加密、完整性校验、密钥管理、重放防护</w:t>
            </w:r>
          </w:p>
        </w:tc>
      </w:tr>
      <w:tr w:rsidR="00B75CF9" w14:paraId="24BB7191" w14:textId="77777777" w:rsidTr="00B75CF9">
        <w:trPr>
          <w:jc w:val="center"/>
        </w:trPr>
        <w:tc>
          <w:tcPr>
            <w:tcW w:w="0" w:type="auto"/>
          </w:tcPr>
          <w:p w14:paraId="68E4F453" w14:textId="77777777" w:rsidR="0080633A" w:rsidRDefault="004046C4">
            <w:pPr>
              <w:pStyle w:val="affd"/>
            </w:pPr>
            <w:r>
              <w:rPr>
                <w:rFonts w:cs="宋体"/>
              </w:rPr>
              <w:t>策略与运维失控</w:t>
            </w:r>
          </w:p>
        </w:tc>
        <w:tc>
          <w:tcPr>
            <w:tcW w:w="0" w:type="auto"/>
          </w:tcPr>
          <w:p w14:paraId="327E025F" w14:textId="77777777" w:rsidR="0080633A" w:rsidRDefault="004046C4">
            <w:pPr>
              <w:pStyle w:val="affd"/>
            </w:pPr>
            <w:r>
              <w:rPr>
                <w:rFonts w:cs="宋体"/>
              </w:rPr>
              <w:t>异构设备独立配置导致规则冲突、遗漏和审计困难</w:t>
            </w:r>
          </w:p>
        </w:tc>
        <w:tc>
          <w:tcPr>
            <w:tcW w:w="0" w:type="auto"/>
          </w:tcPr>
          <w:p w14:paraId="272DD7C5" w14:textId="77777777" w:rsidR="0080633A" w:rsidRDefault="004046C4">
            <w:pPr>
              <w:pStyle w:val="affd"/>
            </w:pPr>
            <w:r>
              <w:rPr>
                <w:rFonts w:cs="宋体"/>
              </w:rPr>
              <w:t>统一纳管、策略编排、配置基线、集中审计</w:t>
            </w:r>
            <w:bookmarkEnd w:id="26"/>
          </w:p>
        </w:tc>
      </w:tr>
    </w:tbl>
    <w:p w14:paraId="460088B7" w14:textId="77777777" w:rsidR="00B75CF9" w:rsidRDefault="00B75CF9">
      <w:pPr>
        <w:sectPr w:rsidR="00B75CF9" w:rsidSect="000A6557">
          <w:endnotePr>
            <w:numFmt w:val="decimal"/>
          </w:endnotePr>
          <w:type w:val="continuous"/>
          <w:pgSz w:w="11906" w:h="16838" w:code="9"/>
          <w:pgMar w:top="1701" w:right="1134" w:bottom="1134" w:left="1134" w:header="992" w:footer="851" w:gutter="0"/>
          <w:cols w:space="420"/>
          <w:docGrid w:type="linesAndChars" w:linePitch="312"/>
        </w:sectPr>
      </w:pPr>
    </w:p>
    <w:p w14:paraId="1D89A16F" w14:textId="77777777" w:rsidR="00B75CF9" w:rsidRDefault="004046C4">
      <w:pPr>
        <w:pStyle w:val="aff0"/>
        <w:keepNext/>
      </w:pPr>
      <w:bookmarkStart w:id="27" w:name="二级标题序号_4"/>
      <w:bookmarkStart w:id="28" w:name="二级标题_4"/>
      <w:r>
        <w:rPr>
          <w:rStyle w:val="afffb"/>
          <w:kern w:val="0"/>
          <w:szCs w:val="20"/>
        </w:rPr>
        <w:t xml:space="preserve">2.2  </w:t>
      </w:r>
      <w:bookmarkEnd w:id="27"/>
      <w:r>
        <w:t>现有分散防护模式的局限</w:t>
      </w:r>
      <w:bookmarkEnd w:id="28"/>
    </w:p>
    <w:p w14:paraId="4402E7B4" w14:textId="77777777" w:rsidR="00B75CF9" w:rsidRDefault="004046C4">
      <w:pPr>
        <w:pStyle w:val="afe"/>
        <w:ind w:firstLine="420"/>
      </w:pPr>
      <w:bookmarkStart w:id="29" w:name="正文段落_怀疑_9"/>
      <w:r>
        <w:t>传统车站边界防护通常按照</w:t>
      </w:r>
      <w:r>
        <w:t>“</w:t>
      </w:r>
      <w:r>
        <w:t>设备即能力</w:t>
      </w:r>
      <w:r>
        <w:t>”</w:t>
      </w:r>
      <w:r>
        <w:t>的方</w:t>
      </w:r>
      <w:r>
        <w:t>式建设：防火墙负责网络层访问控制，准入系统负责终端接入，加密设备负责通信保护，账号权限由</w:t>
      </w:r>
      <w:r>
        <w:lastRenderedPageBreak/>
        <w:t>各业务系统分别维护。该模式在单系统、单边界场景下易于部署，但随着车站业务系统数量和互联关系增加，会出现三个典型问题。首先，不同设备的对象模型和策略语义不一致，同一用户或终端在多个设备上需要重复配置，策略冲突难以及时发现；其次，网络地址与真实身份、终端状态、业务属性之间缺乏稳定关联，访问控制容易退化为</w:t>
      </w:r>
      <w:r>
        <w:t>IP/</w:t>
      </w:r>
      <w:r>
        <w:t>端口级静态规则；再次，安全告警和运维日志分散在多个管理界面，异常事件难以形成从发现、研判到阻断、审计的闭环。</w:t>
      </w:r>
      <w:bookmarkEnd w:id="29"/>
    </w:p>
    <w:p w14:paraId="3E7FD010" w14:textId="77777777" w:rsidR="00B75CF9" w:rsidRDefault="004046C4">
      <w:pPr>
        <w:pStyle w:val="aff0"/>
        <w:keepNext/>
      </w:pPr>
      <w:bookmarkStart w:id="30" w:name="二级标题序号_5"/>
      <w:bookmarkStart w:id="31" w:name="二级标题_6"/>
      <w:r>
        <w:rPr>
          <w:rStyle w:val="afffb"/>
          <w:kern w:val="0"/>
          <w:szCs w:val="20"/>
        </w:rPr>
        <w:t>2.</w:t>
      </w:r>
      <w:r>
        <w:rPr>
          <w:rStyle w:val="afffb"/>
          <w:kern w:val="0"/>
          <w:szCs w:val="20"/>
        </w:rPr>
        <w:t xml:space="preserve">3  </w:t>
      </w:r>
      <w:bookmarkEnd w:id="30"/>
      <w:r>
        <w:t>设计目标与原则</w:t>
      </w:r>
      <w:bookmarkEnd w:id="31"/>
    </w:p>
    <w:p w14:paraId="485DD053" w14:textId="77777777" w:rsidR="00B75CF9" w:rsidRDefault="004046C4">
      <w:pPr>
        <w:pStyle w:val="afe"/>
        <w:ind w:firstLine="420"/>
      </w:pPr>
      <w:bookmarkStart w:id="32" w:name="正文段落_11"/>
      <w:r>
        <w:t>一体化防御系统的设计目标不是简单替换既有安全设备，而是通过统一控制面提升现有安全能力的协同性。系统应满足以下原则：</w:t>
      </w:r>
      <w:bookmarkEnd w:id="32"/>
    </w:p>
    <w:p w14:paraId="520DEA2D" w14:textId="77777777" w:rsidR="00B75CF9" w:rsidRDefault="004046C4">
      <w:pPr>
        <w:pStyle w:val="afe"/>
        <w:ind w:firstLine="420"/>
      </w:pPr>
      <w:bookmarkStart w:id="33" w:name="正文段落_13"/>
      <w:r>
        <w:rPr>
          <w:rFonts w:ascii="宋体" w:hAnsi="宋体" w:cs="宋体"/>
        </w:rPr>
        <w:t>①</w:t>
      </w:r>
      <w:r>
        <w:t xml:space="preserve"> </w:t>
      </w:r>
      <w:r>
        <w:t>业务连续性优先，安全控制不得对关键生产业务引入不可接受的时延或单点故障；</w:t>
      </w:r>
      <w:bookmarkEnd w:id="33"/>
    </w:p>
    <w:p w14:paraId="7ADD9B02" w14:textId="77777777" w:rsidR="00B75CF9" w:rsidRDefault="004046C4">
      <w:pPr>
        <w:pStyle w:val="afe"/>
        <w:ind w:firstLine="420"/>
      </w:pPr>
      <w:bookmarkStart w:id="34" w:name="正文段落_15"/>
      <w:r>
        <w:rPr>
          <w:rFonts w:ascii="宋体" w:hAnsi="宋体" w:cs="宋体"/>
        </w:rPr>
        <w:t>②</w:t>
      </w:r>
      <w:r>
        <w:t xml:space="preserve"> </w:t>
      </w:r>
      <w:r>
        <w:t>最小权限与持续验证并重，不因用户处于</w:t>
      </w:r>
      <w:r>
        <w:t>“</w:t>
      </w:r>
      <w:r>
        <w:t>内网</w:t>
      </w:r>
      <w:r>
        <w:t>”</w:t>
      </w:r>
      <w:r>
        <w:t>即默认可信，访问权限由身份、终端和业务上下文共同决定</w:t>
      </w:r>
      <w:r>
        <w:t>[11]</w:t>
      </w:r>
      <w:r>
        <w:t>；</w:t>
      </w:r>
      <w:bookmarkEnd w:id="34"/>
    </w:p>
    <w:p w14:paraId="229093B0" w14:textId="77777777" w:rsidR="00B75CF9" w:rsidRDefault="004046C4">
      <w:pPr>
        <w:pStyle w:val="afe"/>
        <w:ind w:firstLine="420"/>
      </w:pPr>
      <w:bookmarkStart w:id="35" w:name="正文段落_17"/>
      <w:r>
        <w:rPr>
          <w:rFonts w:ascii="宋体" w:hAnsi="宋体" w:cs="宋体"/>
        </w:rPr>
        <w:t>③</w:t>
      </w:r>
      <w:r>
        <w:t xml:space="preserve"> </w:t>
      </w:r>
      <w:r>
        <w:t>策略与执行解耦，控制层负责统一决策，执行层根据设备能力完成阻断、限权、加密或审计；</w:t>
      </w:r>
      <w:bookmarkEnd w:id="35"/>
    </w:p>
    <w:p w14:paraId="1F7E9970" w14:textId="77777777" w:rsidR="00B75CF9" w:rsidRDefault="004046C4">
      <w:pPr>
        <w:pStyle w:val="afe"/>
        <w:ind w:firstLine="420"/>
      </w:pPr>
      <w:bookmarkStart w:id="36" w:name="正文段落_19"/>
      <w:r>
        <w:rPr>
          <w:rFonts w:ascii="宋体" w:hAnsi="宋体" w:cs="宋体"/>
        </w:rPr>
        <w:t>④</w:t>
      </w:r>
      <w:r>
        <w:t xml:space="preserve"> </w:t>
      </w:r>
      <w:r>
        <w:t>渐进式兼容，通过标准接口、日志采集和策略适配纳管既有设备，避免一次性大规模改造；</w:t>
      </w:r>
      <w:bookmarkEnd w:id="36"/>
    </w:p>
    <w:p w14:paraId="56D110A3" w14:textId="77777777" w:rsidR="00B75CF9" w:rsidRDefault="004046C4">
      <w:pPr>
        <w:pStyle w:val="afe"/>
        <w:ind w:firstLine="420"/>
      </w:pPr>
      <w:bookmarkStart w:id="37" w:name="正文段落_21"/>
      <w:r>
        <w:rPr>
          <w:rFonts w:ascii="宋体" w:hAnsi="宋体" w:cs="宋体"/>
        </w:rPr>
        <w:t>⑤</w:t>
      </w:r>
      <w:r>
        <w:t xml:space="preserve"> </w:t>
      </w:r>
      <w:r>
        <w:t>全程可</w:t>
      </w:r>
      <w:r>
        <w:t>审计，策略变更、访问决策和运维操作均应保留可追溯记录。</w:t>
      </w:r>
      <w:bookmarkEnd w:id="37"/>
    </w:p>
    <w:p w14:paraId="2D782AD6" w14:textId="77777777" w:rsidR="00B75CF9" w:rsidRDefault="004046C4">
      <w:pPr>
        <w:pStyle w:val="afe"/>
        <w:ind w:firstLine="420"/>
      </w:pPr>
      <w:bookmarkStart w:id="38" w:name="正文段落_23"/>
      <w:r>
        <w:t>NIST</w:t>
      </w:r>
      <w:r>
        <w:t>网络安全框架</w:t>
      </w:r>
      <w:r>
        <w:t>2.0</w:t>
      </w:r>
      <w:r>
        <w:t>将治理活动纳入网络安全风险管理的核心职能，为统一策略管理、持续评估和审计追踪提供了参考</w:t>
      </w:r>
      <w:r>
        <w:t>[12]</w:t>
      </w:r>
      <w:r>
        <w:t>。</w:t>
      </w:r>
      <w:bookmarkEnd w:id="38"/>
    </w:p>
    <w:p w14:paraId="7610239D" w14:textId="77777777" w:rsidR="00B75CF9" w:rsidRDefault="004046C4">
      <w:pPr>
        <w:pStyle w:val="aff"/>
        <w:keepNext/>
        <w:spacing w:before="218" w:after="218"/>
      </w:pPr>
      <w:bookmarkStart w:id="39" w:name="一级标题序号_6"/>
      <w:bookmarkStart w:id="40" w:name="一级标题_6"/>
      <w:r>
        <w:rPr>
          <w:rStyle w:val="afffa"/>
          <w:kern w:val="0"/>
          <w:szCs w:val="20"/>
        </w:rPr>
        <w:t xml:space="preserve">3  </w:t>
      </w:r>
      <w:bookmarkEnd w:id="39"/>
      <w:r>
        <w:t>一体化防御系统总体架构</w:t>
      </w:r>
      <w:bookmarkEnd w:id="40"/>
    </w:p>
    <w:p w14:paraId="64333000" w14:textId="77777777" w:rsidR="00B75CF9" w:rsidRDefault="004046C4">
      <w:pPr>
        <w:pStyle w:val="aff0"/>
        <w:keepNext/>
      </w:pPr>
      <w:bookmarkStart w:id="41" w:name="二级标题序号_7"/>
      <w:bookmarkStart w:id="42" w:name="二级标题_8"/>
      <w:r>
        <w:rPr>
          <w:rStyle w:val="afffb"/>
          <w:kern w:val="0"/>
          <w:szCs w:val="20"/>
        </w:rPr>
        <w:t xml:space="preserve">3.1  </w:t>
      </w:r>
      <w:bookmarkEnd w:id="41"/>
      <w:r>
        <w:t>三层总体架构</w:t>
      </w:r>
      <w:bookmarkEnd w:id="42"/>
    </w:p>
    <w:p w14:paraId="2056BD63" w14:textId="77777777" w:rsidR="00B75CF9" w:rsidRDefault="004046C4">
      <w:pPr>
        <w:pStyle w:val="afe"/>
        <w:ind w:firstLine="420"/>
      </w:pPr>
      <w:bookmarkStart w:id="43" w:name="正文段落_怀疑_24"/>
      <w:r>
        <w:t>系统采用</w:t>
      </w:r>
      <w:r>
        <w:t>“</w:t>
      </w:r>
      <w:r>
        <w:t>基础执行层</w:t>
      </w:r>
      <w:r>
        <w:t>—</w:t>
      </w:r>
      <w:r>
        <w:t>核心控制层</w:t>
      </w:r>
      <w:r>
        <w:t>—</w:t>
      </w:r>
      <w:r>
        <w:t>业务呈现层</w:t>
      </w:r>
      <w:r>
        <w:t>”</w:t>
      </w:r>
      <w:r>
        <w:t>三层架构，如图</w:t>
      </w:r>
      <w:r>
        <w:t>1</w:t>
      </w:r>
      <w:r>
        <w:t>所示。基础执行层部署在各类网络边界和关键接入位置，包含防火墙</w:t>
      </w:r>
      <w:r>
        <w:t>/</w:t>
      </w:r>
      <w:r>
        <w:t>访问控制网关、网络准入控制组件、加密传输组件以及必要的流量与日志采集探针，负责执行允许、拒绝、限速、隔离、加密和审计等动作。核心控制层由身份服务、资产与终端状态管理、策略引擎、多源数据关联分析和配置下发组件构成，负责统一建模与决策。业务呈现层面向安全管理和运维人员，提供边界拓扑、风险态势、策略配置、账号权限、告警处置和审计查询等功能。结合</w:t>
      </w:r>
      <w:r>
        <w:t>NIST</w:t>
      </w:r>
      <w:r>
        <w:t>零信任架构实施指南的实践思路，系统采用控制与执行分离的方式，</w:t>
      </w:r>
      <w:r>
        <w:t>将统一策略判定结果映射到接</w:t>
      </w:r>
      <w:r>
        <w:t>入控制、边界网关及审计组件</w:t>
      </w:r>
      <w:r>
        <w:t>[13]</w:t>
      </w:r>
      <w:r>
        <w:t>。</w:t>
      </w:r>
      <w:bookmarkStart w:id="44" w:name="嵌入式图形_1"/>
      <w:bookmarkEnd w:id="43"/>
      <w:r w:rsidR="00265665">
        <w:rPr>
          <w:noProof/>
        </w:rPr>
        <w:drawing>
          <wp:inline distT="0" distB="0" distL="0" distR="0" wp14:anchorId="0DD05F32" wp14:editId="14573B7B">
            <wp:extent cx="2926715" cy="1951799"/>
            <wp:effectExtent l="0" t="0" r="6985" b="0"/>
            <wp:docPr id="1" name="Nam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90458" name="Picture 1"/>
                    <pic:cNvPicPr>
                      <a:picLocks noChangeAspect="1"/>
                    </pic:cNvPicPr>
                  </pic:nvPicPr>
                  <pic:blipFill>
                    <a:blip r:embed="rId15"/>
                    <a:stretch>
                      <a:fillRect/>
                    </a:stretch>
                  </pic:blipFill>
                  <pic:spPr>
                    <a:xfrm>
                      <a:off x="0" y="0"/>
                      <a:ext cx="2926715" cy="1951799"/>
                    </a:xfrm>
                    <a:prstGeom prst="rect">
                      <a:avLst/>
                    </a:prstGeom>
                  </pic:spPr>
                </pic:pic>
              </a:graphicData>
            </a:graphic>
          </wp:inline>
        </w:drawing>
      </w:r>
      <w:bookmarkEnd w:id="44"/>
    </w:p>
    <w:p w14:paraId="1F46BC6A" w14:textId="2C35B629" w:rsidR="00B75CF9" w:rsidRDefault="00265665" w:rsidP="00265665">
      <w:pPr>
        <w:pStyle w:val="afe"/>
        <w:ind w:firstLine="361"/>
      </w:pPr>
      <w:bookmarkStart w:id="45" w:name="中文图序_1"/>
      <w:bookmarkStart w:id="46" w:name="中文图题_1"/>
      <w:r>
        <w:rPr>
          <w:rFonts w:eastAsia="黑体"/>
          <w:b/>
          <w:sz w:val="18"/>
          <w:szCs w:val="18"/>
        </w:rPr>
        <w:t>图</w:t>
      </w:r>
      <w:r>
        <w:rPr>
          <w:rFonts w:eastAsia="黑体"/>
          <w:b/>
          <w:sz w:val="18"/>
          <w:szCs w:val="18"/>
        </w:rPr>
        <w:t>1</w:t>
      </w:r>
      <w:bookmarkEnd w:id="45"/>
      <w:r>
        <w:rPr>
          <w:rFonts w:eastAsia="黑体"/>
          <w:sz w:val="18"/>
          <w:szCs w:val="18"/>
        </w:rPr>
        <w:t xml:space="preserve">  </w:t>
      </w:r>
      <w:r>
        <w:rPr>
          <w:rFonts w:eastAsia="黑体"/>
          <w:sz w:val="18"/>
          <w:szCs w:val="18"/>
        </w:rPr>
        <w:t>铁路车站网络边界一体化防御系统总体架构</w:t>
      </w:r>
      <w:bookmarkEnd w:id="46"/>
    </w:p>
    <w:p w14:paraId="42412198" w14:textId="77777777" w:rsidR="00B75CF9" w:rsidRDefault="004046C4">
      <w:pPr>
        <w:pStyle w:val="afe"/>
        <w:ind w:firstLine="420"/>
      </w:pPr>
      <w:bookmarkStart w:id="47" w:name="正文段落_怀疑_25"/>
      <w:r>
        <w:t>三</w:t>
      </w:r>
      <w:r>
        <w:t>层架构的关键是控制逻辑与执行能力解耦。对于支持标准接口的安全设备，可由核心控制层通过</w:t>
      </w:r>
      <w:r>
        <w:t>API</w:t>
      </w:r>
      <w:r>
        <w:t>或集中管理接口直接下发策略；对于无法直接联动的既有设备，可通过日志归一化、配置基线检查和人工审批辅助方式逐步纳入统一治理。由此避免</w:t>
      </w:r>
      <w:r>
        <w:t>“</w:t>
      </w:r>
      <w:r>
        <w:t>为一体化而一体化</w:t>
      </w:r>
      <w:r>
        <w:t>”</w:t>
      </w:r>
      <w:r>
        <w:t>，兼顾既有投资、业务稳定性和后续演进能力。</w:t>
      </w:r>
      <w:bookmarkEnd w:id="47"/>
    </w:p>
    <w:p w14:paraId="57B28EC5" w14:textId="77777777" w:rsidR="00B75CF9" w:rsidRDefault="004046C4">
      <w:pPr>
        <w:pStyle w:val="aff0"/>
        <w:keepNext/>
      </w:pPr>
      <w:bookmarkStart w:id="48" w:name="二级标题序号_8"/>
      <w:bookmarkStart w:id="49" w:name="二级标题_10"/>
      <w:r>
        <w:rPr>
          <w:rStyle w:val="afffb"/>
          <w:kern w:val="0"/>
          <w:szCs w:val="20"/>
        </w:rPr>
        <w:t xml:space="preserve">3.2  </w:t>
      </w:r>
      <w:bookmarkEnd w:id="48"/>
      <w:r>
        <w:t>统一安全上下文与策略模型</w:t>
      </w:r>
      <w:bookmarkEnd w:id="49"/>
    </w:p>
    <w:p w14:paraId="781C1180" w14:textId="77777777" w:rsidR="00B75CF9" w:rsidRDefault="004046C4">
      <w:pPr>
        <w:pStyle w:val="afe"/>
        <w:ind w:firstLine="420"/>
      </w:pPr>
      <w:bookmarkStart w:id="50" w:name="正文段落_怀疑_26"/>
      <w:r>
        <w:t>为解决单纯依赖</w:t>
      </w:r>
      <w:r>
        <w:t>IP</w:t>
      </w:r>
      <w:r>
        <w:t>地址进行访问控制的问题，系统在控制层建立统一安全上下文。对每一次访问请求，将用户身份、终端身份与健康状态、源</w:t>
      </w:r>
      <w:r>
        <w:t>/</w:t>
      </w:r>
      <w:r>
        <w:t>目的网络区域、目标业务、数据敏感级别以及时间和运维工单等环境属性归一化为策略输入向量：</w:t>
      </w:r>
      <w:bookmarkEnd w:id="50"/>
    </w:p>
    <w:p w14:paraId="67D857F4" w14:textId="77777777" w:rsidR="00B75CF9" w:rsidRDefault="004046C4">
      <w:pPr>
        <w:pStyle w:val="new1"/>
        <w:tabs>
          <w:tab w:val="center" w:pos="2264"/>
          <w:tab w:val="right" w:pos="4529"/>
        </w:tabs>
        <w:jc w:val="center"/>
      </w:pPr>
      <w:bookmarkStart w:id="51" w:name="公式_2"/>
      <w:r>
        <w:rPr>
          <w:rFonts w:ascii="Cambria Math" w:eastAsia="Cambria Math" w:hAnsi="Cambria Math" w:cs="Cambria Math"/>
          <w:i/>
          <w:kern w:val="2"/>
          <w:sz w:val="21"/>
          <w:szCs w:val="24"/>
        </w:rPr>
        <w:t>X = {U, D, Zs, Zt, S, L, C}</w:t>
      </w:r>
      <w:bookmarkEnd w:id="51"/>
    </w:p>
    <w:p w14:paraId="71B3209A" w14:textId="77777777" w:rsidR="00B75CF9" w:rsidRDefault="004046C4">
      <w:pPr>
        <w:pStyle w:val="afe"/>
        <w:ind w:firstLine="420"/>
      </w:pPr>
      <w:bookmarkStart w:id="52" w:name="正文段落_28"/>
      <w:r>
        <w:t>其中，</w:t>
      </w:r>
      <w:r>
        <w:t>U</w:t>
      </w:r>
      <w:r>
        <w:t>为用户身份及角色，</w:t>
      </w:r>
      <w:r>
        <w:t>D</w:t>
      </w:r>
      <w:r>
        <w:t>为终端身份和可信状态，</w:t>
      </w:r>
      <w:r>
        <w:t>Zs</w:t>
      </w:r>
      <w:r>
        <w:t>与</w:t>
      </w:r>
      <w:r>
        <w:t>Zt</w:t>
      </w:r>
      <w:r>
        <w:t>分别为源区域和目标区域，</w:t>
      </w:r>
      <w:r>
        <w:t>S</w:t>
      </w:r>
      <w:r>
        <w:t>为目标业务</w:t>
      </w:r>
      <w:r>
        <w:t>/</w:t>
      </w:r>
      <w:r>
        <w:t>服务，</w:t>
      </w:r>
      <w:r>
        <w:t>L</w:t>
      </w:r>
      <w:r>
        <w:t>为数据敏感级别，</w:t>
      </w:r>
      <w:r>
        <w:t>C</w:t>
      </w:r>
      <w:r>
        <w:t>为时间、地点、工单状态等上下文。策略引擎根据安全策略集合</w:t>
      </w:r>
      <w:r>
        <w:t>P</w:t>
      </w:r>
      <w:r>
        <w:t>计算访问决策</w:t>
      </w:r>
      <w:r>
        <w:t>A=F(X,P)</w:t>
      </w:r>
      <w:r>
        <w:t>，输出</w:t>
      </w:r>
      <w:r>
        <w:t>“</w:t>
      </w:r>
      <w:r>
        <w:t>允许、受限允许、拒绝</w:t>
      </w:r>
      <w:r>
        <w:t>”</w:t>
      </w:r>
      <w:r>
        <w:t>三类结果；</w:t>
      </w:r>
      <w:r>
        <w:t>“</w:t>
      </w:r>
      <w:r>
        <w:t>受限允许</w:t>
      </w:r>
      <w:r>
        <w:t>”</w:t>
      </w:r>
      <w:r>
        <w:t>可进一步触发二次认证、只读访问、强制加密或会话审计。该模型将</w:t>
      </w:r>
      <w:r>
        <w:t>RBAC</w:t>
      </w:r>
      <w:r>
        <w:t>的稳定角色授权与</w:t>
      </w:r>
      <w:r>
        <w:t>ABAC</w:t>
      </w:r>
      <w:r>
        <w:t>的动态属性约束结合起来，既便于日常权限维护，又能根据终端状态和访问环境动态收紧权限。各属性的具体取值域及判定原型见第</w:t>
      </w:r>
      <w:r>
        <w:t>5.5</w:t>
      </w:r>
      <w:r>
        <w:t>节。</w:t>
      </w:r>
      <w:bookmarkEnd w:id="52"/>
    </w:p>
    <w:p w14:paraId="7FF6A289" w14:textId="77777777" w:rsidR="00B75CF9" w:rsidRDefault="004046C4">
      <w:pPr>
        <w:pStyle w:val="aff0"/>
        <w:keepNext/>
      </w:pPr>
      <w:bookmarkStart w:id="53" w:name="二级标题序号_9"/>
      <w:bookmarkStart w:id="54" w:name="二级标题_12"/>
      <w:r>
        <w:rPr>
          <w:rStyle w:val="afffb"/>
          <w:kern w:val="0"/>
          <w:szCs w:val="20"/>
        </w:rPr>
        <w:t xml:space="preserve">3.3  </w:t>
      </w:r>
      <w:bookmarkEnd w:id="53"/>
      <w:r>
        <w:t>业务处理流程</w:t>
      </w:r>
      <w:bookmarkEnd w:id="54"/>
    </w:p>
    <w:p w14:paraId="33C665DF" w14:textId="77777777" w:rsidR="00B75CF9" w:rsidRDefault="004046C4">
      <w:pPr>
        <w:pStyle w:val="afe"/>
        <w:ind w:firstLine="420"/>
      </w:pPr>
      <w:bookmarkStart w:id="55" w:name="正文段落_怀疑_29"/>
      <w:r>
        <w:t>典型访</w:t>
      </w:r>
      <w:r>
        <w:t>问流程包括六个步骤：</w:t>
      </w:r>
      <w:r>
        <w:rPr>
          <w:rFonts w:ascii="宋体" w:hAnsi="宋体" w:cs="宋体"/>
        </w:rPr>
        <w:t>①</w:t>
      </w:r>
      <w:r>
        <w:t>终端发起接入或跨域访问请求；</w:t>
      </w:r>
      <w:r>
        <w:rPr>
          <w:rFonts w:ascii="宋体" w:hAnsi="宋体" w:cs="宋体"/>
        </w:rPr>
        <w:t>②</w:t>
      </w:r>
      <w:r>
        <w:t>准入组件完成用户</w:t>
      </w:r>
      <w:r>
        <w:t>/</w:t>
      </w:r>
      <w:r>
        <w:t>设备认证并获取终端安全状态；</w:t>
      </w:r>
      <w:r>
        <w:rPr>
          <w:rFonts w:ascii="宋体" w:hAnsi="宋体" w:cs="宋体"/>
        </w:rPr>
        <w:t>③</w:t>
      </w:r>
      <w:r>
        <w:t>控制层关联账号、资产、网络区域和目标业务，生成安全上下文；</w:t>
      </w:r>
      <w:r>
        <w:rPr>
          <w:rFonts w:ascii="宋体" w:hAnsi="宋体" w:cs="宋体"/>
        </w:rPr>
        <w:t>④</w:t>
      </w:r>
      <w:r>
        <w:t>策略引擎完成访问判定，并将结果映射为防火墙规则、准入</w:t>
      </w:r>
      <w:r>
        <w:lastRenderedPageBreak/>
        <w:t>权限和加密要求；</w:t>
      </w:r>
      <w:r>
        <w:rPr>
          <w:rFonts w:ascii="宋体" w:hAnsi="宋体" w:cs="宋体"/>
        </w:rPr>
        <w:t>⑤</w:t>
      </w:r>
      <w:r>
        <w:t>执行层按策略放行、限制或隔离流量，同时建立必要的安全传输通道；</w:t>
      </w:r>
      <w:r>
        <w:rPr>
          <w:rFonts w:ascii="宋体" w:hAnsi="宋体" w:cs="宋体"/>
        </w:rPr>
        <w:t>⑥</w:t>
      </w:r>
      <w:r>
        <w:t>访问日志、告警和会话状态回流控制层，若终端状态、账号风险或行为特征发生变化，可重新评估并撤销既有权限。该流程体现</w:t>
      </w:r>
      <w:r>
        <w:t>“</w:t>
      </w:r>
      <w:r>
        <w:t>先认证、再授权、持续评估</w:t>
      </w:r>
      <w:r>
        <w:t>”</w:t>
      </w:r>
      <w:r>
        <w:t>的控制思想，与零信任架构强调的身份和资源保护原则一致</w:t>
      </w:r>
      <w:r>
        <w:t>[11]</w:t>
      </w:r>
      <w:r>
        <w:t>。</w:t>
      </w:r>
      <w:bookmarkEnd w:id="55"/>
    </w:p>
    <w:p w14:paraId="5D3ED87A" w14:textId="77777777" w:rsidR="00B75CF9" w:rsidRDefault="004046C4">
      <w:pPr>
        <w:pStyle w:val="aff"/>
        <w:keepNext/>
        <w:spacing w:before="218" w:after="218"/>
      </w:pPr>
      <w:bookmarkStart w:id="56" w:name="一级标题序号_10"/>
      <w:bookmarkStart w:id="57" w:name="一级标题_8"/>
      <w:r>
        <w:rPr>
          <w:rStyle w:val="afffa"/>
          <w:kern w:val="0"/>
          <w:szCs w:val="20"/>
        </w:rPr>
        <w:t xml:space="preserve">4  </w:t>
      </w:r>
      <w:bookmarkEnd w:id="56"/>
      <w:r>
        <w:t>关键技术</w:t>
      </w:r>
      <w:r>
        <w:t>实现</w:t>
      </w:r>
      <w:bookmarkEnd w:id="57"/>
    </w:p>
    <w:p w14:paraId="4F03B090" w14:textId="77777777" w:rsidR="00B75CF9" w:rsidRDefault="004046C4">
      <w:pPr>
        <w:pStyle w:val="aff0"/>
        <w:keepNext/>
      </w:pPr>
      <w:bookmarkStart w:id="58" w:name="二级标题序号_11"/>
      <w:bookmarkStart w:id="59" w:name="二级标题_14"/>
      <w:r>
        <w:rPr>
          <w:rStyle w:val="afffb"/>
          <w:kern w:val="0"/>
          <w:szCs w:val="20"/>
        </w:rPr>
        <w:t xml:space="preserve">4.1  </w:t>
      </w:r>
      <w:bookmarkEnd w:id="58"/>
      <w:r>
        <w:t>身份与网络准入协同</w:t>
      </w:r>
      <w:bookmarkEnd w:id="59"/>
    </w:p>
    <w:p w14:paraId="5B9961E6" w14:textId="77777777" w:rsidR="00B75CF9" w:rsidRDefault="004046C4">
      <w:pPr>
        <w:pStyle w:val="afe"/>
        <w:ind w:firstLine="420"/>
      </w:pPr>
      <w:bookmarkStart w:id="60" w:name="正文段落_怀疑_30"/>
      <w:r>
        <w:t>准入控制的核心是将</w:t>
      </w:r>
      <w:r>
        <w:t>“</w:t>
      </w:r>
      <w:r>
        <w:t>设备能否接入网络</w:t>
      </w:r>
      <w:r>
        <w:t>”</w:t>
      </w:r>
      <w:r>
        <w:t>与</w:t>
      </w:r>
      <w:r>
        <w:t>“</w:t>
      </w:r>
      <w:r>
        <w:t>接入后能访问什么资源</w:t>
      </w:r>
      <w:r>
        <w:t>”</w:t>
      </w:r>
      <w:r>
        <w:t>关联起来。系统为用户、终端和服务建立统一标识，终端首次接入时完成设备指纹、证书或其他可信凭据校验，并依据终端类型、补丁状态、安全软件状态等信息生成终端可信状态。对于固定设备，可采用证书、端口与设备标识的组合认证；对于运维终端，可增加多因素认证和工单校验。认证结果不直接等同于全网访问权限，而是作为后续访问控制策略的输入。对于异常终端，系统可将其导入隔离区，仅开放修复、升级或登记所需服务，避免</w:t>
      </w:r>
      <w:r>
        <w:t>“</w:t>
      </w:r>
      <w:r>
        <w:t>一拒了之</w:t>
      </w:r>
      <w:r>
        <w:t>”</w:t>
      </w:r>
      <w:r>
        <w:t>影响现场运维。</w:t>
      </w:r>
      <w:bookmarkEnd w:id="60"/>
    </w:p>
    <w:p w14:paraId="264D8960" w14:textId="77777777" w:rsidR="00B75CF9" w:rsidRDefault="004046C4">
      <w:pPr>
        <w:pStyle w:val="aff0"/>
        <w:keepNext/>
      </w:pPr>
      <w:bookmarkStart w:id="61" w:name="二级标题序号_12"/>
      <w:bookmarkStart w:id="62" w:name="二级标题_16"/>
      <w:r>
        <w:rPr>
          <w:rStyle w:val="afffb"/>
          <w:kern w:val="0"/>
          <w:szCs w:val="20"/>
        </w:rPr>
        <w:t xml:space="preserve">4.2  </w:t>
      </w:r>
      <w:bookmarkEnd w:id="61"/>
      <w:r>
        <w:t>边界访问控制与协议感知</w:t>
      </w:r>
      <w:bookmarkEnd w:id="62"/>
    </w:p>
    <w:p w14:paraId="079BF308" w14:textId="77777777" w:rsidR="00B75CF9" w:rsidRDefault="004046C4">
      <w:pPr>
        <w:pStyle w:val="afe"/>
        <w:ind w:firstLine="420"/>
      </w:pPr>
      <w:bookmarkStart w:id="63" w:name="正文段落_32"/>
      <w:r>
        <w:t>防火墙策略由传统的</w:t>
      </w:r>
      <w:r>
        <w:t>“</w:t>
      </w:r>
      <w:r>
        <w:t>源</w:t>
      </w:r>
      <w:r>
        <w:t>IP—</w:t>
      </w:r>
      <w:r>
        <w:t>目的</w:t>
      </w:r>
      <w:r>
        <w:t>IP—</w:t>
      </w:r>
      <w:r>
        <w:t>端口</w:t>
      </w:r>
      <w:r>
        <w:t>”</w:t>
      </w:r>
      <w:r>
        <w:t>三元组扩展为身份、终端、区域、业务和风险状态共同驱动的策略。对标准</w:t>
      </w:r>
      <w:r>
        <w:t>TCP/IP</w:t>
      </w:r>
      <w:r>
        <w:t>业务，可基于应用识别和会话状态进行细粒度控制；对具备协议解析条件的铁路业务通信，可在不修改业务协议栈的前提下增加报文格式、业务对象和命令类型的合规性检查。针对列车网络等时延敏感的铁路通信协议，崔玉龙等研究了</w:t>
      </w:r>
      <w:r>
        <w:t>TRDP</w:t>
      </w:r>
      <w:r>
        <w:t>安全防护机制，其兼顾通信安全与业务实时性的设计思路可借鉴于车站侧强实时链路的防护</w:t>
      </w:r>
      <w:r>
        <w:t>[14]</w:t>
      </w:r>
      <w:r>
        <w:t>。需要强调的是，协议深度解析仅适用于协</w:t>
      </w:r>
      <w:r>
        <w:t>议开放度、设备性能和业务安全评估允许的场景，不应对强实时或安全关键链路盲目增加中间处理环节。对无法安全解析的链路，应以区域隔离、固定通信关系白名单和异常流量检测为主。</w:t>
      </w:r>
      <w:bookmarkEnd w:id="63"/>
    </w:p>
    <w:p w14:paraId="04C73481" w14:textId="77777777" w:rsidR="00B75CF9" w:rsidRDefault="004046C4">
      <w:pPr>
        <w:pStyle w:val="aff0"/>
        <w:keepNext/>
      </w:pPr>
      <w:bookmarkStart w:id="64" w:name="二级标题序号_13"/>
      <w:bookmarkStart w:id="65" w:name="二级标题_18"/>
      <w:r>
        <w:rPr>
          <w:rStyle w:val="afffb"/>
          <w:kern w:val="0"/>
          <w:szCs w:val="20"/>
        </w:rPr>
        <w:t xml:space="preserve">4.3  </w:t>
      </w:r>
      <w:bookmarkEnd w:id="64"/>
      <w:r>
        <w:t>分级加密与密钥管理</w:t>
      </w:r>
      <w:bookmarkEnd w:id="65"/>
    </w:p>
    <w:p w14:paraId="6935EDFC" w14:textId="77777777" w:rsidR="00B75CF9" w:rsidRDefault="004046C4">
      <w:pPr>
        <w:pStyle w:val="afe"/>
        <w:ind w:firstLine="420"/>
      </w:pPr>
      <w:bookmarkStart w:id="66" w:name="正文段落_34"/>
      <w:r>
        <w:t>跨边界传输保护应根据数据敏感级别和业务实时性进行分级设计。对管理配置、账号凭据、关键业务数据和跨域运维流量，应采用符合商用密码应用要求的安全协议、密码算法和密钥管理机制，确保传输机密性、完整性和通信实体鉴别，密码算法与密钥全生命周期管理符合</w:t>
      </w:r>
      <w:r>
        <w:t xml:space="preserve">GB/T </w:t>
      </w:r>
      <w:r>
        <w:t>39786</w:t>
      </w:r>
      <w:r>
        <w:t>通用要求</w:t>
      </w:r>
      <w:r>
        <w:t>及网络和通信安全条款的规定</w:t>
      </w:r>
      <w:r>
        <w:t>[15]</w:t>
      </w:r>
      <w:r>
        <w:t>。对于高实时业务，不宜简单提高算法复杂度，而应通过硬件加速、会话复用、链路分级和加密终结位置优化降低额外开销。控制层根据数据级别和通信区域关系自动附加加密要求，并对未满足加密策略的连接拒绝建立会话或降级到受限服务。</w:t>
      </w:r>
      <w:bookmarkEnd w:id="66"/>
    </w:p>
    <w:p w14:paraId="54F7D46E" w14:textId="77777777" w:rsidR="00B75CF9" w:rsidRDefault="004046C4">
      <w:pPr>
        <w:pStyle w:val="aff0"/>
        <w:keepNext/>
      </w:pPr>
      <w:bookmarkStart w:id="67" w:name="二级标题序号_14"/>
      <w:bookmarkStart w:id="68" w:name="二级标题_20"/>
      <w:r>
        <w:rPr>
          <w:rStyle w:val="afffb"/>
          <w:kern w:val="0"/>
          <w:szCs w:val="20"/>
        </w:rPr>
        <w:t xml:space="preserve">4.4  </w:t>
      </w:r>
      <w:bookmarkEnd w:id="67"/>
      <w:r>
        <w:t>多源安全数据协同与闭环处置</w:t>
      </w:r>
      <w:bookmarkEnd w:id="68"/>
    </w:p>
    <w:p w14:paraId="429D71C7" w14:textId="77777777" w:rsidR="00B75CF9" w:rsidRDefault="004046C4">
      <w:pPr>
        <w:pStyle w:val="afe"/>
        <w:ind w:firstLine="420"/>
      </w:pPr>
      <w:bookmarkStart w:id="69" w:name="正文段落_怀疑_35"/>
      <w:r>
        <w:t>系统对防火墙日志、准入事件、账号认证记录、终端状态、加密隧道状态和安全告警进行字段归一化，并以账号、终端、</w:t>
      </w:r>
      <w:r>
        <w:t>IP</w:t>
      </w:r>
      <w:r>
        <w:t>、资产和业务服务为关联键构建事件链。例如，某运维账号在非计划时间从异常终端发起跨区域访问时，单一</w:t>
      </w:r>
      <w:r>
        <w:t>设备可能只产生</w:t>
      </w:r>
      <w:r>
        <w:t>“</w:t>
      </w:r>
      <w:r>
        <w:t>认证成功</w:t>
      </w:r>
      <w:r>
        <w:t>”</w:t>
      </w:r>
      <w:r>
        <w:t>和</w:t>
      </w:r>
      <w:r>
        <w:t>“</w:t>
      </w:r>
      <w:r>
        <w:t>会话允许</w:t>
      </w:r>
      <w:r>
        <w:t>”</w:t>
      </w:r>
      <w:r>
        <w:t>两条普通日志；经过关联后，系统可识别</w:t>
      </w:r>
      <w:r>
        <w:t>“</w:t>
      </w:r>
      <w:r>
        <w:t>异常时间</w:t>
      </w:r>
      <w:r>
        <w:t>+</w:t>
      </w:r>
      <w:r>
        <w:t>异常终端</w:t>
      </w:r>
      <w:r>
        <w:t>+</w:t>
      </w:r>
      <w:r>
        <w:t>高敏资源</w:t>
      </w:r>
      <w:r>
        <w:t>”</w:t>
      </w:r>
      <w:r>
        <w:t>的组合风险，并触发二次认证、会话阻断或管理员复核。铁路网络安全知识图谱等研究表明，对分散资产和安全数据进行统一关联有助于提升态势分析和集中管理能力</w:t>
      </w:r>
      <w:r>
        <w:t>[6]</w:t>
      </w:r>
      <w:r>
        <w:t>。</w:t>
      </w:r>
      <w:bookmarkEnd w:id="69"/>
    </w:p>
    <w:p w14:paraId="2D22B5C3" w14:textId="77777777" w:rsidR="00B75CF9" w:rsidRDefault="004046C4">
      <w:pPr>
        <w:pStyle w:val="aff0"/>
        <w:keepNext/>
      </w:pPr>
      <w:bookmarkStart w:id="70" w:name="二级标题序号_15"/>
      <w:bookmarkStart w:id="71" w:name="二级标题_22"/>
      <w:r>
        <w:rPr>
          <w:rStyle w:val="afffb"/>
          <w:kern w:val="0"/>
          <w:szCs w:val="20"/>
        </w:rPr>
        <w:t xml:space="preserve">4.5  </w:t>
      </w:r>
      <w:bookmarkEnd w:id="70"/>
      <w:r>
        <w:t>账号权限治理与安全审计</w:t>
      </w:r>
      <w:bookmarkEnd w:id="71"/>
    </w:p>
    <w:p w14:paraId="27A3C4D8" w14:textId="77777777" w:rsidR="00B75CF9" w:rsidRDefault="004046C4">
      <w:pPr>
        <w:pStyle w:val="afe"/>
        <w:ind w:firstLine="420"/>
      </w:pPr>
      <w:bookmarkStart w:id="72" w:name="正文段落_37"/>
      <w:r>
        <w:t>针对多系统多账号带来的权限膨胀问题，平台建立统一账号目录，并通过</w:t>
      </w:r>
      <w:r>
        <w:t>RBAC</w:t>
      </w:r>
      <w:r>
        <w:t>定义岗位基础权限，通过</w:t>
      </w:r>
      <w:r>
        <w:t>ABAC</w:t>
      </w:r>
      <w:r>
        <w:t>叠加终端状态、访问区域、时间和工单等动态约束。温佳坤等面向高铁客运服务边缘计算资源，研究了基于属性的动态权限控制</w:t>
      </w:r>
      <w:r>
        <w:t>与安全隔离机制，其思路可借鉴于车站侧账号权限的动态约束设计</w:t>
      </w:r>
      <w:r>
        <w:t>[16]</w:t>
      </w:r>
      <w:r>
        <w:t>。人员岗位变化、离岗或设备退役时，账号与权限应同步回收；高权限操作需采用强认证、审批和会话审计。对暂时无法接入统一身份平台的既有系统，可先通过账号盘点、弱口令治理、共享账号替换和周期性权限复核实现过渡，逐步减少</w:t>
      </w:r>
      <w:r>
        <w:t>“</w:t>
      </w:r>
      <w:r>
        <w:t>孤立账号</w:t>
      </w:r>
      <w:r>
        <w:t>”</w:t>
      </w:r>
      <w:r>
        <w:t>数量。对安全控制效果的检验，可依照安全与隐私控制评估指南，将身份鉴别、权限检查、访问记录等要求转换为具备输入条件、预期结果和证据记录的测试项</w:t>
      </w:r>
      <w:r>
        <w:t>[17]</w:t>
      </w:r>
      <w:r>
        <w:t>。</w:t>
      </w:r>
      <w:bookmarkEnd w:id="72"/>
    </w:p>
    <w:p w14:paraId="50C3657D" w14:textId="77777777" w:rsidR="00B75CF9" w:rsidRDefault="004046C4">
      <w:pPr>
        <w:pStyle w:val="aff"/>
        <w:keepNext/>
        <w:spacing w:before="218" w:after="218"/>
      </w:pPr>
      <w:bookmarkStart w:id="73" w:name="一级标题序号_16"/>
      <w:bookmarkStart w:id="74" w:name="一级标题_10"/>
      <w:r>
        <w:rPr>
          <w:rStyle w:val="afffa"/>
          <w:kern w:val="0"/>
          <w:szCs w:val="20"/>
        </w:rPr>
        <w:t xml:space="preserve">5  </w:t>
      </w:r>
      <w:bookmarkEnd w:id="73"/>
      <w:r>
        <w:t>典型业务场景与方案分析</w:t>
      </w:r>
      <w:bookmarkEnd w:id="74"/>
    </w:p>
    <w:p w14:paraId="73195023" w14:textId="77777777" w:rsidR="00B75CF9" w:rsidRDefault="004046C4">
      <w:pPr>
        <w:pStyle w:val="afe"/>
        <w:ind w:firstLine="420"/>
      </w:pPr>
      <w:bookmarkStart w:id="75" w:name="正文段落_怀疑_38"/>
      <w:r>
        <w:t>考虑铁路网络及安全配置具有敏感性，本文对实际生产拓扑、设备型号、地址规划和策略阈值进行抽象，仅从业务流程和控制机制角度分析一体化方案。</w:t>
      </w:r>
      <w:bookmarkEnd w:id="75"/>
    </w:p>
    <w:p w14:paraId="2D2445DA" w14:textId="77777777" w:rsidR="00B75CF9" w:rsidRDefault="004046C4">
      <w:pPr>
        <w:pStyle w:val="aff0"/>
        <w:keepNext/>
      </w:pPr>
      <w:bookmarkStart w:id="76" w:name="二级标题序号_17"/>
      <w:bookmarkStart w:id="77" w:name="二级标题_24"/>
      <w:r>
        <w:rPr>
          <w:rStyle w:val="afffb"/>
          <w:kern w:val="0"/>
          <w:szCs w:val="20"/>
        </w:rPr>
        <w:t xml:space="preserve">5.1  </w:t>
      </w:r>
      <w:bookmarkEnd w:id="76"/>
      <w:r>
        <w:t>客运服务终端接入场景</w:t>
      </w:r>
      <w:bookmarkEnd w:id="77"/>
    </w:p>
    <w:p w14:paraId="63988ED7" w14:textId="77777777" w:rsidR="00B75CF9" w:rsidRDefault="004046C4">
      <w:pPr>
        <w:pStyle w:val="afe"/>
        <w:ind w:firstLine="420"/>
      </w:pPr>
      <w:bookmarkStart w:id="78" w:name="正文段落_怀疑_39"/>
      <w:r>
        <w:t>车站客运服务终端数量多、分布广，包含自动检票、查询、服务作业和移动运维等多种终端。传</w:t>
      </w:r>
      <w:r>
        <w:lastRenderedPageBreak/>
        <w:t>统基于</w:t>
      </w:r>
      <w:r>
        <w:t>MAC</w:t>
      </w:r>
      <w:r>
        <w:t>地址或固定</w:t>
      </w:r>
      <w:r>
        <w:t>IP</w:t>
      </w:r>
      <w:r>
        <w:t>的控制方式难以识别终端冒用和身份漂移。面向云边端协同的客运服务系统，相关研究还探索了微隔离与动态防护相结合的机制，以降低横向移动攻击风险</w:t>
      </w:r>
      <w:r>
        <w:t>[18]</w:t>
      </w:r>
      <w:r>
        <w:t>。采用一体化方案后，终端接入时首先完成设备身份和用户身份校验，控制层根据终端类型和业务角色分配最小网络访问集合。例如，自动检票类终端仅允许访问指定客票</w:t>
      </w:r>
      <w:r>
        <w:t>/</w:t>
      </w:r>
      <w:r>
        <w:t>客运服务接口，禁止访问办公和运维管理资源；移动运维终端则需在有效工单和多因素认证条件下临时获得维护权限。对</w:t>
      </w:r>
      <w:r>
        <w:t>于涉及敏感数据的管理接口，策略引擎可同时要求加密传输和完整会话审计。该机制将</w:t>
      </w:r>
      <w:r>
        <w:t>“</w:t>
      </w:r>
      <w:r>
        <w:t>接入许可</w:t>
      </w:r>
      <w:r>
        <w:t>”</w:t>
      </w:r>
      <w:r>
        <w:t>与</w:t>
      </w:r>
      <w:r>
        <w:t>“</w:t>
      </w:r>
      <w:r>
        <w:t>业务访问许可</w:t>
      </w:r>
      <w:r>
        <w:t>”</w:t>
      </w:r>
      <w:r>
        <w:t>分离，有助于降低合法终端被冒用后形成大范围横向访问的风险。</w:t>
      </w:r>
      <w:bookmarkEnd w:id="78"/>
    </w:p>
    <w:p w14:paraId="6EACB55B" w14:textId="77777777" w:rsidR="00B75CF9" w:rsidRDefault="004046C4">
      <w:pPr>
        <w:pStyle w:val="aff0"/>
        <w:keepNext/>
      </w:pPr>
      <w:bookmarkStart w:id="79" w:name="二级标题序号_18"/>
      <w:bookmarkStart w:id="80" w:name="二级标题_26"/>
      <w:r>
        <w:rPr>
          <w:rStyle w:val="afffb"/>
          <w:kern w:val="0"/>
          <w:szCs w:val="20"/>
        </w:rPr>
        <w:t xml:space="preserve">5.2  </w:t>
      </w:r>
      <w:bookmarkEnd w:id="79"/>
      <w:r>
        <w:t>信号集中监测系统跨域运维场景</w:t>
      </w:r>
      <w:bookmarkEnd w:id="80"/>
    </w:p>
    <w:p w14:paraId="72B6496F" w14:textId="77777777" w:rsidR="00B75CF9" w:rsidRDefault="004046C4">
      <w:pPr>
        <w:pStyle w:val="afe"/>
        <w:ind w:firstLine="420"/>
      </w:pPr>
      <w:bookmarkStart w:id="81" w:name="正文段落_怀疑_40"/>
      <w:r>
        <w:t>信号集中监测系统对运行维护具有重要支撑作用，其访问关系应保持稳定、可控和可追溯。对于来自办公或运维区域的维护请求，一体化平台不直接依据网络位置授予信任，而是核验运维账号、终端、维护对象和工单状态，并匹配预先定义的维护服务白名单。通过身份驱动的边界策略，可仅开放必要的目标地址、端口或应用服务；维护结束后自动</w:t>
      </w:r>
      <w:r>
        <w:t>回收临时权限。对具备安全解析条件的管理协议，可结合命令审计识别高风险操作；对不宜代理或深度解析的实时链路，则采用严格的网络分区、固定通信关系和被动监测，避免安全设备对生产链路产生额外干扰。</w:t>
      </w:r>
      <w:bookmarkEnd w:id="81"/>
    </w:p>
    <w:p w14:paraId="562C1E62" w14:textId="77777777" w:rsidR="00B75CF9" w:rsidRDefault="004046C4">
      <w:pPr>
        <w:pStyle w:val="aff0"/>
        <w:keepNext/>
        <w:sectPr w:rsidR="00B75CF9" w:rsidSect="000A6557">
          <w:endnotePr>
            <w:numFmt w:val="decimal"/>
          </w:endnotePr>
          <w:type w:val="continuous"/>
          <w:pgSz w:w="11906" w:h="16838" w:code="9"/>
          <w:pgMar w:top="1701" w:right="1134" w:bottom="1134" w:left="1134" w:header="992" w:footer="851" w:gutter="0"/>
          <w:cols w:num="2" w:space="420"/>
          <w:docGrid w:type="linesAndChars" w:linePitch="312"/>
        </w:sectPr>
      </w:pPr>
      <w:bookmarkStart w:id="82" w:name="二级标题序号_19"/>
      <w:bookmarkStart w:id="83" w:name="二级标题_28"/>
      <w:r>
        <w:rPr>
          <w:rStyle w:val="afffb"/>
          <w:kern w:val="0"/>
          <w:szCs w:val="20"/>
        </w:rPr>
        <w:t xml:space="preserve">5.3  </w:t>
      </w:r>
      <w:bookmarkEnd w:id="82"/>
      <w:r>
        <w:t>一体化方案效果分析</w:t>
      </w:r>
      <w:bookmarkEnd w:id="83"/>
    </w:p>
    <w:p w14:paraId="75968791" w14:textId="77777777" w:rsidR="00B75CF9" w:rsidRDefault="004046C4">
      <w:pPr>
        <w:pStyle w:val="afffc"/>
        <w:keepNext/>
        <w:keepLines/>
      </w:pPr>
      <w:bookmarkStart w:id="84" w:name="中文表序_2"/>
      <w:bookmarkStart w:id="85" w:name="中文表题_4"/>
      <w:r>
        <w:t>表</w:t>
      </w:r>
      <w:r>
        <w:t>2</w:t>
      </w:r>
      <w:bookmarkEnd w:id="84"/>
      <w:r>
        <w:rPr>
          <w:b w:val="0"/>
        </w:rPr>
        <w:t xml:space="preserve">  </w:t>
      </w:r>
      <w:r>
        <w:rPr>
          <w:b w:val="0"/>
        </w:rPr>
        <w:t>分散防护与一体化防御模式对比</w:t>
      </w:r>
      <w:bookmarkEnd w:id="85"/>
    </w:p>
    <w:tbl>
      <w:tblPr>
        <w:tblStyle w:val="affff5"/>
        <w:tblW w:w="5000" w:type="pct"/>
        <w:jc w:val="center"/>
        <w:tblInd w:w="0" w:type="dxa"/>
        <w:tblLook w:val="04A0" w:firstRow="1" w:lastRow="0" w:firstColumn="1" w:lastColumn="0" w:noHBand="0" w:noVBand="1"/>
      </w:tblPr>
      <w:tblGrid>
        <w:gridCol w:w="1157"/>
        <w:gridCol w:w="3855"/>
        <w:gridCol w:w="4626"/>
      </w:tblGrid>
      <w:tr w:rsidR="00B75CF9" w14:paraId="3BEAA5C5" w14:textId="77777777" w:rsidTr="00265665">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auto"/>
          </w:tcPr>
          <w:p w14:paraId="2ADBAA15" w14:textId="77777777" w:rsidR="0080633A" w:rsidRDefault="004046C4">
            <w:pPr>
              <w:pStyle w:val="affd"/>
            </w:pPr>
            <w:r>
              <w:rPr>
                <w:rFonts w:cs="宋体"/>
              </w:rPr>
              <w:t>评价维度</w:t>
            </w:r>
            <w:bookmarkStart w:id="86" w:name="表格_2"/>
          </w:p>
        </w:tc>
        <w:tc>
          <w:tcPr>
            <w:tcW w:w="0" w:type="auto"/>
            <w:shd w:val="clear" w:color="auto" w:fill="auto"/>
          </w:tcPr>
          <w:p w14:paraId="4818AA64" w14:textId="77777777" w:rsidR="0080633A" w:rsidRDefault="004046C4">
            <w:pPr>
              <w:pStyle w:val="affd"/>
            </w:pPr>
            <w:r>
              <w:rPr>
                <w:rFonts w:cs="宋体"/>
              </w:rPr>
              <w:t>传统分散防护</w:t>
            </w:r>
          </w:p>
        </w:tc>
        <w:tc>
          <w:tcPr>
            <w:tcW w:w="0" w:type="auto"/>
            <w:shd w:val="clear" w:color="auto" w:fill="auto"/>
          </w:tcPr>
          <w:p w14:paraId="754D9218" w14:textId="77777777" w:rsidR="0080633A" w:rsidRDefault="004046C4">
            <w:pPr>
              <w:pStyle w:val="affd"/>
            </w:pPr>
            <w:r>
              <w:rPr>
                <w:rFonts w:cs="宋体"/>
              </w:rPr>
              <w:t>一体化防御方案</w:t>
            </w:r>
          </w:p>
        </w:tc>
      </w:tr>
      <w:tr w:rsidR="00B75CF9" w14:paraId="651C8D98" w14:textId="77777777" w:rsidTr="00B75CF9">
        <w:trPr>
          <w:jc w:val="center"/>
        </w:trPr>
        <w:tc>
          <w:tcPr>
            <w:tcW w:w="0" w:type="auto"/>
          </w:tcPr>
          <w:p w14:paraId="33E64491" w14:textId="77777777" w:rsidR="0080633A" w:rsidRDefault="004046C4">
            <w:pPr>
              <w:pStyle w:val="affd"/>
            </w:pPr>
            <w:r>
              <w:rPr>
                <w:rFonts w:cs="宋体"/>
              </w:rPr>
              <w:t>访问控制依据</w:t>
            </w:r>
          </w:p>
        </w:tc>
        <w:tc>
          <w:tcPr>
            <w:tcW w:w="0" w:type="auto"/>
          </w:tcPr>
          <w:p w14:paraId="23E14BE3" w14:textId="77777777" w:rsidR="0080633A" w:rsidRDefault="004046C4">
            <w:pPr>
              <w:pStyle w:val="affd"/>
            </w:pPr>
            <w:r>
              <w:rPr>
                <w:rFonts w:cs="宋体"/>
              </w:rPr>
              <w:t>以</w:t>
            </w:r>
            <w:r>
              <w:rPr>
                <w:rFonts w:cs="宋体"/>
              </w:rPr>
              <w:t>IP</w:t>
            </w:r>
            <w:r>
              <w:rPr>
                <w:rFonts w:cs="宋体"/>
              </w:rPr>
              <w:t>、端口和静态规则为主</w:t>
            </w:r>
          </w:p>
        </w:tc>
        <w:tc>
          <w:tcPr>
            <w:tcW w:w="0" w:type="auto"/>
          </w:tcPr>
          <w:p w14:paraId="15291BCF" w14:textId="77777777" w:rsidR="0080633A" w:rsidRDefault="004046C4">
            <w:pPr>
              <w:pStyle w:val="affd"/>
            </w:pPr>
            <w:r>
              <w:rPr>
                <w:rFonts w:cs="宋体"/>
              </w:rPr>
              <w:t>身份、终端、区域、业务、数据级别和上下文联合决策</w:t>
            </w:r>
          </w:p>
        </w:tc>
      </w:tr>
      <w:tr w:rsidR="00B75CF9" w14:paraId="36F8242A" w14:textId="77777777" w:rsidTr="00B75CF9">
        <w:trPr>
          <w:jc w:val="center"/>
        </w:trPr>
        <w:tc>
          <w:tcPr>
            <w:tcW w:w="0" w:type="auto"/>
          </w:tcPr>
          <w:p w14:paraId="1370DF4E" w14:textId="77777777" w:rsidR="0080633A" w:rsidRDefault="004046C4">
            <w:pPr>
              <w:pStyle w:val="affd"/>
            </w:pPr>
            <w:r>
              <w:rPr>
                <w:rFonts w:cs="宋体"/>
              </w:rPr>
              <w:t>终端接入</w:t>
            </w:r>
          </w:p>
        </w:tc>
        <w:tc>
          <w:tcPr>
            <w:tcW w:w="0" w:type="auto"/>
          </w:tcPr>
          <w:p w14:paraId="6C337A11" w14:textId="77777777" w:rsidR="0080633A" w:rsidRDefault="004046C4">
            <w:pPr>
              <w:pStyle w:val="affd"/>
            </w:pPr>
            <w:r>
              <w:rPr>
                <w:rFonts w:cs="宋体"/>
              </w:rPr>
              <w:t>接入认证与后续访问策略相互独立</w:t>
            </w:r>
          </w:p>
        </w:tc>
        <w:tc>
          <w:tcPr>
            <w:tcW w:w="0" w:type="auto"/>
          </w:tcPr>
          <w:p w14:paraId="0DDECA00" w14:textId="77777777" w:rsidR="0080633A" w:rsidRDefault="004046C4">
            <w:pPr>
              <w:pStyle w:val="affd"/>
            </w:pPr>
            <w:r>
              <w:rPr>
                <w:rFonts w:cs="宋体"/>
              </w:rPr>
              <w:t>准入结果直接参与边界访问授权，可动态隔离</w:t>
            </w:r>
          </w:p>
        </w:tc>
      </w:tr>
      <w:tr w:rsidR="00B75CF9" w14:paraId="40E6D19F" w14:textId="77777777" w:rsidTr="00B75CF9">
        <w:trPr>
          <w:jc w:val="center"/>
        </w:trPr>
        <w:tc>
          <w:tcPr>
            <w:tcW w:w="0" w:type="auto"/>
          </w:tcPr>
          <w:p w14:paraId="689021A4" w14:textId="77777777" w:rsidR="0080633A" w:rsidRDefault="004046C4">
            <w:pPr>
              <w:pStyle w:val="affd"/>
            </w:pPr>
            <w:r>
              <w:rPr>
                <w:rFonts w:cs="宋体"/>
              </w:rPr>
              <w:t>加密保护</w:t>
            </w:r>
          </w:p>
        </w:tc>
        <w:tc>
          <w:tcPr>
            <w:tcW w:w="0" w:type="auto"/>
          </w:tcPr>
          <w:p w14:paraId="7C678E3B" w14:textId="77777777" w:rsidR="0080633A" w:rsidRDefault="004046C4">
            <w:pPr>
              <w:pStyle w:val="affd"/>
            </w:pPr>
            <w:r>
              <w:rPr>
                <w:rFonts w:cs="宋体"/>
              </w:rPr>
              <w:t>按设备或链路独立配置</w:t>
            </w:r>
          </w:p>
        </w:tc>
        <w:tc>
          <w:tcPr>
            <w:tcW w:w="0" w:type="auto"/>
          </w:tcPr>
          <w:p w14:paraId="2BC85EBA" w14:textId="77777777" w:rsidR="0080633A" w:rsidRDefault="004046C4">
            <w:pPr>
              <w:pStyle w:val="affd"/>
            </w:pPr>
            <w:r>
              <w:rPr>
                <w:rFonts w:cs="宋体"/>
              </w:rPr>
              <w:t>按数据级别和访问场景自动附加加密要求</w:t>
            </w:r>
          </w:p>
        </w:tc>
      </w:tr>
      <w:tr w:rsidR="00B75CF9" w14:paraId="36BC0666" w14:textId="77777777" w:rsidTr="00B75CF9">
        <w:trPr>
          <w:jc w:val="center"/>
        </w:trPr>
        <w:tc>
          <w:tcPr>
            <w:tcW w:w="0" w:type="auto"/>
          </w:tcPr>
          <w:p w14:paraId="7204A89C" w14:textId="77777777" w:rsidR="0080633A" w:rsidRDefault="004046C4">
            <w:pPr>
              <w:pStyle w:val="affd"/>
            </w:pPr>
            <w:r>
              <w:rPr>
                <w:rFonts w:cs="宋体"/>
              </w:rPr>
              <w:t>账号权限</w:t>
            </w:r>
          </w:p>
        </w:tc>
        <w:tc>
          <w:tcPr>
            <w:tcW w:w="0" w:type="auto"/>
          </w:tcPr>
          <w:p w14:paraId="37C55F6F" w14:textId="77777777" w:rsidR="0080633A" w:rsidRDefault="004046C4">
            <w:pPr>
              <w:pStyle w:val="affd"/>
            </w:pPr>
            <w:r>
              <w:rPr>
                <w:rFonts w:cs="宋体"/>
              </w:rPr>
              <w:t>各系统独立维护，易形成重复账号和权限漂移</w:t>
            </w:r>
          </w:p>
        </w:tc>
        <w:tc>
          <w:tcPr>
            <w:tcW w:w="0" w:type="auto"/>
          </w:tcPr>
          <w:p w14:paraId="29EAFB6B" w14:textId="77777777" w:rsidR="0080633A" w:rsidRDefault="004046C4">
            <w:pPr>
              <w:pStyle w:val="affd"/>
            </w:pPr>
            <w:r>
              <w:rPr>
                <w:rFonts w:cs="宋体"/>
              </w:rPr>
              <w:t>统一身份目录，</w:t>
            </w:r>
            <w:r>
              <w:rPr>
                <w:rFonts w:cs="宋体"/>
              </w:rPr>
              <w:t>RBAC</w:t>
            </w:r>
            <w:r>
              <w:rPr>
                <w:rFonts w:cs="宋体"/>
              </w:rPr>
              <w:t>基础授权与</w:t>
            </w:r>
            <w:r>
              <w:rPr>
                <w:rFonts w:cs="宋体"/>
              </w:rPr>
              <w:t>ABAC</w:t>
            </w:r>
            <w:r>
              <w:rPr>
                <w:rFonts w:cs="宋体"/>
              </w:rPr>
              <w:t>动态约束结合</w:t>
            </w:r>
          </w:p>
        </w:tc>
      </w:tr>
      <w:tr w:rsidR="00B75CF9" w14:paraId="33DFF591" w14:textId="77777777" w:rsidTr="00B75CF9">
        <w:trPr>
          <w:jc w:val="center"/>
        </w:trPr>
        <w:tc>
          <w:tcPr>
            <w:tcW w:w="0" w:type="auto"/>
          </w:tcPr>
          <w:p w14:paraId="664E3851" w14:textId="77777777" w:rsidR="0080633A" w:rsidRDefault="004046C4">
            <w:pPr>
              <w:pStyle w:val="affd"/>
            </w:pPr>
            <w:r>
              <w:rPr>
                <w:rFonts w:cs="宋体"/>
              </w:rPr>
              <w:t>安全运维</w:t>
            </w:r>
          </w:p>
        </w:tc>
        <w:tc>
          <w:tcPr>
            <w:tcW w:w="0" w:type="auto"/>
          </w:tcPr>
          <w:p w14:paraId="61D35D48" w14:textId="77777777" w:rsidR="0080633A" w:rsidRDefault="004046C4">
            <w:pPr>
              <w:pStyle w:val="affd"/>
            </w:pPr>
            <w:r>
              <w:rPr>
                <w:rFonts w:cs="宋体"/>
              </w:rPr>
              <w:t>多后台切换，告警和日志分散</w:t>
            </w:r>
          </w:p>
        </w:tc>
        <w:tc>
          <w:tcPr>
            <w:tcW w:w="0" w:type="auto"/>
          </w:tcPr>
          <w:p w14:paraId="04AE758B" w14:textId="77777777" w:rsidR="0080633A" w:rsidRDefault="004046C4">
            <w:pPr>
              <w:pStyle w:val="affd"/>
            </w:pPr>
            <w:r>
              <w:rPr>
                <w:rFonts w:cs="宋体"/>
              </w:rPr>
              <w:t>统一纳管、告警归一化、策略集中下发和闭环审计</w:t>
            </w:r>
          </w:p>
        </w:tc>
      </w:tr>
      <w:tr w:rsidR="00B75CF9" w14:paraId="5CBDEC7D" w14:textId="77777777" w:rsidTr="00B75CF9">
        <w:trPr>
          <w:jc w:val="center"/>
        </w:trPr>
        <w:tc>
          <w:tcPr>
            <w:tcW w:w="0" w:type="auto"/>
          </w:tcPr>
          <w:p w14:paraId="31DC8BA0" w14:textId="77777777" w:rsidR="0080633A" w:rsidRDefault="004046C4">
            <w:pPr>
              <w:pStyle w:val="affd"/>
            </w:pPr>
            <w:r>
              <w:rPr>
                <w:rFonts w:cs="宋体"/>
              </w:rPr>
              <w:t>工程改造</w:t>
            </w:r>
          </w:p>
        </w:tc>
        <w:tc>
          <w:tcPr>
            <w:tcW w:w="0" w:type="auto"/>
          </w:tcPr>
          <w:p w14:paraId="74E54BB1" w14:textId="77777777" w:rsidR="0080633A" w:rsidRDefault="004046C4">
            <w:pPr>
              <w:pStyle w:val="affd"/>
            </w:pPr>
            <w:r>
              <w:rPr>
                <w:rFonts w:cs="宋体"/>
              </w:rPr>
              <w:t>单设备局部优化，协同性有限</w:t>
            </w:r>
          </w:p>
        </w:tc>
        <w:tc>
          <w:tcPr>
            <w:tcW w:w="0" w:type="auto"/>
          </w:tcPr>
          <w:p w14:paraId="1B95CBF3" w14:textId="77777777" w:rsidR="0080633A" w:rsidRDefault="004046C4">
            <w:pPr>
              <w:pStyle w:val="affd"/>
            </w:pPr>
            <w:r>
              <w:rPr>
                <w:rFonts w:cs="宋体"/>
              </w:rPr>
              <w:t>控制面统一、执行面兼容既有设备，可渐进式建设</w:t>
            </w:r>
            <w:bookmarkEnd w:id="86"/>
          </w:p>
        </w:tc>
      </w:tr>
    </w:tbl>
    <w:p w14:paraId="7D264EA0" w14:textId="77777777" w:rsidR="00B75CF9" w:rsidRDefault="00B75CF9">
      <w:pPr>
        <w:sectPr w:rsidR="00B75CF9" w:rsidSect="000A6557">
          <w:endnotePr>
            <w:numFmt w:val="decimal"/>
          </w:endnotePr>
          <w:type w:val="continuous"/>
          <w:pgSz w:w="11906" w:h="16838" w:code="9"/>
          <w:pgMar w:top="1701" w:right="1134" w:bottom="1134" w:left="1134" w:header="992" w:footer="851" w:gutter="0"/>
          <w:cols w:space="420"/>
          <w:docGrid w:type="linesAndChars" w:linePitch="312"/>
        </w:sectPr>
      </w:pPr>
    </w:p>
    <w:p w14:paraId="41A33A73" w14:textId="77777777" w:rsidR="00B75CF9" w:rsidRDefault="004046C4">
      <w:pPr>
        <w:pStyle w:val="afe"/>
        <w:ind w:firstLine="420"/>
      </w:pPr>
      <w:bookmarkStart w:id="87" w:name="正文段落_怀疑_41"/>
      <w:r>
        <w:t>从表</w:t>
      </w:r>
      <w:r>
        <w:t>2</w:t>
      </w:r>
      <w:r>
        <w:t>可以看出，一体化方案的主要收益并非来自单个安全设备性能提升，而是来自策略对象统一和跨能力协同。通过将身份、终端和业务信息贯穿于准入、边界控制、加密与审计环节，可减少重复配置和策略语义不一致；通过集中日志和事件关联，可提高异常访问的可解释性和处置闭环能力。与此同时，方案也引入了控制平台可靠性、接口兼容性和策略模型维护等新要求，因此工程部署采用双机</w:t>
      </w:r>
      <w:r>
        <w:t>/</w:t>
      </w:r>
      <w:r>
        <w:t>集群冗余、策略灰度发布、配置回滚和旁路应急等机制，避免统一控制平台成为新的单点风险。</w:t>
      </w:r>
      <w:bookmarkEnd w:id="87"/>
    </w:p>
    <w:p w14:paraId="2E061E07" w14:textId="77777777" w:rsidR="00B75CF9" w:rsidRDefault="004046C4">
      <w:pPr>
        <w:pStyle w:val="aff0"/>
        <w:keepNext/>
      </w:pPr>
      <w:bookmarkStart w:id="88" w:name="二级标题序号_20"/>
      <w:bookmarkStart w:id="89" w:name="二级标题_30"/>
      <w:r>
        <w:rPr>
          <w:rStyle w:val="afffb"/>
          <w:kern w:val="0"/>
          <w:szCs w:val="20"/>
        </w:rPr>
        <w:t xml:space="preserve">5.4  </w:t>
      </w:r>
      <w:bookmarkEnd w:id="88"/>
      <w:r>
        <w:t>场景化策略规则与决策表</w:t>
      </w:r>
      <w:bookmarkEnd w:id="89"/>
    </w:p>
    <w:p w14:paraId="3BBABAA0" w14:textId="77777777" w:rsidR="00B75CF9" w:rsidRDefault="004046C4">
      <w:pPr>
        <w:pStyle w:val="afe"/>
        <w:ind w:firstLine="420"/>
      </w:pPr>
      <w:bookmarkStart w:id="90" w:name="正文段落_43"/>
      <w:r>
        <w:t>为使第</w:t>
      </w:r>
      <w:r>
        <w:t>3.2</w:t>
      </w:r>
      <w:r>
        <w:t>节的访问决策模型具备可检验</w:t>
      </w:r>
      <w:r>
        <w:t>性，本文将策略集合</w:t>
      </w:r>
      <w:r>
        <w:t>P</w:t>
      </w:r>
      <w:r>
        <w:t>具体化为按优先级匹配的规则集。三类决策分别定义为：允许（建立白名单内的正常会话）、受限允许（仅开放指定只读</w:t>
      </w:r>
      <w:r>
        <w:t>/</w:t>
      </w:r>
      <w:r>
        <w:t>修复</w:t>
      </w:r>
      <w:r>
        <w:t>/</w:t>
      </w:r>
      <w:r>
        <w:t>审批后的运维服务，并启用附加控制）、拒绝（不建立目标业务会话，可按规范保留告警与审计）。受限允许不是默认放行，其决策附带义务集合</w:t>
      </w:r>
      <w:r>
        <w:t xml:space="preserve"> O</w:t>
      </w:r>
      <w:r>
        <w:t>，仅当</w:t>
      </w:r>
      <w:r>
        <w:t xml:space="preserve"> O </w:t>
      </w:r>
      <w:r>
        <w:t>中各项义务均可由执行组件落实时才可执行，否则转为拒绝。例如，</w:t>
      </w:r>
      <w:r>
        <w:t>P03</w:t>
      </w:r>
      <w:r>
        <w:t>（终端待修复）的义务</w:t>
      </w:r>
      <w:r>
        <w:t xml:space="preserve"> O={</w:t>
      </w:r>
      <w:r>
        <w:t>隔离、仅开放修复服务</w:t>
      </w:r>
      <w:r>
        <w:t>}</w:t>
      </w:r>
      <w:r>
        <w:t>，</w:t>
      </w:r>
      <w:r>
        <w:t>P06</w:t>
      </w:r>
      <w:r>
        <w:t>（受控运维）的义务</w:t>
      </w:r>
      <w:r>
        <w:t xml:space="preserve"> O={</w:t>
      </w:r>
      <w:r>
        <w:t>加密、操作审计、到期撤权</w:t>
      </w:r>
      <w:r>
        <w:t>}</w:t>
      </w:r>
      <w:r>
        <w:t>，二者义务强度不同但同属受限允许。义务</w:t>
      </w:r>
      <w:r>
        <w:t xml:space="preserve"> O </w:t>
      </w:r>
      <w:r>
        <w:t>由执行层对应组</w:t>
      </w:r>
      <w:r>
        <w:t>件分</w:t>
      </w:r>
      <w:r>
        <w:t>别承担：隔离由准入</w:t>
      </w:r>
      <w:r>
        <w:t>/</w:t>
      </w:r>
      <w:r>
        <w:t>访问控制组件落实，加密由加密传输组件落实，审计与到期撤权由审计与账号治理组件落实。当</w:t>
      </w:r>
      <w:bookmarkStart w:id="91" w:name="_GoBack"/>
      <w:bookmarkEnd w:id="91"/>
      <w:r>
        <w:t>访问请求同时满足授权条件与身份失效、终端不可信、工单无效等禁止性条件时，先核验禁止性条件，拒绝结论优先；只有全部必要属性齐备且满足白名单时才可能授权。</w:t>
      </w:r>
      <w:bookmarkEnd w:id="90"/>
    </w:p>
    <w:p w14:paraId="05965BED" w14:textId="77777777" w:rsidR="00B75CF9" w:rsidRDefault="004046C4">
      <w:pPr>
        <w:pStyle w:val="afe"/>
        <w:ind w:firstLine="420"/>
        <w:sectPr w:rsidR="00B75CF9" w:rsidSect="000A6557">
          <w:endnotePr>
            <w:numFmt w:val="decimal"/>
          </w:endnotePr>
          <w:type w:val="continuous"/>
          <w:pgSz w:w="11906" w:h="16838" w:code="9"/>
          <w:pgMar w:top="1701" w:right="1134" w:bottom="1134" w:left="1134" w:header="992" w:footer="851" w:gutter="0"/>
          <w:cols w:num="2" w:space="420"/>
          <w:docGrid w:type="linesAndChars" w:linePitch="312"/>
        </w:sectPr>
      </w:pPr>
      <w:bookmarkStart w:id="92" w:name="正文段落_怀疑_42"/>
      <w:r>
        <w:t>上述</w:t>
      </w:r>
      <w:r>
        <w:t>“</w:t>
      </w:r>
      <w:r>
        <w:t>拒绝优先</w:t>
      </w:r>
      <w:r>
        <w:t>”</w:t>
      </w:r>
      <w:r>
        <w:t>原则可形式化为三级判定链。设禁止性条件、受限授权条件与白名单授权条件的集合分别为</w:t>
      </w:r>
      <w:r>
        <w:t xml:space="preserve"> C⁻</w:t>
      </w:r>
      <w:r>
        <w:t>、</w:t>
      </w:r>
      <w:r>
        <w:t>Cʳ</w:t>
      </w:r>
      <w:r>
        <w:t>、</w:t>
      </w:r>
      <w:r>
        <w:t>C⁺</w:t>
      </w:r>
      <w:r>
        <w:t>，设义务集合</w:t>
      </w:r>
      <w:r>
        <w:t xml:space="preserve"> O </w:t>
      </w:r>
      <w:r>
        <w:t>表示受限授权所附带的、需由执行组件落实的附加控制要求</w:t>
      </w:r>
      <w:r>
        <w:t>（如隔离、加密、审计、到期撤权等），则访问决策</w:t>
      </w:r>
      <w:r>
        <w:t xml:space="preserve"> A=F(X,P)=</w:t>
      </w:r>
      <w:r>
        <w:t>⟨</w:t>
      </w:r>
      <w:r>
        <w:t>d, O</w:t>
      </w:r>
      <w:r>
        <w:t>⟩</w:t>
      </w:r>
      <w:r>
        <w:t>，其中</w:t>
      </w:r>
      <w:r>
        <w:t xml:space="preserve"> d∈{</w:t>
      </w:r>
      <w:r>
        <w:t>允许、受限允许、拒绝</w:t>
      </w:r>
      <w:r>
        <w:t>}</w:t>
      </w:r>
      <w:r>
        <w:t>，</w:t>
      </w:r>
      <w:r>
        <w:t xml:space="preserve">O </w:t>
      </w:r>
      <w:r>
        <w:t>仅在</w:t>
      </w:r>
      <w:r>
        <w:t xml:space="preserve"> d=</w:t>
      </w:r>
      <w:r>
        <w:t>受限允许时非空。判定规则满足：</w:t>
      </w:r>
      <w:r>
        <w:rPr>
          <w:rFonts w:ascii="宋体" w:hAnsi="宋体" w:cs="宋体"/>
        </w:rPr>
        <w:t>①</w:t>
      </w:r>
      <w:r>
        <w:t xml:space="preserve"> </w:t>
      </w:r>
      <w:r>
        <w:t>若存在任一禁止性条件</w:t>
      </w:r>
      <w:r>
        <w:t xml:space="preserve"> c∈C⁻ </w:t>
      </w:r>
      <w:r>
        <w:t>成立，则</w:t>
      </w:r>
      <w:r>
        <w:t xml:space="preserve"> d=</w:t>
      </w:r>
      <w:r>
        <w:t>拒绝；</w:t>
      </w:r>
      <w:r>
        <w:rPr>
          <w:rFonts w:ascii="宋体" w:hAnsi="宋体" w:cs="宋体"/>
        </w:rPr>
        <w:t>②</w:t>
      </w:r>
      <w:r>
        <w:t xml:space="preserve"> </w:t>
      </w:r>
      <w:r>
        <w:t>否则，若存在受限授权条件</w:t>
      </w:r>
      <w:r>
        <w:t xml:space="preserve"> c∈Cʳ </w:t>
      </w:r>
      <w:r>
        <w:t>成立且其义务集合</w:t>
      </w:r>
      <w:r>
        <w:t xml:space="preserve"> O </w:t>
      </w:r>
      <w:r>
        <w:t>可由执行组件逐项落实，则</w:t>
      </w:r>
      <w:r>
        <w:t xml:space="preserve"> d=</w:t>
      </w:r>
      <w:r>
        <w:t>受限允许；</w:t>
      </w:r>
      <w:r>
        <w:rPr>
          <w:rFonts w:ascii="宋体" w:hAnsi="宋体" w:cs="宋体"/>
        </w:rPr>
        <w:t>③</w:t>
      </w:r>
      <w:r>
        <w:t xml:space="preserve"> </w:t>
      </w:r>
      <w:r>
        <w:t>否则，若全部白名单授权条件</w:t>
      </w:r>
      <w:r>
        <w:t xml:space="preserve"> c∈C⁺ </w:t>
      </w:r>
      <w:r>
        <w:t>均成立，则</w:t>
      </w:r>
      <w:r>
        <w:t xml:space="preserve"> d=</w:t>
      </w:r>
      <w:r>
        <w:t>允许；</w:t>
      </w:r>
      <w:r>
        <w:rPr>
          <w:rFonts w:ascii="宋体" w:hAnsi="宋体" w:cs="宋体"/>
        </w:rPr>
        <w:t>④</w:t>
      </w:r>
      <w:r>
        <w:t xml:space="preserve"> </w:t>
      </w:r>
      <w:r>
        <w:t>其余情形</w:t>
      </w:r>
      <w:r>
        <w:t xml:space="preserve"> d=</w:t>
      </w:r>
      <w:r>
        <w:t>拒绝（默认拒绝）。该判定链保证禁止性条件具有最高优先级，受限授权仅在相应附加控制可落实时生效，授权只在属性齐备且</w:t>
      </w:r>
      <w:r>
        <w:t>满足白名单时放行，从而将表</w:t>
      </w:r>
      <w:r>
        <w:t>3</w:t>
      </w:r>
      <w:r>
        <w:t>、表</w:t>
      </w:r>
      <w:r>
        <w:t>4</w:t>
      </w:r>
      <w:r>
        <w:t>的策略规则收敛为可证明的一致决策语义。具体而言，</w:t>
      </w:r>
      <w:r>
        <w:t>10</w:t>
      </w:r>
      <w:r>
        <w:t>条规则按输出决策归入三类条件集合：</w:t>
      </w:r>
      <w:r>
        <w:t>P01</w:t>
      </w:r>
      <w:r>
        <w:t>（允许）</w:t>
      </w:r>
      <w:r>
        <w:lastRenderedPageBreak/>
        <w:t>对应白名单授权条件</w:t>
      </w:r>
      <w:r>
        <w:t>C⁺</w:t>
      </w:r>
      <w:r>
        <w:t>；</w:t>
      </w:r>
      <w:r>
        <w:t>P03</w:t>
      </w:r>
      <w:r>
        <w:t>、</w:t>
      </w:r>
      <w:r>
        <w:t>P04</w:t>
      </w:r>
      <w:r>
        <w:t>、</w:t>
      </w:r>
      <w:r>
        <w:t>P06</w:t>
      </w:r>
      <w:r>
        <w:t>（受限允许）对应受限授权条件</w:t>
      </w:r>
      <w:r>
        <w:t>Cʳ</w:t>
      </w:r>
      <w:r>
        <w:t>；</w:t>
      </w:r>
      <w:r>
        <w:t>P02</w:t>
      </w:r>
      <w:r>
        <w:t>、</w:t>
      </w:r>
      <w:r>
        <w:t>P05</w:t>
      </w:r>
      <w:r>
        <w:t>、</w:t>
      </w:r>
      <w:r>
        <w:t>P07—P10</w:t>
      </w:r>
      <w:r>
        <w:t>（拒绝）</w:t>
      </w:r>
      <w:r>
        <w:t>对应禁止性条件</w:t>
      </w:r>
      <w:r>
        <w:t>C⁻</w:t>
      </w:r>
      <w:r>
        <w:t>。</w:t>
      </w:r>
      <w:bookmarkEnd w:id="92"/>
    </w:p>
    <w:p w14:paraId="745157BB" w14:textId="77777777" w:rsidR="00B75CF9" w:rsidRDefault="004046C4">
      <w:pPr>
        <w:pStyle w:val="afffc"/>
        <w:keepNext/>
        <w:keepLines/>
      </w:pPr>
      <w:bookmarkStart w:id="93" w:name="中文表序_3"/>
      <w:bookmarkStart w:id="94" w:name="中文表题_6"/>
      <w:r>
        <w:t>表</w:t>
      </w:r>
      <w:r>
        <w:t>3</w:t>
      </w:r>
      <w:bookmarkEnd w:id="93"/>
      <w:r>
        <w:rPr>
          <w:b w:val="0"/>
        </w:rPr>
        <w:t xml:space="preserve"> </w:t>
      </w:r>
      <w:r>
        <w:rPr>
          <w:b w:val="0"/>
        </w:rPr>
        <w:t>客运服务终端接入场景策略决策表</w:t>
      </w:r>
      <w:bookmarkEnd w:id="94"/>
    </w:p>
    <w:tbl>
      <w:tblPr>
        <w:tblStyle w:val="affff5"/>
        <w:tblW w:w="5000" w:type="pct"/>
        <w:jc w:val="center"/>
        <w:tblInd w:w="0" w:type="dxa"/>
        <w:tblLook w:val="04A0" w:firstRow="1" w:lastRow="0" w:firstColumn="1" w:lastColumn="0" w:noHBand="0" w:noVBand="1"/>
      </w:tblPr>
      <w:tblGrid>
        <w:gridCol w:w="364"/>
        <w:gridCol w:w="5564"/>
        <w:gridCol w:w="724"/>
        <w:gridCol w:w="2986"/>
      </w:tblGrid>
      <w:tr w:rsidR="00B75CF9" w14:paraId="3C64D2C3" w14:textId="77777777" w:rsidTr="00B75CF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F9F8975" w14:textId="77777777" w:rsidR="0080633A" w:rsidRDefault="004046C4">
            <w:pPr>
              <w:pStyle w:val="affd"/>
            </w:pPr>
            <w:r>
              <w:rPr>
                <w:rFonts w:cs="宋体"/>
              </w:rPr>
              <w:t>规则</w:t>
            </w:r>
            <w:bookmarkStart w:id="95" w:name="表格_3"/>
          </w:p>
        </w:tc>
        <w:tc>
          <w:tcPr>
            <w:tcW w:w="0" w:type="auto"/>
          </w:tcPr>
          <w:p w14:paraId="56693654" w14:textId="77777777" w:rsidR="0080633A" w:rsidRDefault="004046C4">
            <w:pPr>
              <w:pStyle w:val="affd"/>
            </w:pPr>
            <w:r>
              <w:rPr>
                <w:rFonts w:cs="宋体"/>
              </w:rPr>
              <w:t>主要输入条件（</w:t>
            </w:r>
            <w:r>
              <w:rPr>
                <w:rFonts w:cs="宋体"/>
              </w:rPr>
              <w:t>X</w:t>
            </w:r>
            <w:r>
              <w:rPr>
                <w:rFonts w:cs="宋体"/>
              </w:rPr>
              <w:t>）</w:t>
            </w:r>
          </w:p>
        </w:tc>
        <w:tc>
          <w:tcPr>
            <w:tcW w:w="0" w:type="auto"/>
          </w:tcPr>
          <w:p w14:paraId="1D5612DA" w14:textId="77777777" w:rsidR="0080633A" w:rsidRDefault="004046C4">
            <w:pPr>
              <w:pStyle w:val="affd"/>
            </w:pPr>
            <w:r>
              <w:rPr>
                <w:rFonts w:cs="宋体"/>
              </w:rPr>
              <w:t>决策</w:t>
            </w:r>
          </w:p>
        </w:tc>
        <w:tc>
          <w:tcPr>
            <w:tcW w:w="0" w:type="auto"/>
          </w:tcPr>
          <w:p w14:paraId="0A1E02F9" w14:textId="77777777" w:rsidR="0080633A" w:rsidRDefault="004046C4">
            <w:pPr>
              <w:pStyle w:val="affd"/>
            </w:pPr>
            <w:r>
              <w:rPr>
                <w:rFonts w:cs="宋体"/>
              </w:rPr>
              <w:t>执行处置</w:t>
            </w:r>
          </w:p>
        </w:tc>
      </w:tr>
      <w:tr w:rsidR="00B75CF9" w14:paraId="2C0C6F8E" w14:textId="77777777" w:rsidTr="00B75CF9">
        <w:trPr>
          <w:jc w:val="center"/>
        </w:trPr>
        <w:tc>
          <w:tcPr>
            <w:tcW w:w="0" w:type="auto"/>
          </w:tcPr>
          <w:p w14:paraId="02F6678C" w14:textId="77777777" w:rsidR="0080633A" w:rsidRDefault="004046C4">
            <w:pPr>
              <w:pStyle w:val="affd"/>
            </w:pPr>
            <w:r>
              <w:rPr>
                <w:rFonts w:cs="宋体"/>
              </w:rPr>
              <w:t>P01</w:t>
            </w:r>
          </w:p>
        </w:tc>
        <w:tc>
          <w:tcPr>
            <w:tcW w:w="0" w:type="auto"/>
          </w:tcPr>
          <w:p w14:paraId="41EF1E21" w14:textId="77777777" w:rsidR="0080633A" w:rsidRDefault="004046C4">
            <w:pPr>
              <w:pStyle w:val="affd"/>
            </w:pPr>
            <w:r>
              <w:rPr>
                <w:rFonts w:cs="宋体"/>
              </w:rPr>
              <w:t>检票终端；证书有效；状态正常；客运区</w:t>
            </w:r>
            <w:r>
              <w:rPr>
                <w:rFonts w:cs="宋体"/>
              </w:rPr>
              <w:t>→</w:t>
            </w:r>
            <w:r>
              <w:rPr>
                <w:rFonts w:cs="宋体"/>
              </w:rPr>
              <w:t>客票接口；角色匹配</w:t>
            </w:r>
          </w:p>
        </w:tc>
        <w:tc>
          <w:tcPr>
            <w:tcW w:w="0" w:type="auto"/>
          </w:tcPr>
          <w:p w14:paraId="0D63C1A5" w14:textId="77777777" w:rsidR="0080633A" w:rsidRDefault="004046C4">
            <w:pPr>
              <w:pStyle w:val="affd"/>
            </w:pPr>
            <w:r>
              <w:rPr>
                <w:rFonts w:cs="宋体"/>
              </w:rPr>
              <w:t>允许</w:t>
            </w:r>
          </w:p>
        </w:tc>
        <w:tc>
          <w:tcPr>
            <w:tcW w:w="0" w:type="auto"/>
          </w:tcPr>
          <w:p w14:paraId="47087F67" w14:textId="77777777" w:rsidR="0080633A" w:rsidRDefault="004046C4">
            <w:pPr>
              <w:pStyle w:val="affd"/>
            </w:pPr>
            <w:r>
              <w:rPr>
                <w:rFonts w:cs="宋体"/>
              </w:rPr>
              <w:t>仅放通指定接口；记录会话</w:t>
            </w:r>
          </w:p>
        </w:tc>
      </w:tr>
      <w:tr w:rsidR="00B75CF9" w14:paraId="7B128FE1" w14:textId="77777777" w:rsidTr="00B75CF9">
        <w:trPr>
          <w:jc w:val="center"/>
        </w:trPr>
        <w:tc>
          <w:tcPr>
            <w:tcW w:w="0" w:type="auto"/>
          </w:tcPr>
          <w:p w14:paraId="74206BF5" w14:textId="77777777" w:rsidR="0080633A" w:rsidRDefault="004046C4">
            <w:pPr>
              <w:pStyle w:val="affd"/>
            </w:pPr>
            <w:r>
              <w:rPr>
                <w:rFonts w:cs="宋体"/>
              </w:rPr>
              <w:t>P02</w:t>
            </w:r>
          </w:p>
        </w:tc>
        <w:tc>
          <w:tcPr>
            <w:tcW w:w="0" w:type="auto"/>
          </w:tcPr>
          <w:p w14:paraId="1ADA79E3" w14:textId="77777777" w:rsidR="0080633A" w:rsidRDefault="004046C4">
            <w:pPr>
              <w:pStyle w:val="affd"/>
            </w:pPr>
            <w:r>
              <w:rPr>
                <w:rFonts w:cs="宋体"/>
              </w:rPr>
              <w:t>检票终端；证书有效；状态正常；客运区</w:t>
            </w:r>
            <w:r>
              <w:rPr>
                <w:rFonts w:cs="宋体"/>
              </w:rPr>
              <w:t>→</w:t>
            </w:r>
            <w:r>
              <w:rPr>
                <w:rFonts w:cs="宋体"/>
              </w:rPr>
              <w:t>办公</w:t>
            </w:r>
            <w:r>
              <w:rPr>
                <w:rFonts w:cs="宋体"/>
              </w:rPr>
              <w:t>/</w:t>
            </w:r>
            <w:r>
              <w:rPr>
                <w:rFonts w:cs="宋体"/>
              </w:rPr>
              <w:t>运维资源</w:t>
            </w:r>
          </w:p>
        </w:tc>
        <w:tc>
          <w:tcPr>
            <w:tcW w:w="0" w:type="auto"/>
          </w:tcPr>
          <w:p w14:paraId="4A82B1E3" w14:textId="77777777" w:rsidR="0080633A" w:rsidRDefault="004046C4">
            <w:pPr>
              <w:pStyle w:val="affd"/>
            </w:pPr>
            <w:r>
              <w:rPr>
                <w:rFonts w:cs="宋体"/>
              </w:rPr>
              <w:t>拒绝</w:t>
            </w:r>
          </w:p>
        </w:tc>
        <w:tc>
          <w:tcPr>
            <w:tcW w:w="0" w:type="auto"/>
          </w:tcPr>
          <w:p w14:paraId="12EF22B1" w14:textId="77777777" w:rsidR="0080633A" w:rsidRDefault="004046C4">
            <w:pPr>
              <w:pStyle w:val="affd"/>
            </w:pPr>
            <w:r>
              <w:rPr>
                <w:rFonts w:cs="宋体"/>
              </w:rPr>
              <w:t>阻断越域访问；生成审计事件</w:t>
            </w:r>
          </w:p>
        </w:tc>
      </w:tr>
      <w:tr w:rsidR="00B75CF9" w14:paraId="3C2FB13F" w14:textId="77777777" w:rsidTr="00B75CF9">
        <w:trPr>
          <w:jc w:val="center"/>
        </w:trPr>
        <w:tc>
          <w:tcPr>
            <w:tcW w:w="0" w:type="auto"/>
          </w:tcPr>
          <w:p w14:paraId="122691B1" w14:textId="77777777" w:rsidR="0080633A" w:rsidRDefault="004046C4">
            <w:pPr>
              <w:pStyle w:val="affd"/>
            </w:pPr>
            <w:r>
              <w:rPr>
                <w:rFonts w:cs="宋体"/>
              </w:rPr>
              <w:t>P03</w:t>
            </w:r>
          </w:p>
        </w:tc>
        <w:tc>
          <w:tcPr>
            <w:tcW w:w="0" w:type="auto"/>
          </w:tcPr>
          <w:p w14:paraId="6CAFFCF4" w14:textId="77777777" w:rsidR="0080633A" w:rsidRDefault="004046C4">
            <w:pPr>
              <w:pStyle w:val="affd"/>
            </w:pPr>
            <w:r>
              <w:rPr>
                <w:rFonts w:cs="宋体"/>
              </w:rPr>
              <w:t>客运终端；身份有效；终端需修复；目标为修复服务</w:t>
            </w:r>
          </w:p>
        </w:tc>
        <w:tc>
          <w:tcPr>
            <w:tcW w:w="0" w:type="auto"/>
          </w:tcPr>
          <w:p w14:paraId="36880BAF" w14:textId="77777777" w:rsidR="0080633A" w:rsidRDefault="004046C4">
            <w:pPr>
              <w:pStyle w:val="affd"/>
            </w:pPr>
            <w:r>
              <w:rPr>
                <w:rFonts w:cs="宋体"/>
              </w:rPr>
              <w:t>受限允许</w:t>
            </w:r>
          </w:p>
        </w:tc>
        <w:tc>
          <w:tcPr>
            <w:tcW w:w="0" w:type="auto"/>
          </w:tcPr>
          <w:p w14:paraId="1C3519E9" w14:textId="77777777" w:rsidR="0080633A" w:rsidRDefault="004046C4">
            <w:pPr>
              <w:pStyle w:val="affd"/>
            </w:pPr>
            <w:r>
              <w:rPr>
                <w:rFonts w:cs="宋体"/>
              </w:rPr>
              <w:t>仅开放补丁</w:t>
            </w:r>
            <w:r>
              <w:rPr>
                <w:rFonts w:cs="宋体"/>
              </w:rPr>
              <w:t>/</w:t>
            </w:r>
            <w:r>
              <w:rPr>
                <w:rFonts w:cs="宋体"/>
              </w:rPr>
              <w:t>登记服务；进入隔离网络</w:t>
            </w:r>
          </w:p>
        </w:tc>
      </w:tr>
      <w:tr w:rsidR="00B75CF9" w14:paraId="2925040B" w14:textId="77777777" w:rsidTr="00B75CF9">
        <w:trPr>
          <w:jc w:val="center"/>
        </w:trPr>
        <w:tc>
          <w:tcPr>
            <w:tcW w:w="0" w:type="auto"/>
          </w:tcPr>
          <w:p w14:paraId="0CAFA12C" w14:textId="77777777" w:rsidR="0080633A" w:rsidRDefault="004046C4">
            <w:pPr>
              <w:pStyle w:val="affd"/>
            </w:pPr>
            <w:r>
              <w:rPr>
                <w:rFonts w:cs="宋体"/>
              </w:rPr>
              <w:t>P04</w:t>
            </w:r>
          </w:p>
        </w:tc>
        <w:tc>
          <w:tcPr>
            <w:tcW w:w="0" w:type="auto"/>
          </w:tcPr>
          <w:p w14:paraId="48C6BBF2" w14:textId="77777777" w:rsidR="0080633A" w:rsidRDefault="004046C4">
            <w:pPr>
              <w:pStyle w:val="affd"/>
            </w:pPr>
            <w:r>
              <w:rPr>
                <w:rFonts w:cs="宋体"/>
              </w:rPr>
              <w:t>移动运维终端；身份有效；工单有效；</w:t>
            </w:r>
            <w:r>
              <w:rPr>
                <w:rFonts w:cs="宋体"/>
              </w:rPr>
              <w:t>MFA</w:t>
            </w:r>
            <w:r>
              <w:rPr>
                <w:rFonts w:cs="宋体"/>
              </w:rPr>
              <w:t>通过；访问批准的管理接口</w:t>
            </w:r>
          </w:p>
        </w:tc>
        <w:tc>
          <w:tcPr>
            <w:tcW w:w="0" w:type="auto"/>
          </w:tcPr>
          <w:p w14:paraId="0B251E24" w14:textId="77777777" w:rsidR="0080633A" w:rsidRDefault="004046C4">
            <w:pPr>
              <w:pStyle w:val="affd"/>
            </w:pPr>
            <w:r>
              <w:rPr>
                <w:rFonts w:cs="宋体"/>
              </w:rPr>
              <w:t>受限允许</w:t>
            </w:r>
          </w:p>
        </w:tc>
        <w:tc>
          <w:tcPr>
            <w:tcW w:w="0" w:type="auto"/>
          </w:tcPr>
          <w:p w14:paraId="2A01FBC8" w14:textId="77777777" w:rsidR="0080633A" w:rsidRDefault="004046C4">
            <w:pPr>
              <w:pStyle w:val="affd"/>
            </w:pPr>
            <w:r>
              <w:rPr>
                <w:rFonts w:cs="宋体"/>
              </w:rPr>
              <w:t>按工单临时授权；加密及全程审计</w:t>
            </w:r>
          </w:p>
        </w:tc>
      </w:tr>
      <w:tr w:rsidR="00B75CF9" w14:paraId="029E7E67" w14:textId="77777777" w:rsidTr="00B75CF9">
        <w:trPr>
          <w:jc w:val="center"/>
        </w:trPr>
        <w:tc>
          <w:tcPr>
            <w:tcW w:w="0" w:type="auto"/>
          </w:tcPr>
          <w:p w14:paraId="0C18F26A" w14:textId="77777777" w:rsidR="0080633A" w:rsidRDefault="004046C4">
            <w:pPr>
              <w:pStyle w:val="affd"/>
            </w:pPr>
            <w:r>
              <w:rPr>
                <w:rFonts w:cs="宋体"/>
              </w:rPr>
              <w:t>P05</w:t>
            </w:r>
          </w:p>
        </w:tc>
        <w:tc>
          <w:tcPr>
            <w:tcW w:w="0" w:type="auto"/>
          </w:tcPr>
          <w:p w14:paraId="34188CDF" w14:textId="77777777" w:rsidR="0080633A" w:rsidRDefault="004046C4">
            <w:pPr>
              <w:pStyle w:val="affd"/>
            </w:pPr>
            <w:r>
              <w:rPr>
                <w:rFonts w:cs="宋体"/>
              </w:rPr>
              <w:t>任意终端；身份无效或证书撤销</w:t>
            </w:r>
          </w:p>
        </w:tc>
        <w:tc>
          <w:tcPr>
            <w:tcW w:w="0" w:type="auto"/>
          </w:tcPr>
          <w:p w14:paraId="2CE121FA" w14:textId="77777777" w:rsidR="0080633A" w:rsidRDefault="004046C4">
            <w:pPr>
              <w:pStyle w:val="affd"/>
            </w:pPr>
            <w:r>
              <w:rPr>
                <w:rFonts w:cs="宋体"/>
              </w:rPr>
              <w:t>拒绝</w:t>
            </w:r>
          </w:p>
        </w:tc>
        <w:tc>
          <w:tcPr>
            <w:tcW w:w="0" w:type="auto"/>
          </w:tcPr>
          <w:p w14:paraId="53E13AED" w14:textId="77777777" w:rsidR="0080633A" w:rsidRDefault="004046C4">
            <w:pPr>
              <w:pStyle w:val="affd"/>
            </w:pPr>
            <w:r>
              <w:rPr>
                <w:rFonts w:cs="宋体"/>
              </w:rPr>
              <w:t>禁止业务访问；审计异常身份</w:t>
            </w:r>
            <w:bookmarkEnd w:id="95"/>
          </w:p>
        </w:tc>
      </w:tr>
    </w:tbl>
    <w:p w14:paraId="1563E2E7" w14:textId="77777777" w:rsidR="00B75CF9" w:rsidRDefault="004046C4">
      <w:pPr>
        <w:pStyle w:val="afffc"/>
        <w:keepNext/>
        <w:keepLines/>
      </w:pPr>
      <w:bookmarkStart w:id="96" w:name="中文表序_4"/>
      <w:bookmarkStart w:id="97" w:name="中文表题_8"/>
      <w:r>
        <w:t>表</w:t>
      </w:r>
      <w:r>
        <w:t>4</w:t>
      </w:r>
      <w:bookmarkEnd w:id="96"/>
      <w:r>
        <w:rPr>
          <w:b w:val="0"/>
        </w:rPr>
        <w:t xml:space="preserve"> </w:t>
      </w:r>
      <w:r>
        <w:rPr>
          <w:b w:val="0"/>
        </w:rPr>
        <w:t>信号集中监测系统跨域运维场景策略决策表</w:t>
      </w:r>
      <w:bookmarkEnd w:id="97"/>
    </w:p>
    <w:tbl>
      <w:tblPr>
        <w:tblStyle w:val="affff5"/>
        <w:tblW w:w="5000" w:type="pct"/>
        <w:jc w:val="center"/>
        <w:tblInd w:w="0" w:type="dxa"/>
        <w:tblLook w:val="04A0" w:firstRow="1" w:lastRow="0" w:firstColumn="1" w:lastColumn="0" w:noHBand="0" w:noVBand="1"/>
      </w:tblPr>
      <w:tblGrid>
        <w:gridCol w:w="348"/>
        <w:gridCol w:w="5078"/>
        <w:gridCol w:w="639"/>
        <w:gridCol w:w="3573"/>
      </w:tblGrid>
      <w:tr w:rsidR="00B75CF9" w14:paraId="4F1802E4" w14:textId="77777777" w:rsidTr="00B75CF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4047536" w14:textId="77777777" w:rsidR="0080633A" w:rsidRDefault="004046C4">
            <w:pPr>
              <w:pStyle w:val="affd"/>
            </w:pPr>
            <w:r>
              <w:rPr>
                <w:rFonts w:cs="宋体"/>
              </w:rPr>
              <w:t>规则</w:t>
            </w:r>
            <w:bookmarkStart w:id="98" w:name="表格_4"/>
          </w:p>
        </w:tc>
        <w:tc>
          <w:tcPr>
            <w:tcW w:w="0" w:type="auto"/>
          </w:tcPr>
          <w:p w14:paraId="2A11796D" w14:textId="77777777" w:rsidR="0080633A" w:rsidRDefault="004046C4">
            <w:pPr>
              <w:pStyle w:val="affd"/>
            </w:pPr>
            <w:r>
              <w:rPr>
                <w:rFonts w:cs="宋体"/>
              </w:rPr>
              <w:t>主要输入条件（</w:t>
            </w:r>
            <w:r>
              <w:rPr>
                <w:rFonts w:cs="宋体"/>
              </w:rPr>
              <w:t>X</w:t>
            </w:r>
            <w:r>
              <w:rPr>
                <w:rFonts w:cs="宋体"/>
              </w:rPr>
              <w:t>）</w:t>
            </w:r>
          </w:p>
        </w:tc>
        <w:tc>
          <w:tcPr>
            <w:tcW w:w="0" w:type="auto"/>
          </w:tcPr>
          <w:p w14:paraId="7B6C1825" w14:textId="77777777" w:rsidR="0080633A" w:rsidRDefault="004046C4">
            <w:pPr>
              <w:pStyle w:val="affd"/>
            </w:pPr>
            <w:r>
              <w:rPr>
                <w:rFonts w:cs="宋体"/>
              </w:rPr>
              <w:t>决策</w:t>
            </w:r>
          </w:p>
        </w:tc>
        <w:tc>
          <w:tcPr>
            <w:tcW w:w="0" w:type="auto"/>
          </w:tcPr>
          <w:p w14:paraId="7CE74391" w14:textId="77777777" w:rsidR="0080633A" w:rsidRDefault="004046C4">
            <w:pPr>
              <w:pStyle w:val="affd"/>
            </w:pPr>
            <w:r>
              <w:rPr>
                <w:rFonts w:cs="宋体"/>
              </w:rPr>
              <w:t>执行处置</w:t>
            </w:r>
          </w:p>
        </w:tc>
      </w:tr>
      <w:tr w:rsidR="00B75CF9" w14:paraId="02705064" w14:textId="77777777" w:rsidTr="00B75CF9">
        <w:trPr>
          <w:jc w:val="center"/>
        </w:trPr>
        <w:tc>
          <w:tcPr>
            <w:tcW w:w="0" w:type="auto"/>
          </w:tcPr>
          <w:p w14:paraId="6733D059" w14:textId="77777777" w:rsidR="0080633A" w:rsidRDefault="004046C4">
            <w:pPr>
              <w:pStyle w:val="affd"/>
            </w:pPr>
            <w:r>
              <w:rPr>
                <w:rFonts w:cs="宋体"/>
              </w:rPr>
              <w:t>P06</w:t>
            </w:r>
          </w:p>
        </w:tc>
        <w:tc>
          <w:tcPr>
            <w:tcW w:w="0" w:type="auto"/>
          </w:tcPr>
          <w:p w14:paraId="49CCD946" w14:textId="77777777" w:rsidR="0080633A" w:rsidRDefault="004046C4">
            <w:pPr>
              <w:pStyle w:val="affd"/>
            </w:pPr>
            <w:r>
              <w:rPr>
                <w:rFonts w:cs="宋体"/>
              </w:rPr>
              <w:t>授权运维人员；可信终端；工单有效；</w:t>
            </w:r>
            <w:r>
              <w:rPr>
                <w:rFonts w:cs="宋体"/>
              </w:rPr>
              <w:t>MFA</w:t>
            </w:r>
            <w:r>
              <w:rPr>
                <w:rFonts w:cs="宋体"/>
              </w:rPr>
              <w:t>通过；访问白名单监测管理服务</w:t>
            </w:r>
          </w:p>
        </w:tc>
        <w:tc>
          <w:tcPr>
            <w:tcW w:w="0" w:type="auto"/>
          </w:tcPr>
          <w:p w14:paraId="52B81E55" w14:textId="77777777" w:rsidR="0080633A" w:rsidRDefault="004046C4">
            <w:pPr>
              <w:pStyle w:val="affd"/>
            </w:pPr>
            <w:r>
              <w:rPr>
                <w:rFonts w:cs="宋体"/>
              </w:rPr>
              <w:t>受限允许</w:t>
            </w:r>
          </w:p>
        </w:tc>
        <w:tc>
          <w:tcPr>
            <w:tcW w:w="0" w:type="auto"/>
          </w:tcPr>
          <w:p w14:paraId="7C707CCA" w14:textId="77777777" w:rsidR="0080633A" w:rsidRDefault="004046C4">
            <w:pPr>
              <w:pStyle w:val="affd"/>
            </w:pPr>
            <w:r>
              <w:rPr>
                <w:rFonts w:cs="宋体"/>
              </w:rPr>
              <w:t>经批准的受控运维通道；加密、操作审计、到期撤权</w:t>
            </w:r>
          </w:p>
        </w:tc>
      </w:tr>
      <w:tr w:rsidR="00B75CF9" w14:paraId="63E34A2B" w14:textId="77777777" w:rsidTr="00B75CF9">
        <w:trPr>
          <w:jc w:val="center"/>
        </w:trPr>
        <w:tc>
          <w:tcPr>
            <w:tcW w:w="0" w:type="auto"/>
          </w:tcPr>
          <w:p w14:paraId="29C8BB4F" w14:textId="77777777" w:rsidR="0080633A" w:rsidRDefault="004046C4">
            <w:pPr>
              <w:pStyle w:val="affd"/>
            </w:pPr>
            <w:r>
              <w:rPr>
                <w:rFonts w:cs="宋体"/>
              </w:rPr>
              <w:t>P07</w:t>
            </w:r>
          </w:p>
        </w:tc>
        <w:tc>
          <w:tcPr>
            <w:tcW w:w="0" w:type="auto"/>
          </w:tcPr>
          <w:p w14:paraId="14C69B46" w14:textId="77777777" w:rsidR="0080633A" w:rsidRDefault="004046C4">
            <w:pPr>
              <w:pStyle w:val="affd"/>
            </w:pPr>
            <w:r>
              <w:rPr>
                <w:rFonts w:cs="宋体"/>
              </w:rPr>
              <w:t>运维人员；工单已过期；访问监测管理服务</w:t>
            </w:r>
          </w:p>
        </w:tc>
        <w:tc>
          <w:tcPr>
            <w:tcW w:w="0" w:type="auto"/>
          </w:tcPr>
          <w:p w14:paraId="223F812E" w14:textId="77777777" w:rsidR="0080633A" w:rsidRDefault="004046C4">
            <w:pPr>
              <w:pStyle w:val="affd"/>
            </w:pPr>
            <w:r>
              <w:rPr>
                <w:rFonts w:cs="宋体"/>
              </w:rPr>
              <w:t>拒绝</w:t>
            </w:r>
          </w:p>
        </w:tc>
        <w:tc>
          <w:tcPr>
            <w:tcW w:w="0" w:type="auto"/>
          </w:tcPr>
          <w:p w14:paraId="794B96C0" w14:textId="77777777" w:rsidR="0080633A" w:rsidRDefault="004046C4">
            <w:pPr>
              <w:pStyle w:val="affd"/>
            </w:pPr>
            <w:r>
              <w:rPr>
                <w:rFonts w:cs="宋体"/>
              </w:rPr>
              <w:t>撤销临时授权；拒绝新会话</w:t>
            </w:r>
          </w:p>
        </w:tc>
      </w:tr>
      <w:tr w:rsidR="00B75CF9" w14:paraId="66EA6DDE" w14:textId="77777777" w:rsidTr="00B75CF9">
        <w:trPr>
          <w:jc w:val="center"/>
        </w:trPr>
        <w:tc>
          <w:tcPr>
            <w:tcW w:w="0" w:type="auto"/>
          </w:tcPr>
          <w:p w14:paraId="21A14EBB" w14:textId="77777777" w:rsidR="0080633A" w:rsidRDefault="004046C4">
            <w:pPr>
              <w:pStyle w:val="affd"/>
            </w:pPr>
            <w:r>
              <w:rPr>
                <w:rFonts w:cs="宋体"/>
              </w:rPr>
              <w:t>P08</w:t>
            </w:r>
          </w:p>
        </w:tc>
        <w:tc>
          <w:tcPr>
            <w:tcW w:w="0" w:type="auto"/>
          </w:tcPr>
          <w:p w14:paraId="4456201E" w14:textId="77777777" w:rsidR="0080633A" w:rsidRDefault="004046C4">
            <w:pPr>
              <w:pStyle w:val="affd"/>
            </w:pPr>
            <w:r>
              <w:rPr>
                <w:rFonts w:cs="宋体"/>
              </w:rPr>
              <w:t>运维人员；有效工单；访问非工单范围资源</w:t>
            </w:r>
          </w:p>
        </w:tc>
        <w:tc>
          <w:tcPr>
            <w:tcW w:w="0" w:type="auto"/>
          </w:tcPr>
          <w:p w14:paraId="371B03FA" w14:textId="77777777" w:rsidR="0080633A" w:rsidRDefault="004046C4">
            <w:pPr>
              <w:pStyle w:val="affd"/>
            </w:pPr>
            <w:r>
              <w:rPr>
                <w:rFonts w:cs="宋体"/>
              </w:rPr>
              <w:t>拒绝</w:t>
            </w:r>
          </w:p>
        </w:tc>
        <w:tc>
          <w:tcPr>
            <w:tcW w:w="0" w:type="auto"/>
          </w:tcPr>
          <w:p w14:paraId="227468EF" w14:textId="77777777" w:rsidR="0080633A" w:rsidRDefault="004046C4">
            <w:pPr>
              <w:pStyle w:val="affd"/>
            </w:pPr>
            <w:r>
              <w:rPr>
                <w:rFonts w:cs="宋体"/>
              </w:rPr>
              <w:t>按资源白名单阻断并记录</w:t>
            </w:r>
          </w:p>
        </w:tc>
      </w:tr>
      <w:tr w:rsidR="00B75CF9" w14:paraId="50983A60" w14:textId="77777777" w:rsidTr="00B75CF9">
        <w:trPr>
          <w:jc w:val="center"/>
        </w:trPr>
        <w:tc>
          <w:tcPr>
            <w:tcW w:w="0" w:type="auto"/>
          </w:tcPr>
          <w:p w14:paraId="4A85BDB5" w14:textId="77777777" w:rsidR="0080633A" w:rsidRDefault="004046C4">
            <w:pPr>
              <w:pStyle w:val="affd"/>
            </w:pPr>
            <w:r>
              <w:rPr>
                <w:rFonts w:cs="宋体"/>
              </w:rPr>
              <w:t>P09</w:t>
            </w:r>
          </w:p>
        </w:tc>
        <w:tc>
          <w:tcPr>
            <w:tcW w:w="0" w:type="auto"/>
          </w:tcPr>
          <w:p w14:paraId="07CB9D5A" w14:textId="77777777" w:rsidR="0080633A" w:rsidRDefault="004046C4">
            <w:pPr>
              <w:pStyle w:val="affd"/>
            </w:pPr>
            <w:r>
              <w:rPr>
                <w:rFonts w:cs="宋体"/>
              </w:rPr>
              <w:t>运维人员；设备不可信；试图访问监测管理服务</w:t>
            </w:r>
          </w:p>
        </w:tc>
        <w:tc>
          <w:tcPr>
            <w:tcW w:w="0" w:type="auto"/>
          </w:tcPr>
          <w:p w14:paraId="29603BF2" w14:textId="77777777" w:rsidR="0080633A" w:rsidRDefault="004046C4">
            <w:pPr>
              <w:pStyle w:val="affd"/>
            </w:pPr>
            <w:r>
              <w:rPr>
                <w:rFonts w:cs="宋体"/>
              </w:rPr>
              <w:t>拒绝</w:t>
            </w:r>
          </w:p>
        </w:tc>
        <w:tc>
          <w:tcPr>
            <w:tcW w:w="0" w:type="auto"/>
          </w:tcPr>
          <w:p w14:paraId="6BE879DE" w14:textId="77777777" w:rsidR="0080633A" w:rsidRDefault="004046C4">
            <w:pPr>
              <w:pStyle w:val="affd"/>
            </w:pPr>
            <w:r>
              <w:rPr>
                <w:rFonts w:cs="宋体"/>
              </w:rPr>
              <w:t>拒绝跨域访问；提示终端修复</w:t>
            </w:r>
          </w:p>
        </w:tc>
      </w:tr>
      <w:tr w:rsidR="00B75CF9" w14:paraId="558ED28F" w14:textId="77777777" w:rsidTr="00B75CF9">
        <w:trPr>
          <w:jc w:val="center"/>
        </w:trPr>
        <w:tc>
          <w:tcPr>
            <w:tcW w:w="0" w:type="auto"/>
          </w:tcPr>
          <w:p w14:paraId="7B04511C" w14:textId="77777777" w:rsidR="0080633A" w:rsidRDefault="004046C4">
            <w:pPr>
              <w:pStyle w:val="affd"/>
            </w:pPr>
            <w:r>
              <w:rPr>
                <w:rFonts w:cs="宋体"/>
              </w:rPr>
              <w:t>P10</w:t>
            </w:r>
          </w:p>
        </w:tc>
        <w:tc>
          <w:tcPr>
            <w:tcW w:w="0" w:type="auto"/>
          </w:tcPr>
          <w:p w14:paraId="6FA89003" w14:textId="77777777" w:rsidR="0080633A" w:rsidRDefault="004046C4">
            <w:pPr>
              <w:pStyle w:val="affd"/>
            </w:pPr>
            <w:r>
              <w:rPr>
                <w:rFonts w:cs="宋体"/>
              </w:rPr>
              <w:t>未满足强认证要求；访问高敏监测管理资源</w:t>
            </w:r>
          </w:p>
        </w:tc>
        <w:tc>
          <w:tcPr>
            <w:tcW w:w="0" w:type="auto"/>
          </w:tcPr>
          <w:p w14:paraId="30A9B236" w14:textId="77777777" w:rsidR="0080633A" w:rsidRDefault="004046C4">
            <w:pPr>
              <w:pStyle w:val="affd"/>
            </w:pPr>
            <w:r>
              <w:rPr>
                <w:rFonts w:cs="宋体"/>
              </w:rPr>
              <w:t>拒绝</w:t>
            </w:r>
          </w:p>
        </w:tc>
        <w:tc>
          <w:tcPr>
            <w:tcW w:w="0" w:type="auto"/>
          </w:tcPr>
          <w:p w14:paraId="7926837A" w14:textId="77777777" w:rsidR="0080633A" w:rsidRDefault="004046C4">
            <w:pPr>
              <w:pStyle w:val="affd"/>
            </w:pPr>
            <w:r>
              <w:rPr>
                <w:rFonts w:cs="宋体"/>
              </w:rPr>
              <w:t>禁止建立运维会话；引导重新认证</w:t>
            </w:r>
            <w:bookmarkEnd w:id="98"/>
          </w:p>
        </w:tc>
      </w:tr>
    </w:tbl>
    <w:p w14:paraId="63309FDF" w14:textId="77777777" w:rsidR="00B75CF9" w:rsidRDefault="00B75CF9">
      <w:pPr>
        <w:sectPr w:rsidR="00B75CF9" w:rsidSect="000A6557">
          <w:endnotePr>
            <w:numFmt w:val="decimal"/>
          </w:endnotePr>
          <w:type w:val="continuous"/>
          <w:pgSz w:w="11906" w:h="16838" w:code="9"/>
          <w:pgMar w:top="1701" w:right="1134" w:bottom="1134" w:left="1134" w:header="992" w:footer="851" w:gutter="0"/>
          <w:cols w:space="420"/>
          <w:docGrid w:type="linesAndChars" w:linePitch="312"/>
        </w:sectPr>
      </w:pPr>
    </w:p>
    <w:p w14:paraId="5B722BBD" w14:textId="77777777" w:rsidR="00B75CF9" w:rsidRDefault="004046C4">
      <w:pPr>
        <w:pStyle w:val="aff0"/>
        <w:keepNext/>
      </w:pPr>
      <w:bookmarkStart w:id="99" w:name="二级标题序号_21"/>
      <w:bookmarkStart w:id="100" w:name="二级标题_32"/>
      <w:r>
        <w:rPr>
          <w:rStyle w:val="afffb"/>
          <w:kern w:val="0"/>
          <w:szCs w:val="20"/>
        </w:rPr>
        <w:t xml:space="preserve">5.5  </w:t>
      </w:r>
      <w:bookmarkEnd w:id="99"/>
      <w:r>
        <w:t>策略判定原型、规则一致性检查与语义形式化</w:t>
      </w:r>
      <w:bookmarkEnd w:id="100"/>
    </w:p>
    <w:p w14:paraId="4604E9EC" w14:textId="77777777" w:rsidR="00B75CF9" w:rsidRDefault="004046C4">
      <w:pPr>
        <w:pStyle w:val="afe"/>
        <w:ind w:firstLine="420"/>
      </w:pPr>
      <w:bookmarkStart w:id="101" w:name="正文段落_怀疑_43"/>
      <w:r>
        <w:t>（</w:t>
      </w:r>
      <w:r>
        <w:t>1</w:t>
      </w:r>
      <w:r>
        <w:t>）检查对象与方法。参照零信任访问控制及数字身份指南</w:t>
      </w:r>
      <w:r>
        <w:t>[10,19-21]</w:t>
      </w:r>
      <w:r>
        <w:t>，采用</w:t>
      </w:r>
      <w:r>
        <w:t>Python 3.8</w:t>
      </w:r>
      <w:r>
        <w:t>标准库实现离线策略判定原型。测试向量依据客运服务终端接入、信号集中监测系统跨域运维两个典型场景的业务访问特征抽象而来，各属性取值域参照车站业务系统的角色划分、安全域边界及服务访问关系设置。每个模拟访问请求由</w:t>
      </w:r>
      <w:r>
        <w:t>X={U,D,Zs,Zt,S,L,C}</w:t>
      </w:r>
      <w:r>
        <w:t>描述，包含用户角色、设备可信状态、源</w:t>
      </w:r>
      <w:r>
        <w:t>/</w:t>
      </w:r>
      <w:r>
        <w:t>目标区域、</w:t>
      </w:r>
      <w:r>
        <w:t>访问服务、数据级别和工单等上下文。原型按角色与服务白名单、身份状态、设备状态、工单及多因素认证条件进行判断，返回</w:t>
      </w:r>
      <w:r>
        <w:t>A∈{</w:t>
      </w:r>
      <w:r>
        <w:t>允许，受限允许，拒绝</w:t>
      </w:r>
      <w:r>
        <w:t>}</w:t>
      </w:r>
      <w:r>
        <w:t>及相应处置建议。依据表</w:t>
      </w:r>
      <w:r>
        <w:t>3</w:t>
      </w:r>
      <w:r>
        <w:t>和表</w:t>
      </w:r>
      <w:r>
        <w:t>4</w:t>
      </w:r>
      <w:r>
        <w:t>设计</w:t>
      </w:r>
      <w:r>
        <w:t>14</w:t>
      </w:r>
      <w:r>
        <w:t>组基础功能测试，并补充</w:t>
      </w:r>
      <w:r>
        <w:t>11</w:t>
      </w:r>
      <w:r>
        <w:t>组边界条件及属性变化测试（其中</w:t>
      </w:r>
      <w:r>
        <w:t>3</w:t>
      </w:r>
      <w:r>
        <w:t>组覆盖数据级别变化），另设</w:t>
      </w:r>
      <w:r>
        <w:t>6</w:t>
      </w:r>
      <w:r>
        <w:t>组与传统三元组策略的对照场景，逐项比较预期决策和实际输出。</w:t>
      </w:r>
      <w:bookmarkEnd w:id="101"/>
    </w:p>
    <w:p w14:paraId="458ECAAA" w14:textId="77777777" w:rsidR="00B75CF9" w:rsidRDefault="004046C4">
      <w:pPr>
        <w:pStyle w:val="afe"/>
        <w:ind w:firstLine="420"/>
        <w:sectPr w:rsidR="00B75CF9" w:rsidSect="000A6557">
          <w:endnotePr>
            <w:numFmt w:val="decimal"/>
          </w:endnotePr>
          <w:type w:val="continuous"/>
          <w:pgSz w:w="11906" w:h="16838" w:code="9"/>
          <w:pgMar w:top="1701" w:right="1134" w:bottom="1134" w:left="1134" w:header="992" w:footer="851" w:gutter="0"/>
          <w:cols w:num="2" w:space="420"/>
          <w:docGrid w:type="linesAndChars" w:linePitch="312"/>
        </w:sectPr>
      </w:pPr>
      <w:bookmarkStart w:id="102" w:name="正文段落_怀疑_44"/>
      <w:r>
        <w:t>（</w:t>
      </w:r>
      <w:r>
        <w:t>2</w:t>
      </w:r>
      <w:r>
        <w:t>）判定过程。原型先校验身份及设备凭据；检票业务进一步核验角色、区域、服务白名单和终端状态；运维业务依次核验终端状态、工单有效性、多因素认证和访问范围。符合常规业务白名单的访问判为</w:t>
      </w:r>
      <w:r>
        <w:t>“</w:t>
      </w:r>
      <w:r>
        <w:t>允许</w:t>
      </w:r>
      <w:r>
        <w:t>”</w:t>
      </w:r>
      <w:r>
        <w:t>；符合修复或受控运维条件的访问判为</w:t>
      </w:r>
      <w:r>
        <w:t>“</w:t>
      </w:r>
      <w:r>
        <w:t>受限允许</w:t>
      </w:r>
      <w:r>
        <w:t>”</w:t>
      </w:r>
      <w:r>
        <w:t>，附加隔离、加密、审计或限时授权等义务；其余访问按默认拒绝处理。为体现禁止性条件优先原则，当身份失效、终端不可信或工单无效时，即使部分授权属性满足条件，最终仍输出</w:t>
      </w:r>
      <w:r>
        <w:t>“</w:t>
      </w:r>
      <w:r>
        <w:t>拒绝</w:t>
      </w:r>
      <w:r>
        <w:t>”</w:t>
      </w:r>
      <w:r>
        <w:t>。例如，</w:t>
      </w:r>
      <w:r>
        <w:t>T01</w:t>
      </w:r>
      <w:r>
        <w:t>经身份与业务白名单检查后允许，</w:t>
      </w:r>
      <w:r>
        <w:t>T03</w:t>
      </w:r>
      <w:r>
        <w:t>因终端需修复而仅开放修复服务，</w:t>
      </w:r>
      <w:r>
        <w:t>T07</w:t>
      </w:r>
      <w:r>
        <w:t>因运维工单过期而拒绝</w:t>
      </w:r>
      <w:r>
        <w:t>访问。</w:t>
      </w:r>
      <w:bookmarkEnd w:id="102"/>
    </w:p>
    <w:p w14:paraId="1201C3FC" w14:textId="77777777" w:rsidR="00B75CF9" w:rsidRDefault="004046C4">
      <w:pPr>
        <w:pStyle w:val="afffc"/>
        <w:keepNext/>
        <w:keepLines/>
      </w:pPr>
      <w:bookmarkStart w:id="103" w:name="中文表序_5"/>
      <w:bookmarkStart w:id="104" w:name="中文表题_10"/>
      <w:r>
        <w:t>表</w:t>
      </w:r>
      <w:r>
        <w:t>5</w:t>
      </w:r>
      <w:bookmarkEnd w:id="103"/>
      <w:r>
        <w:rPr>
          <w:b w:val="0"/>
        </w:rPr>
        <w:t xml:space="preserve"> </w:t>
      </w:r>
      <w:r>
        <w:rPr>
          <w:b w:val="0"/>
        </w:rPr>
        <w:t>典型访问场景下的策略判定原型测试结果</w:t>
      </w:r>
      <w:bookmarkEnd w:id="104"/>
    </w:p>
    <w:tbl>
      <w:tblPr>
        <w:tblStyle w:val="affff5"/>
        <w:tblW w:w="5000" w:type="pct"/>
        <w:jc w:val="center"/>
        <w:tblInd w:w="0" w:type="dxa"/>
        <w:tblLook w:val="04A0" w:firstRow="1" w:lastRow="0" w:firstColumn="1" w:lastColumn="0" w:noHBand="0" w:noVBand="1"/>
      </w:tblPr>
      <w:tblGrid>
        <w:gridCol w:w="561"/>
        <w:gridCol w:w="6282"/>
        <w:gridCol w:w="1117"/>
        <w:gridCol w:w="1117"/>
        <w:gridCol w:w="561"/>
      </w:tblGrid>
      <w:tr w:rsidR="00B75CF9" w14:paraId="659731D7" w14:textId="77777777" w:rsidTr="00B75CF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8C8676C" w14:textId="77777777" w:rsidR="0080633A" w:rsidRDefault="004046C4">
            <w:pPr>
              <w:pStyle w:val="affd"/>
            </w:pPr>
            <w:r>
              <w:rPr>
                <w:rFonts w:cs="宋体"/>
              </w:rPr>
              <w:t>编号</w:t>
            </w:r>
            <w:bookmarkStart w:id="105" w:name="表格_5"/>
          </w:p>
        </w:tc>
        <w:tc>
          <w:tcPr>
            <w:tcW w:w="0" w:type="auto"/>
          </w:tcPr>
          <w:p w14:paraId="6B348202" w14:textId="77777777" w:rsidR="0080633A" w:rsidRDefault="004046C4">
            <w:pPr>
              <w:pStyle w:val="affd"/>
            </w:pPr>
            <w:r>
              <w:rPr>
                <w:rFonts w:cs="宋体"/>
              </w:rPr>
              <w:t>输入向量关键属性（其余取场景默认值）</w:t>
            </w:r>
          </w:p>
        </w:tc>
        <w:tc>
          <w:tcPr>
            <w:tcW w:w="0" w:type="auto"/>
          </w:tcPr>
          <w:p w14:paraId="586C7685" w14:textId="77777777" w:rsidR="0080633A" w:rsidRDefault="004046C4">
            <w:pPr>
              <w:pStyle w:val="affd"/>
            </w:pPr>
            <w:r>
              <w:rPr>
                <w:rFonts w:cs="宋体"/>
              </w:rPr>
              <w:t>预期</w:t>
            </w:r>
          </w:p>
        </w:tc>
        <w:tc>
          <w:tcPr>
            <w:tcW w:w="0" w:type="auto"/>
          </w:tcPr>
          <w:p w14:paraId="540BA674" w14:textId="77777777" w:rsidR="0080633A" w:rsidRDefault="004046C4">
            <w:pPr>
              <w:pStyle w:val="affd"/>
            </w:pPr>
            <w:r>
              <w:rPr>
                <w:rFonts w:cs="宋体"/>
              </w:rPr>
              <w:t>实际</w:t>
            </w:r>
          </w:p>
        </w:tc>
        <w:tc>
          <w:tcPr>
            <w:tcW w:w="0" w:type="auto"/>
          </w:tcPr>
          <w:p w14:paraId="5DFD9DAF" w14:textId="77777777" w:rsidR="0080633A" w:rsidRDefault="004046C4">
            <w:pPr>
              <w:pStyle w:val="affd"/>
            </w:pPr>
            <w:r>
              <w:rPr>
                <w:rFonts w:cs="宋体"/>
              </w:rPr>
              <w:t>判定</w:t>
            </w:r>
          </w:p>
        </w:tc>
      </w:tr>
      <w:tr w:rsidR="00B75CF9" w14:paraId="1E3DAACB" w14:textId="77777777" w:rsidTr="00B75CF9">
        <w:trPr>
          <w:jc w:val="center"/>
        </w:trPr>
        <w:tc>
          <w:tcPr>
            <w:tcW w:w="0" w:type="auto"/>
          </w:tcPr>
          <w:p w14:paraId="745FFB31" w14:textId="77777777" w:rsidR="0080633A" w:rsidRDefault="004046C4">
            <w:pPr>
              <w:pStyle w:val="affd"/>
            </w:pPr>
            <w:r>
              <w:rPr>
                <w:rFonts w:cs="宋体"/>
              </w:rPr>
              <w:t>T01</w:t>
            </w:r>
          </w:p>
        </w:tc>
        <w:tc>
          <w:tcPr>
            <w:tcW w:w="0" w:type="auto"/>
          </w:tcPr>
          <w:p w14:paraId="21346AD5" w14:textId="77777777" w:rsidR="0080633A" w:rsidRDefault="004046C4">
            <w:pPr>
              <w:pStyle w:val="affd"/>
            </w:pPr>
            <w:r>
              <w:rPr>
                <w:rFonts w:cs="宋体"/>
              </w:rPr>
              <w:t>检票</w:t>
            </w:r>
            <w:r>
              <w:rPr>
                <w:rFonts w:cs="宋体"/>
              </w:rPr>
              <w:t>/</w:t>
            </w:r>
            <w:r>
              <w:rPr>
                <w:rFonts w:cs="宋体"/>
              </w:rPr>
              <w:t>可信</w:t>
            </w:r>
            <w:r>
              <w:rPr>
                <w:rFonts w:cs="宋体"/>
              </w:rPr>
              <w:t>/</w:t>
            </w:r>
            <w:r>
              <w:rPr>
                <w:rFonts w:cs="宋体"/>
              </w:rPr>
              <w:t>客运</w:t>
            </w:r>
            <w:r>
              <w:rPr>
                <w:rFonts w:cs="宋体"/>
              </w:rPr>
              <w:t>→</w:t>
            </w:r>
            <w:r>
              <w:rPr>
                <w:rFonts w:cs="宋体"/>
              </w:rPr>
              <w:t>客票</w:t>
            </w:r>
            <w:r>
              <w:rPr>
                <w:rFonts w:cs="宋体"/>
              </w:rPr>
              <w:t>/</w:t>
            </w:r>
            <w:r>
              <w:rPr>
                <w:rFonts w:cs="宋体"/>
              </w:rPr>
              <w:t>证书有效</w:t>
            </w:r>
          </w:p>
        </w:tc>
        <w:tc>
          <w:tcPr>
            <w:tcW w:w="0" w:type="auto"/>
          </w:tcPr>
          <w:p w14:paraId="72F333BC" w14:textId="77777777" w:rsidR="0080633A" w:rsidRDefault="004046C4">
            <w:pPr>
              <w:pStyle w:val="affd"/>
            </w:pPr>
            <w:r>
              <w:rPr>
                <w:rFonts w:cs="宋体"/>
              </w:rPr>
              <w:t>允许</w:t>
            </w:r>
          </w:p>
        </w:tc>
        <w:tc>
          <w:tcPr>
            <w:tcW w:w="0" w:type="auto"/>
          </w:tcPr>
          <w:p w14:paraId="7714A2A3" w14:textId="77777777" w:rsidR="0080633A" w:rsidRDefault="004046C4">
            <w:pPr>
              <w:pStyle w:val="affd"/>
            </w:pPr>
            <w:r>
              <w:rPr>
                <w:rFonts w:cs="宋体"/>
              </w:rPr>
              <w:t>允许</w:t>
            </w:r>
          </w:p>
        </w:tc>
        <w:tc>
          <w:tcPr>
            <w:tcW w:w="0" w:type="auto"/>
          </w:tcPr>
          <w:p w14:paraId="6DB0446B" w14:textId="77777777" w:rsidR="0080633A" w:rsidRDefault="004046C4">
            <w:pPr>
              <w:pStyle w:val="affd"/>
            </w:pPr>
            <w:r>
              <w:rPr>
                <w:rFonts w:cs="宋体"/>
              </w:rPr>
              <w:t>一致</w:t>
            </w:r>
          </w:p>
        </w:tc>
      </w:tr>
      <w:tr w:rsidR="00B75CF9" w14:paraId="0F3E7637" w14:textId="77777777" w:rsidTr="00B75CF9">
        <w:trPr>
          <w:jc w:val="center"/>
        </w:trPr>
        <w:tc>
          <w:tcPr>
            <w:tcW w:w="0" w:type="auto"/>
          </w:tcPr>
          <w:p w14:paraId="3ECDF334" w14:textId="77777777" w:rsidR="0080633A" w:rsidRDefault="004046C4">
            <w:pPr>
              <w:pStyle w:val="affd"/>
            </w:pPr>
            <w:r>
              <w:rPr>
                <w:rFonts w:cs="宋体"/>
              </w:rPr>
              <w:t>T02</w:t>
            </w:r>
          </w:p>
        </w:tc>
        <w:tc>
          <w:tcPr>
            <w:tcW w:w="0" w:type="auto"/>
          </w:tcPr>
          <w:p w14:paraId="7DF7FA56" w14:textId="77777777" w:rsidR="0080633A" w:rsidRDefault="004046C4">
            <w:pPr>
              <w:pStyle w:val="affd"/>
            </w:pPr>
            <w:r>
              <w:rPr>
                <w:rFonts w:cs="宋体"/>
              </w:rPr>
              <w:t>检票</w:t>
            </w:r>
            <w:r>
              <w:rPr>
                <w:rFonts w:cs="宋体"/>
              </w:rPr>
              <w:t>/</w:t>
            </w:r>
            <w:r>
              <w:rPr>
                <w:rFonts w:cs="宋体"/>
              </w:rPr>
              <w:t>可信</w:t>
            </w:r>
            <w:r>
              <w:rPr>
                <w:rFonts w:cs="宋体"/>
              </w:rPr>
              <w:t>/</w:t>
            </w:r>
            <w:r>
              <w:rPr>
                <w:rFonts w:cs="宋体"/>
              </w:rPr>
              <w:t>客运</w:t>
            </w:r>
            <w:r>
              <w:rPr>
                <w:rFonts w:cs="宋体"/>
              </w:rPr>
              <w:t>→</w:t>
            </w:r>
            <w:r>
              <w:rPr>
                <w:rFonts w:cs="宋体"/>
              </w:rPr>
              <w:t>办公</w:t>
            </w:r>
            <w:r>
              <w:rPr>
                <w:rFonts w:cs="宋体"/>
              </w:rPr>
              <w:t>/</w:t>
            </w:r>
            <w:r>
              <w:rPr>
                <w:rFonts w:cs="宋体"/>
              </w:rPr>
              <w:t>证书有效</w:t>
            </w:r>
          </w:p>
        </w:tc>
        <w:tc>
          <w:tcPr>
            <w:tcW w:w="0" w:type="auto"/>
          </w:tcPr>
          <w:p w14:paraId="2D4BBD63" w14:textId="77777777" w:rsidR="0080633A" w:rsidRDefault="004046C4">
            <w:pPr>
              <w:pStyle w:val="affd"/>
            </w:pPr>
            <w:r>
              <w:rPr>
                <w:rFonts w:cs="宋体"/>
              </w:rPr>
              <w:t>拒绝</w:t>
            </w:r>
          </w:p>
        </w:tc>
        <w:tc>
          <w:tcPr>
            <w:tcW w:w="0" w:type="auto"/>
          </w:tcPr>
          <w:p w14:paraId="4DAD5A74" w14:textId="77777777" w:rsidR="0080633A" w:rsidRDefault="004046C4">
            <w:pPr>
              <w:pStyle w:val="affd"/>
            </w:pPr>
            <w:r>
              <w:rPr>
                <w:rFonts w:cs="宋体"/>
              </w:rPr>
              <w:t>拒绝</w:t>
            </w:r>
          </w:p>
        </w:tc>
        <w:tc>
          <w:tcPr>
            <w:tcW w:w="0" w:type="auto"/>
          </w:tcPr>
          <w:p w14:paraId="0E73E5AA" w14:textId="77777777" w:rsidR="0080633A" w:rsidRDefault="004046C4">
            <w:pPr>
              <w:pStyle w:val="affd"/>
            </w:pPr>
            <w:r>
              <w:rPr>
                <w:rFonts w:cs="宋体"/>
              </w:rPr>
              <w:t>一致</w:t>
            </w:r>
          </w:p>
        </w:tc>
      </w:tr>
      <w:tr w:rsidR="00B75CF9" w14:paraId="749A0D79" w14:textId="77777777" w:rsidTr="00B75CF9">
        <w:trPr>
          <w:jc w:val="center"/>
        </w:trPr>
        <w:tc>
          <w:tcPr>
            <w:tcW w:w="0" w:type="auto"/>
          </w:tcPr>
          <w:p w14:paraId="6A49CC15" w14:textId="77777777" w:rsidR="0080633A" w:rsidRDefault="004046C4">
            <w:pPr>
              <w:pStyle w:val="affd"/>
            </w:pPr>
            <w:r>
              <w:rPr>
                <w:rFonts w:cs="宋体"/>
              </w:rPr>
              <w:t>T03</w:t>
            </w:r>
          </w:p>
        </w:tc>
        <w:tc>
          <w:tcPr>
            <w:tcW w:w="0" w:type="auto"/>
          </w:tcPr>
          <w:p w14:paraId="2C2732FF" w14:textId="77777777" w:rsidR="0080633A" w:rsidRDefault="004046C4">
            <w:pPr>
              <w:pStyle w:val="affd"/>
            </w:pPr>
            <w:r>
              <w:rPr>
                <w:rFonts w:cs="宋体"/>
              </w:rPr>
              <w:t>检票</w:t>
            </w:r>
            <w:r>
              <w:rPr>
                <w:rFonts w:cs="宋体"/>
              </w:rPr>
              <w:t>/</w:t>
            </w:r>
            <w:r>
              <w:rPr>
                <w:rFonts w:cs="宋体"/>
              </w:rPr>
              <w:t>待修复</w:t>
            </w:r>
            <w:r>
              <w:rPr>
                <w:rFonts w:cs="宋体"/>
              </w:rPr>
              <w:t>/</w:t>
            </w:r>
            <w:r>
              <w:rPr>
                <w:rFonts w:cs="宋体"/>
              </w:rPr>
              <w:t>客运</w:t>
            </w:r>
            <w:r>
              <w:rPr>
                <w:rFonts w:cs="宋体"/>
              </w:rPr>
              <w:t>→</w:t>
            </w:r>
            <w:r>
              <w:rPr>
                <w:rFonts w:cs="宋体"/>
              </w:rPr>
              <w:t>修复服务</w:t>
            </w:r>
            <w:r>
              <w:rPr>
                <w:rFonts w:cs="宋体"/>
              </w:rPr>
              <w:t>/</w:t>
            </w:r>
            <w:r>
              <w:rPr>
                <w:rFonts w:cs="宋体"/>
              </w:rPr>
              <w:t>证书有效</w:t>
            </w:r>
          </w:p>
        </w:tc>
        <w:tc>
          <w:tcPr>
            <w:tcW w:w="0" w:type="auto"/>
          </w:tcPr>
          <w:p w14:paraId="76DC33A7" w14:textId="77777777" w:rsidR="0080633A" w:rsidRDefault="004046C4">
            <w:pPr>
              <w:pStyle w:val="affd"/>
            </w:pPr>
            <w:r>
              <w:rPr>
                <w:rFonts w:cs="宋体"/>
              </w:rPr>
              <w:t>受限允许</w:t>
            </w:r>
          </w:p>
        </w:tc>
        <w:tc>
          <w:tcPr>
            <w:tcW w:w="0" w:type="auto"/>
          </w:tcPr>
          <w:p w14:paraId="78B697C2" w14:textId="77777777" w:rsidR="0080633A" w:rsidRDefault="004046C4">
            <w:pPr>
              <w:pStyle w:val="affd"/>
            </w:pPr>
            <w:r>
              <w:rPr>
                <w:rFonts w:cs="宋体"/>
              </w:rPr>
              <w:t>受限允许</w:t>
            </w:r>
          </w:p>
        </w:tc>
        <w:tc>
          <w:tcPr>
            <w:tcW w:w="0" w:type="auto"/>
          </w:tcPr>
          <w:p w14:paraId="0FE8E4B1" w14:textId="77777777" w:rsidR="0080633A" w:rsidRDefault="004046C4">
            <w:pPr>
              <w:pStyle w:val="affd"/>
            </w:pPr>
            <w:r>
              <w:rPr>
                <w:rFonts w:cs="宋体"/>
              </w:rPr>
              <w:t>一致</w:t>
            </w:r>
          </w:p>
        </w:tc>
      </w:tr>
      <w:tr w:rsidR="00B75CF9" w14:paraId="1761BECD" w14:textId="77777777" w:rsidTr="00B75CF9">
        <w:trPr>
          <w:jc w:val="center"/>
        </w:trPr>
        <w:tc>
          <w:tcPr>
            <w:tcW w:w="0" w:type="auto"/>
          </w:tcPr>
          <w:p w14:paraId="5503DD7B" w14:textId="77777777" w:rsidR="0080633A" w:rsidRDefault="004046C4">
            <w:pPr>
              <w:pStyle w:val="affd"/>
            </w:pPr>
            <w:r>
              <w:rPr>
                <w:rFonts w:cs="宋体"/>
              </w:rPr>
              <w:t>T04</w:t>
            </w:r>
          </w:p>
        </w:tc>
        <w:tc>
          <w:tcPr>
            <w:tcW w:w="0" w:type="auto"/>
          </w:tcPr>
          <w:p w14:paraId="1054A1B6" w14:textId="77777777" w:rsidR="0080633A" w:rsidRDefault="004046C4">
            <w:pPr>
              <w:pStyle w:val="affd"/>
            </w:pPr>
            <w:r>
              <w:rPr>
                <w:rFonts w:cs="宋体"/>
              </w:rPr>
              <w:t>移动运维</w:t>
            </w:r>
            <w:r>
              <w:rPr>
                <w:rFonts w:cs="宋体"/>
              </w:rPr>
              <w:t>/</w:t>
            </w:r>
            <w:r>
              <w:rPr>
                <w:rFonts w:cs="宋体"/>
              </w:rPr>
              <w:t>可信</w:t>
            </w:r>
            <w:r>
              <w:rPr>
                <w:rFonts w:cs="宋体"/>
              </w:rPr>
              <w:t>/</w:t>
            </w:r>
            <w:r>
              <w:rPr>
                <w:rFonts w:cs="宋体"/>
              </w:rPr>
              <w:t>客运</w:t>
            </w:r>
            <w:r>
              <w:rPr>
                <w:rFonts w:cs="宋体"/>
              </w:rPr>
              <w:t>→</w:t>
            </w:r>
            <w:r>
              <w:rPr>
                <w:rFonts w:cs="宋体"/>
              </w:rPr>
              <w:t>管理</w:t>
            </w:r>
            <w:r>
              <w:rPr>
                <w:rFonts w:cs="宋体"/>
              </w:rPr>
              <w:t>/</w:t>
            </w:r>
            <w:r>
              <w:rPr>
                <w:rFonts w:cs="宋体"/>
              </w:rPr>
              <w:t>工单有效、</w:t>
            </w:r>
            <w:r>
              <w:rPr>
                <w:rFonts w:cs="宋体"/>
              </w:rPr>
              <w:t>MFA</w:t>
            </w:r>
            <w:r>
              <w:rPr>
                <w:rFonts w:cs="宋体"/>
              </w:rPr>
              <w:t>通过</w:t>
            </w:r>
          </w:p>
        </w:tc>
        <w:tc>
          <w:tcPr>
            <w:tcW w:w="0" w:type="auto"/>
          </w:tcPr>
          <w:p w14:paraId="19CC776B" w14:textId="77777777" w:rsidR="0080633A" w:rsidRDefault="004046C4">
            <w:pPr>
              <w:pStyle w:val="affd"/>
            </w:pPr>
            <w:r>
              <w:rPr>
                <w:rFonts w:cs="宋体"/>
              </w:rPr>
              <w:t>受限允许</w:t>
            </w:r>
          </w:p>
        </w:tc>
        <w:tc>
          <w:tcPr>
            <w:tcW w:w="0" w:type="auto"/>
          </w:tcPr>
          <w:p w14:paraId="540E1578" w14:textId="77777777" w:rsidR="0080633A" w:rsidRDefault="004046C4">
            <w:pPr>
              <w:pStyle w:val="affd"/>
            </w:pPr>
            <w:r>
              <w:rPr>
                <w:rFonts w:cs="宋体"/>
              </w:rPr>
              <w:t>受限允许</w:t>
            </w:r>
          </w:p>
        </w:tc>
        <w:tc>
          <w:tcPr>
            <w:tcW w:w="0" w:type="auto"/>
          </w:tcPr>
          <w:p w14:paraId="3B5A6F04" w14:textId="77777777" w:rsidR="0080633A" w:rsidRDefault="004046C4">
            <w:pPr>
              <w:pStyle w:val="affd"/>
            </w:pPr>
            <w:r>
              <w:rPr>
                <w:rFonts w:cs="宋体"/>
              </w:rPr>
              <w:t>一致</w:t>
            </w:r>
          </w:p>
        </w:tc>
      </w:tr>
      <w:tr w:rsidR="00B75CF9" w14:paraId="1A584647" w14:textId="77777777" w:rsidTr="00B75CF9">
        <w:trPr>
          <w:jc w:val="center"/>
        </w:trPr>
        <w:tc>
          <w:tcPr>
            <w:tcW w:w="0" w:type="auto"/>
          </w:tcPr>
          <w:p w14:paraId="1BE189DA" w14:textId="77777777" w:rsidR="0080633A" w:rsidRDefault="004046C4">
            <w:pPr>
              <w:pStyle w:val="affd"/>
            </w:pPr>
            <w:r>
              <w:rPr>
                <w:rFonts w:cs="宋体"/>
              </w:rPr>
              <w:t>T05</w:t>
            </w:r>
          </w:p>
        </w:tc>
        <w:tc>
          <w:tcPr>
            <w:tcW w:w="0" w:type="auto"/>
          </w:tcPr>
          <w:p w14:paraId="36723FB2" w14:textId="77777777" w:rsidR="0080633A" w:rsidRDefault="004046C4">
            <w:pPr>
              <w:pStyle w:val="affd"/>
            </w:pPr>
            <w:r>
              <w:rPr>
                <w:rFonts w:cs="宋体"/>
              </w:rPr>
              <w:t>检票</w:t>
            </w:r>
            <w:r>
              <w:rPr>
                <w:rFonts w:cs="宋体"/>
              </w:rPr>
              <w:t>/</w:t>
            </w:r>
            <w:r>
              <w:rPr>
                <w:rFonts w:cs="宋体"/>
              </w:rPr>
              <w:t>可信</w:t>
            </w:r>
            <w:r>
              <w:rPr>
                <w:rFonts w:cs="宋体"/>
              </w:rPr>
              <w:t>/</w:t>
            </w:r>
            <w:r>
              <w:rPr>
                <w:rFonts w:cs="宋体"/>
              </w:rPr>
              <w:t>客运</w:t>
            </w:r>
            <w:r>
              <w:rPr>
                <w:rFonts w:cs="宋体"/>
              </w:rPr>
              <w:t>→</w:t>
            </w:r>
            <w:r>
              <w:rPr>
                <w:rFonts w:cs="宋体"/>
              </w:rPr>
              <w:t>客票</w:t>
            </w:r>
            <w:r>
              <w:rPr>
                <w:rFonts w:cs="宋体"/>
              </w:rPr>
              <w:t>/</w:t>
            </w:r>
            <w:r>
              <w:rPr>
                <w:rFonts w:cs="宋体"/>
              </w:rPr>
              <w:t>证书撤销</w:t>
            </w:r>
          </w:p>
        </w:tc>
        <w:tc>
          <w:tcPr>
            <w:tcW w:w="0" w:type="auto"/>
          </w:tcPr>
          <w:p w14:paraId="58025ECA" w14:textId="77777777" w:rsidR="0080633A" w:rsidRDefault="004046C4">
            <w:pPr>
              <w:pStyle w:val="affd"/>
            </w:pPr>
            <w:r>
              <w:rPr>
                <w:rFonts w:cs="宋体"/>
              </w:rPr>
              <w:t>拒绝</w:t>
            </w:r>
          </w:p>
        </w:tc>
        <w:tc>
          <w:tcPr>
            <w:tcW w:w="0" w:type="auto"/>
          </w:tcPr>
          <w:p w14:paraId="6DFB3E07" w14:textId="77777777" w:rsidR="0080633A" w:rsidRDefault="004046C4">
            <w:pPr>
              <w:pStyle w:val="affd"/>
            </w:pPr>
            <w:r>
              <w:rPr>
                <w:rFonts w:cs="宋体"/>
              </w:rPr>
              <w:t>拒绝</w:t>
            </w:r>
          </w:p>
        </w:tc>
        <w:tc>
          <w:tcPr>
            <w:tcW w:w="0" w:type="auto"/>
          </w:tcPr>
          <w:p w14:paraId="5A8779CB" w14:textId="77777777" w:rsidR="0080633A" w:rsidRDefault="004046C4">
            <w:pPr>
              <w:pStyle w:val="affd"/>
            </w:pPr>
            <w:r>
              <w:rPr>
                <w:rFonts w:cs="宋体"/>
              </w:rPr>
              <w:t>一致</w:t>
            </w:r>
          </w:p>
        </w:tc>
      </w:tr>
      <w:tr w:rsidR="00B75CF9" w14:paraId="669DB8FD" w14:textId="77777777" w:rsidTr="00B75CF9">
        <w:trPr>
          <w:jc w:val="center"/>
        </w:trPr>
        <w:tc>
          <w:tcPr>
            <w:tcW w:w="0" w:type="auto"/>
          </w:tcPr>
          <w:p w14:paraId="478CC9FD" w14:textId="77777777" w:rsidR="0080633A" w:rsidRDefault="004046C4">
            <w:pPr>
              <w:pStyle w:val="affd"/>
            </w:pPr>
            <w:r>
              <w:rPr>
                <w:rFonts w:cs="宋体"/>
              </w:rPr>
              <w:t>T06</w:t>
            </w:r>
          </w:p>
        </w:tc>
        <w:tc>
          <w:tcPr>
            <w:tcW w:w="0" w:type="auto"/>
          </w:tcPr>
          <w:p w14:paraId="7F2DD196" w14:textId="77777777" w:rsidR="0080633A" w:rsidRDefault="004046C4">
            <w:pPr>
              <w:pStyle w:val="affd"/>
            </w:pPr>
            <w:r>
              <w:rPr>
                <w:rFonts w:cs="宋体"/>
              </w:rPr>
              <w:t>运维</w:t>
            </w:r>
            <w:r>
              <w:rPr>
                <w:rFonts w:cs="宋体"/>
              </w:rPr>
              <w:t>/</w:t>
            </w:r>
            <w:r>
              <w:rPr>
                <w:rFonts w:cs="宋体"/>
              </w:rPr>
              <w:t>可信</w:t>
            </w:r>
            <w:r>
              <w:rPr>
                <w:rFonts w:cs="宋体"/>
              </w:rPr>
              <w:t>/</w:t>
            </w:r>
            <w:r>
              <w:rPr>
                <w:rFonts w:cs="宋体"/>
              </w:rPr>
              <w:t>运维区</w:t>
            </w:r>
            <w:r>
              <w:rPr>
                <w:rFonts w:cs="宋体"/>
              </w:rPr>
              <w:t>→</w:t>
            </w:r>
            <w:r>
              <w:rPr>
                <w:rFonts w:cs="宋体"/>
              </w:rPr>
              <w:t>监测管理</w:t>
            </w:r>
            <w:r>
              <w:rPr>
                <w:rFonts w:cs="宋体"/>
              </w:rPr>
              <w:t>/</w:t>
            </w:r>
            <w:r>
              <w:rPr>
                <w:rFonts w:cs="宋体"/>
              </w:rPr>
              <w:t>工单有效、</w:t>
            </w:r>
            <w:r>
              <w:rPr>
                <w:rFonts w:cs="宋体"/>
              </w:rPr>
              <w:t>MFA</w:t>
            </w:r>
            <w:r>
              <w:rPr>
                <w:rFonts w:cs="宋体"/>
              </w:rPr>
              <w:t>通过</w:t>
            </w:r>
          </w:p>
        </w:tc>
        <w:tc>
          <w:tcPr>
            <w:tcW w:w="0" w:type="auto"/>
          </w:tcPr>
          <w:p w14:paraId="1BCE702A" w14:textId="77777777" w:rsidR="0080633A" w:rsidRDefault="004046C4">
            <w:pPr>
              <w:pStyle w:val="affd"/>
            </w:pPr>
            <w:r>
              <w:rPr>
                <w:rFonts w:cs="宋体"/>
              </w:rPr>
              <w:t>受限允许</w:t>
            </w:r>
          </w:p>
        </w:tc>
        <w:tc>
          <w:tcPr>
            <w:tcW w:w="0" w:type="auto"/>
          </w:tcPr>
          <w:p w14:paraId="59B1BAB9" w14:textId="77777777" w:rsidR="0080633A" w:rsidRDefault="004046C4">
            <w:pPr>
              <w:pStyle w:val="affd"/>
            </w:pPr>
            <w:r>
              <w:rPr>
                <w:rFonts w:cs="宋体"/>
              </w:rPr>
              <w:t>受限允许</w:t>
            </w:r>
          </w:p>
        </w:tc>
        <w:tc>
          <w:tcPr>
            <w:tcW w:w="0" w:type="auto"/>
          </w:tcPr>
          <w:p w14:paraId="12551F48" w14:textId="77777777" w:rsidR="0080633A" w:rsidRDefault="004046C4">
            <w:pPr>
              <w:pStyle w:val="affd"/>
            </w:pPr>
            <w:r>
              <w:rPr>
                <w:rFonts w:cs="宋体"/>
              </w:rPr>
              <w:t>一致</w:t>
            </w:r>
          </w:p>
        </w:tc>
      </w:tr>
      <w:tr w:rsidR="00B75CF9" w14:paraId="7FA3E84F" w14:textId="77777777" w:rsidTr="00B75CF9">
        <w:trPr>
          <w:jc w:val="center"/>
        </w:trPr>
        <w:tc>
          <w:tcPr>
            <w:tcW w:w="0" w:type="auto"/>
          </w:tcPr>
          <w:p w14:paraId="4BCEA5B7" w14:textId="77777777" w:rsidR="0080633A" w:rsidRDefault="004046C4">
            <w:pPr>
              <w:pStyle w:val="affd"/>
            </w:pPr>
            <w:r>
              <w:rPr>
                <w:rFonts w:cs="宋体"/>
              </w:rPr>
              <w:t>T07</w:t>
            </w:r>
          </w:p>
        </w:tc>
        <w:tc>
          <w:tcPr>
            <w:tcW w:w="0" w:type="auto"/>
          </w:tcPr>
          <w:p w14:paraId="51B83539" w14:textId="77777777" w:rsidR="0080633A" w:rsidRDefault="004046C4">
            <w:pPr>
              <w:pStyle w:val="affd"/>
            </w:pPr>
            <w:r>
              <w:rPr>
                <w:rFonts w:cs="宋体"/>
              </w:rPr>
              <w:t>运维</w:t>
            </w:r>
            <w:r>
              <w:rPr>
                <w:rFonts w:cs="宋体"/>
              </w:rPr>
              <w:t>/</w:t>
            </w:r>
            <w:r>
              <w:rPr>
                <w:rFonts w:cs="宋体"/>
              </w:rPr>
              <w:t>可信</w:t>
            </w:r>
            <w:r>
              <w:rPr>
                <w:rFonts w:cs="宋体"/>
              </w:rPr>
              <w:t>/</w:t>
            </w:r>
            <w:r>
              <w:rPr>
                <w:rFonts w:cs="宋体"/>
              </w:rPr>
              <w:t>运维区</w:t>
            </w:r>
            <w:r>
              <w:rPr>
                <w:rFonts w:cs="宋体"/>
              </w:rPr>
              <w:t>→</w:t>
            </w:r>
            <w:r>
              <w:rPr>
                <w:rFonts w:cs="宋体"/>
              </w:rPr>
              <w:t>监测管理</w:t>
            </w:r>
            <w:r>
              <w:rPr>
                <w:rFonts w:cs="宋体"/>
              </w:rPr>
              <w:t>/</w:t>
            </w:r>
            <w:r>
              <w:rPr>
                <w:rFonts w:cs="宋体"/>
              </w:rPr>
              <w:t>工单过期</w:t>
            </w:r>
          </w:p>
        </w:tc>
        <w:tc>
          <w:tcPr>
            <w:tcW w:w="0" w:type="auto"/>
          </w:tcPr>
          <w:p w14:paraId="22DE9A16" w14:textId="77777777" w:rsidR="0080633A" w:rsidRDefault="004046C4">
            <w:pPr>
              <w:pStyle w:val="affd"/>
            </w:pPr>
            <w:r>
              <w:rPr>
                <w:rFonts w:cs="宋体"/>
              </w:rPr>
              <w:t>拒绝</w:t>
            </w:r>
          </w:p>
        </w:tc>
        <w:tc>
          <w:tcPr>
            <w:tcW w:w="0" w:type="auto"/>
          </w:tcPr>
          <w:p w14:paraId="50C9F151" w14:textId="77777777" w:rsidR="0080633A" w:rsidRDefault="004046C4">
            <w:pPr>
              <w:pStyle w:val="affd"/>
            </w:pPr>
            <w:r>
              <w:rPr>
                <w:rFonts w:cs="宋体"/>
              </w:rPr>
              <w:t>拒绝</w:t>
            </w:r>
          </w:p>
        </w:tc>
        <w:tc>
          <w:tcPr>
            <w:tcW w:w="0" w:type="auto"/>
          </w:tcPr>
          <w:p w14:paraId="6E3B9A86" w14:textId="77777777" w:rsidR="0080633A" w:rsidRDefault="004046C4">
            <w:pPr>
              <w:pStyle w:val="affd"/>
            </w:pPr>
            <w:r>
              <w:rPr>
                <w:rFonts w:cs="宋体"/>
              </w:rPr>
              <w:t>一致</w:t>
            </w:r>
          </w:p>
        </w:tc>
      </w:tr>
      <w:tr w:rsidR="00B75CF9" w14:paraId="165B035B" w14:textId="77777777" w:rsidTr="00B75CF9">
        <w:trPr>
          <w:jc w:val="center"/>
        </w:trPr>
        <w:tc>
          <w:tcPr>
            <w:tcW w:w="0" w:type="auto"/>
          </w:tcPr>
          <w:p w14:paraId="4E14129D" w14:textId="77777777" w:rsidR="0080633A" w:rsidRDefault="004046C4">
            <w:pPr>
              <w:pStyle w:val="affd"/>
            </w:pPr>
            <w:r>
              <w:rPr>
                <w:rFonts w:cs="宋体"/>
              </w:rPr>
              <w:t>T08</w:t>
            </w:r>
          </w:p>
        </w:tc>
        <w:tc>
          <w:tcPr>
            <w:tcW w:w="0" w:type="auto"/>
          </w:tcPr>
          <w:p w14:paraId="731AEADF" w14:textId="77777777" w:rsidR="0080633A" w:rsidRDefault="004046C4">
            <w:pPr>
              <w:pStyle w:val="affd"/>
            </w:pPr>
            <w:r>
              <w:rPr>
                <w:rFonts w:cs="宋体"/>
              </w:rPr>
              <w:t>运维</w:t>
            </w:r>
            <w:r>
              <w:rPr>
                <w:rFonts w:cs="宋体"/>
              </w:rPr>
              <w:t>/</w:t>
            </w:r>
            <w:r>
              <w:rPr>
                <w:rFonts w:cs="宋体"/>
              </w:rPr>
              <w:t>可信</w:t>
            </w:r>
            <w:r>
              <w:rPr>
                <w:rFonts w:cs="宋体"/>
              </w:rPr>
              <w:t>/</w:t>
            </w:r>
            <w:r>
              <w:rPr>
                <w:rFonts w:cs="宋体"/>
              </w:rPr>
              <w:t>运维区</w:t>
            </w:r>
            <w:r>
              <w:rPr>
                <w:rFonts w:cs="宋体"/>
              </w:rPr>
              <w:t>→</w:t>
            </w:r>
            <w:r>
              <w:rPr>
                <w:rFonts w:cs="宋体"/>
              </w:rPr>
              <w:t>非工单目标</w:t>
            </w:r>
            <w:r>
              <w:rPr>
                <w:rFonts w:cs="宋体"/>
              </w:rPr>
              <w:t>/</w:t>
            </w:r>
            <w:r>
              <w:rPr>
                <w:rFonts w:cs="宋体"/>
              </w:rPr>
              <w:t>工单有效</w:t>
            </w:r>
          </w:p>
        </w:tc>
        <w:tc>
          <w:tcPr>
            <w:tcW w:w="0" w:type="auto"/>
          </w:tcPr>
          <w:p w14:paraId="6AB1650B" w14:textId="77777777" w:rsidR="0080633A" w:rsidRDefault="004046C4">
            <w:pPr>
              <w:pStyle w:val="affd"/>
            </w:pPr>
            <w:r>
              <w:rPr>
                <w:rFonts w:cs="宋体"/>
              </w:rPr>
              <w:t>拒绝</w:t>
            </w:r>
          </w:p>
        </w:tc>
        <w:tc>
          <w:tcPr>
            <w:tcW w:w="0" w:type="auto"/>
          </w:tcPr>
          <w:p w14:paraId="327E56E6" w14:textId="77777777" w:rsidR="0080633A" w:rsidRDefault="004046C4">
            <w:pPr>
              <w:pStyle w:val="affd"/>
            </w:pPr>
            <w:r>
              <w:rPr>
                <w:rFonts w:cs="宋体"/>
              </w:rPr>
              <w:t>拒绝</w:t>
            </w:r>
          </w:p>
        </w:tc>
        <w:tc>
          <w:tcPr>
            <w:tcW w:w="0" w:type="auto"/>
          </w:tcPr>
          <w:p w14:paraId="33D891B8" w14:textId="77777777" w:rsidR="0080633A" w:rsidRDefault="004046C4">
            <w:pPr>
              <w:pStyle w:val="affd"/>
            </w:pPr>
            <w:r>
              <w:rPr>
                <w:rFonts w:cs="宋体"/>
              </w:rPr>
              <w:t>一致</w:t>
            </w:r>
          </w:p>
        </w:tc>
      </w:tr>
      <w:tr w:rsidR="00B75CF9" w14:paraId="655CEC2D" w14:textId="77777777" w:rsidTr="00B75CF9">
        <w:trPr>
          <w:jc w:val="center"/>
        </w:trPr>
        <w:tc>
          <w:tcPr>
            <w:tcW w:w="0" w:type="auto"/>
          </w:tcPr>
          <w:p w14:paraId="3C9C86C9" w14:textId="77777777" w:rsidR="0080633A" w:rsidRDefault="004046C4">
            <w:pPr>
              <w:pStyle w:val="affd"/>
            </w:pPr>
            <w:r>
              <w:rPr>
                <w:rFonts w:cs="宋体"/>
              </w:rPr>
              <w:t>T09</w:t>
            </w:r>
          </w:p>
        </w:tc>
        <w:tc>
          <w:tcPr>
            <w:tcW w:w="0" w:type="auto"/>
          </w:tcPr>
          <w:p w14:paraId="5BEBA6DB" w14:textId="77777777" w:rsidR="0080633A" w:rsidRDefault="004046C4">
            <w:pPr>
              <w:pStyle w:val="affd"/>
            </w:pPr>
            <w:r>
              <w:rPr>
                <w:rFonts w:cs="宋体"/>
              </w:rPr>
              <w:t>运维</w:t>
            </w:r>
            <w:r>
              <w:rPr>
                <w:rFonts w:cs="宋体"/>
              </w:rPr>
              <w:t>/</w:t>
            </w:r>
            <w:r>
              <w:rPr>
                <w:rFonts w:cs="宋体"/>
              </w:rPr>
              <w:t>不可信</w:t>
            </w:r>
            <w:r>
              <w:rPr>
                <w:rFonts w:cs="宋体"/>
              </w:rPr>
              <w:t>/</w:t>
            </w:r>
            <w:r>
              <w:rPr>
                <w:rFonts w:cs="宋体"/>
              </w:rPr>
              <w:t>运维区</w:t>
            </w:r>
            <w:r>
              <w:rPr>
                <w:rFonts w:cs="宋体"/>
              </w:rPr>
              <w:t>→</w:t>
            </w:r>
            <w:r>
              <w:rPr>
                <w:rFonts w:cs="宋体"/>
              </w:rPr>
              <w:t>监测管理</w:t>
            </w:r>
            <w:r>
              <w:rPr>
                <w:rFonts w:cs="宋体"/>
              </w:rPr>
              <w:t>/</w:t>
            </w:r>
            <w:r>
              <w:rPr>
                <w:rFonts w:cs="宋体"/>
              </w:rPr>
              <w:t>工单有效</w:t>
            </w:r>
          </w:p>
        </w:tc>
        <w:tc>
          <w:tcPr>
            <w:tcW w:w="0" w:type="auto"/>
          </w:tcPr>
          <w:p w14:paraId="7A6D1797" w14:textId="77777777" w:rsidR="0080633A" w:rsidRDefault="004046C4">
            <w:pPr>
              <w:pStyle w:val="affd"/>
            </w:pPr>
            <w:r>
              <w:rPr>
                <w:rFonts w:cs="宋体"/>
              </w:rPr>
              <w:t>拒绝</w:t>
            </w:r>
          </w:p>
        </w:tc>
        <w:tc>
          <w:tcPr>
            <w:tcW w:w="0" w:type="auto"/>
          </w:tcPr>
          <w:p w14:paraId="462EFB9C" w14:textId="77777777" w:rsidR="0080633A" w:rsidRDefault="004046C4">
            <w:pPr>
              <w:pStyle w:val="affd"/>
            </w:pPr>
            <w:r>
              <w:rPr>
                <w:rFonts w:cs="宋体"/>
              </w:rPr>
              <w:t>拒绝</w:t>
            </w:r>
          </w:p>
        </w:tc>
        <w:tc>
          <w:tcPr>
            <w:tcW w:w="0" w:type="auto"/>
          </w:tcPr>
          <w:p w14:paraId="13775DFA" w14:textId="77777777" w:rsidR="0080633A" w:rsidRDefault="004046C4">
            <w:pPr>
              <w:pStyle w:val="affd"/>
            </w:pPr>
            <w:r>
              <w:rPr>
                <w:rFonts w:cs="宋体"/>
              </w:rPr>
              <w:t>一致</w:t>
            </w:r>
          </w:p>
        </w:tc>
      </w:tr>
      <w:tr w:rsidR="00B75CF9" w14:paraId="615D3BFE" w14:textId="77777777" w:rsidTr="00B75CF9">
        <w:trPr>
          <w:jc w:val="center"/>
        </w:trPr>
        <w:tc>
          <w:tcPr>
            <w:tcW w:w="0" w:type="auto"/>
          </w:tcPr>
          <w:p w14:paraId="38DD6891" w14:textId="77777777" w:rsidR="0080633A" w:rsidRDefault="004046C4">
            <w:pPr>
              <w:pStyle w:val="affd"/>
            </w:pPr>
            <w:r>
              <w:rPr>
                <w:rFonts w:cs="宋体"/>
              </w:rPr>
              <w:t>T10</w:t>
            </w:r>
          </w:p>
        </w:tc>
        <w:tc>
          <w:tcPr>
            <w:tcW w:w="0" w:type="auto"/>
          </w:tcPr>
          <w:p w14:paraId="210163EF" w14:textId="77777777" w:rsidR="0080633A" w:rsidRDefault="004046C4">
            <w:pPr>
              <w:pStyle w:val="affd"/>
            </w:pPr>
            <w:r>
              <w:rPr>
                <w:rFonts w:cs="宋体"/>
              </w:rPr>
              <w:t>运维</w:t>
            </w:r>
            <w:r>
              <w:rPr>
                <w:rFonts w:cs="宋体"/>
              </w:rPr>
              <w:t>/</w:t>
            </w:r>
            <w:r>
              <w:rPr>
                <w:rFonts w:cs="宋体"/>
              </w:rPr>
              <w:t>可信</w:t>
            </w:r>
            <w:r>
              <w:rPr>
                <w:rFonts w:cs="宋体"/>
              </w:rPr>
              <w:t>/</w:t>
            </w:r>
            <w:r>
              <w:rPr>
                <w:rFonts w:cs="宋体"/>
              </w:rPr>
              <w:t>运维区</w:t>
            </w:r>
            <w:r>
              <w:rPr>
                <w:rFonts w:cs="宋体"/>
              </w:rPr>
              <w:t>→</w:t>
            </w:r>
            <w:r>
              <w:rPr>
                <w:rFonts w:cs="宋体"/>
              </w:rPr>
              <w:t>监测管理</w:t>
            </w:r>
            <w:r>
              <w:rPr>
                <w:rFonts w:cs="宋体"/>
              </w:rPr>
              <w:t>/MFA</w:t>
            </w:r>
            <w:r>
              <w:rPr>
                <w:rFonts w:cs="宋体"/>
              </w:rPr>
              <w:t>未通过</w:t>
            </w:r>
          </w:p>
        </w:tc>
        <w:tc>
          <w:tcPr>
            <w:tcW w:w="0" w:type="auto"/>
          </w:tcPr>
          <w:p w14:paraId="4D6398D2" w14:textId="77777777" w:rsidR="0080633A" w:rsidRDefault="004046C4">
            <w:pPr>
              <w:pStyle w:val="affd"/>
            </w:pPr>
            <w:r>
              <w:rPr>
                <w:rFonts w:cs="宋体"/>
              </w:rPr>
              <w:t>拒绝</w:t>
            </w:r>
          </w:p>
        </w:tc>
        <w:tc>
          <w:tcPr>
            <w:tcW w:w="0" w:type="auto"/>
          </w:tcPr>
          <w:p w14:paraId="00EA97B2" w14:textId="77777777" w:rsidR="0080633A" w:rsidRDefault="004046C4">
            <w:pPr>
              <w:pStyle w:val="affd"/>
            </w:pPr>
            <w:r>
              <w:rPr>
                <w:rFonts w:cs="宋体"/>
              </w:rPr>
              <w:t>拒绝</w:t>
            </w:r>
          </w:p>
        </w:tc>
        <w:tc>
          <w:tcPr>
            <w:tcW w:w="0" w:type="auto"/>
          </w:tcPr>
          <w:p w14:paraId="42CA2E41" w14:textId="77777777" w:rsidR="0080633A" w:rsidRDefault="004046C4">
            <w:pPr>
              <w:pStyle w:val="affd"/>
            </w:pPr>
            <w:r>
              <w:rPr>
                <w:rFonts w:cs="宋体"/>
              </w:rPr>
              <w:t>一致</w:t>
            </w:r>
          </w:p>
        </w:tc>
      </w:tr>
      <w:tr w:rsidR="00B75CF9" w14:paraId="695CF145" w14:textId="77777777" w:rsidTr="00B75CF9">
        <w:trPr>
          <w:jc w:val="center"/>
        </w:trPr>
        <w:tc>
          <w:tcPr>
            <w:tcW w:w="0" w:type="auto"/>
          </w:tcPr>
          <w:p w14:paraId="50D37669" w14:textId="77777777" w:rsidR="0080633A" w:rsidRDefault="004046C4">
            <w:pPr>
              <w:pStyle w:val="affd"/>
            </w:pPr>
            <w:r>
              <w:rPr>
                <w:rFonts w:cs="宋体"/>
              </w:rPr>
              <w:t>T11</w:t>
            </w:r>
          </w:p>
        </w:tc>
        <w:tc>
          <w:tcPr>
            <w:tcW w:w="0" w:type="auto"/>
          </w:tcPr>
          <w:p w14:paraId="5B726CA4" w14:textId="77777777" w:rsidR="0080633A" w:rsidRDefault="004046C4">
            <w:pPr>
              <w:pStyle w:val="affd"/>
            </w:pPr>
            <w:r>
              <w:rPr>
                <w:rFonts w:cs="宋体"/>
              </w:rPr>
              <w:t>查询终端</w:t>
            </w:r>
            <w:r>
              <w:rPr>
                <w:rFonts w:cs="宋体"/>
              </w:rPr>
              <w:t>/</w:t>
            </w:r>
            <w:r>
              <w:rPr>
                <w:rFonts w:cs="宋体"/>
              </w:rPr>
              <w:t>可信</w:t>
            </w:r>
            <w:r>
              <w:rPr>
                <w:rFonts w:cs="宋体"/>
              </w:rPr>
              <w:t>/</w:t>
            </w:r>
            <w:r>
              <w:rPr>
                <w:rFonts w:cs="宋体"/>
              </w:rPr>
              <w:t>客运</w:t>
            </w:r>
            <w:r>
              <w:rPr>
                <w:rFonts w:cs="宋体"/>
              </w:rPr>
              <w:t>→</w:t>
            </w:r>
            <w:r>
              <w:rPr>
                <w:rFonts w:cs="宋体"/>
              </w:rPr>
              <w:t>旅客查询服务</w:t>
            </w:r>
            <w:r>
              <w:rPr>
                <w:rFonts w:cs="宋体"/>
              </w:rPr>
              <w:t>/</w:t>
            </w:r>
            <w:r>
              <w:rPr>
                <w:rFonts w:cs="宋体"/>
              </w:rPr>
              <w:t>证书有效</w:t>
            </w:r>
          </w:p>
        </w:tc>
        <w:tc>
          <w:tcPr>
            <w:tcW w:w="0" w:type="auto"/>
          </w:tcPr>
          <w:p w14:paraId="4FBEA8E4" w14:textId="77777777" w:rsidR="0080633A" w:rsidRDefault="004046C4">
            <w:pPr>
              <w:pStyle w:val="affd"/>
            </w:pPr>
            <w:r>
              <w:rPr>
                <w:rFonts w:cs="宋体"/>
              </w:rPr>
              <w:t>允许</w:t>
            </w:r>
          </w:p>
        </w:tc>
        <w:tc>
          <w:tcPr>
            <w:tcW w:w="0" w:type="auto"/>
          </w:tcPr>
          <w:p w14:paraId="60622072" w14:textId="77777777" w:rsidR="0080633A" w:rsidRDefault="004046C4">
            <w:pPr>
              <w:pStyle w:val="affd"/>
            </w:pPr>
            <w:r>
              <w:rPr>
                <w:rFonts w:cs="宋体"/>
              </w:rPr>
              <w:t>允许</w:t>
            </w:r>
          </w:p>
        </w:tc>
        <w:tc>
          <w:tcPr>
            <w:tcW w:w="0" w:type="auto"/>
          </w:tcPr>
          <w:p w14:paraId="2F83ABA7" w14:textId="77777777" w:rsidR="0080633A" w:rsidRDefault="004046C4">
            <w:pPr>
              <w:pStyle w:val="affd"/>
            </w:pPr>
            <w:r>
              <w:rPr>
                <w:rFonts w:cs="宋体"/>
              </w:rPr>
              <w:t>一致</w:t>
            </w:r>
          </w:p>
        </w:tc>
      </w:tr>
      <w:tr w:rsidR="00B75CF9" w14:paraId="02A4FE99" w14:textId="77777777" w:rsidTr="00B75CF9">
        <w:trPr>
          <w:jc w:val="center"/>
        </w:trPr>
        <w:tc>
          <w:tcPr>
            <w:tcW w:w="0" w:type="auto"/>
          </w:tcPr>
          <w:p w14:paraId="2DA0C879" w14:textId="77777777" w:rsidR="0080633A" w:rsidRDefault="004046C4">
            <w:pPr>
              <w:pStyle w:val="affd"/>
            </w:pPr>
            <w:r>
              <w:rPr>
                <w:rFonts w:cs="宋体"/>
              </w:rPr>
              <w:t>T12</w:t>
            </w:r>
          </w:p>
        </w:tc>
        <w:tc>
          <w:tcPr>
            <w:tcW w:w="0" w:type="auto"/>
          </w:tcPr>
          <w:p w14:paraId="0C378CB9" w14:textId="77777777" w:rsidR="0080633A" w:rsidRDefault="004046C4">
            <w:pPr>
              <w:pStyle w:val="affd"/>
            </w:pPr>
            <w:r>
              <w:rPr>
                <w:rFonts w:cs="宋体"/>
              </w:rPr>
              <w:t>服务作业终端</w:t>
            </w:r>
            <w:r>
              <w:rPr>
                <w:rFonts w:cs="宋体"/>
              </w:rPr>
              <w:t>/</w:t>
            </w:r>
            <w:r>
              <w:rPr>
                <w:rFonts w:cs="宋体"/>
              </w:rPr>
              <w:t>可信</w:t>
            </w:r>
            <w:r>
              <w:rPr>
                <w:rFonts w:cs="宋体"/>
              </w:rPr>
              <w:t>/</w:t>
            </w:r>
            <w:r>
              <w:rPr>
                <w:rFonts w:cs="宋体"/>
              </w:rPr>
              <w:t>客运</w:t>
            </w:r>
            <w:r>
              <w:rPr>
                <w:rFonts w:cs="宋体"/>
              </w:rPr>
              <w:t>→</w:t>
            </w:r>
            <w:r>
              <w:rPr>
                <w:rFonts w:cs="宋体"/>
              </w:rPr>
              <w:t>服务作业系统</w:t>
            </w:r>
            <w:r>
              <w:rPr>
                <w:rFonts w:cs="宋体"/>
              </w:rPr>
              <w:t>/</w:t>
            </w:r>
            <w:r>
              <w:rPr>
                <w:rFonts w:cs="宋体"/>
              </w:rPr>
              <w:t>证书有效</w:t>
            </w:r>
          </w:p>
        </w:tc>
        <w:tc>
          <w:tcPr>
            <w:tcW w:w="0" w:type="auto"/>
          </w:tcPr>
          <w:p w14:paraId="4A1E429D" w14:textId="77777777" w:rsidR="0080633A" w:rsidRDefault="004046C4">
            <w:pPr>
              <w:pStyle w:val="affd"/>
            </w:pPr>
            <w:r>
              <w:rPr>
                <w:rFonts w:cs="宋体"/>
              </w:rPr>
              <w:t>允许</w:t>
            </w:r>
          </w:p>
        </w:tc>
        <w:tc>
          <w:tcPr>
            <w:tcW w:w="0" w:type="auto"/>
          </w:tcPr>
          <w:p w14:paraId="05EE5DBA" w14:textId="77777777" w:rsidR="0080633A" w:rsidRDefault="004046C4">
            <w:pPr>
              <w:pStyle w:val="affd"/>
            </w:pPr>
            <w:r>
              <w:rPr>
                <w:rFonts w:cs="宋体"/>
              </w:rPr>
              <w:t>允许</w:t>
            </w:r>
          </w:p>
        </w:tc>
        <w:tc>
          <w:tcPr>
            <w:tcW w:w="0" w:type="auto"/>
          </w:tcPr>
          <w:p w14:paraId="248E5022" w14:textId="77777777" w:rsidR="0080633A" w:rsidRDefault="004046C4">
            <w:pPr>
              <w:pStyle w:val="affd"/>
            </w:pPr>
            <w:r>
              <w:rPr>
                <w:rFonts w:cs="宋体"/>
              </w:rPr>
              <w:t>一致</w:t>
            </w:r>
          </w:p>
        </w:tc>
      </w:tr>
      <w:tr w:rsidR="00B75CF9" w14:paraId="0FCD35DF" w14:textId="77777777" w:rsidTr="00B75CF9">
        <w:trPr>
          <w:jc w:val="center"/>
        </w:trPr>
        <w:tc>
          <w:tcPr>
            <w:tcW w:w="0" w:type="auto"/>
          </w:tcPr>
          <w:p w14:paraId="0EC7E9AF" w14:textId="77777777" w:rsidR="0080633A" w:rsidRDefault="004046C4">
            <w:pPr>
              <w:pStyle w:val="affd"/>
            </w:pPr>
            <w:r>
              <w:rPr>
                <w:rFonts w:cs="宋体"/>
              </w:rPr>
              <w:t>T13</w:t>
            </w:r>
          </w:p>
        </w:tc>
        <w:tc>
          <w:tcPr>
            <w:tcW w:w="0" w:type="auto"/>
          </w:tcPr>
          <w:p w14:paraId="265C9799" w14:textId="77777777" w:rsidR="0080633A" w:rsidRDefault="004046C4">
            <w:pPr>
              <w:pStyle w:val="affd"/>
            </w:pPr>
            <w:r>
              <w:rPr>
                <w:rFonts w:cs="宋体"/>
              </w:rPr>
              <w:t>办公终端</w:t>
            </w:r>
            <w:r>
              <w:rPr>
                <w:rFonts w:cs="宋体"/>
              </w:rPr>
              <w:t>/</w:t>
            </w:r>
            <w:r>
              <w:rPr>
                <w:rFonts w:cs="宋体"/>
              </w:rPr>
              <w:t>可信</w:t>
            </w:r>
            <w:r>
              <w:rPr>
                <w:rFonts w:cs="宋体"/>
              </w:rPr>
              <w:t>/</w:t>
            </w:r>
            <w:r>
              <w:rPr>
                <w:rFonts w:cs="宋体"/>
              </w:rPr>
              <w:t>办公区</w:t>
            </w:r>
            <w:r>
              <w:rPr>
                <w:rFonts w:cs="宋体"/>
              </w:rPr>
              <w:t>→</w:t>
            </w:r>
            <w:r>
              <w:rPr>
                <w:rFonts w:cs="宋体"/>
              </w:rPr>
              <w:t>办公协同系统</w:t>
            </w:r>
            <w:r>
              <w:rPr>
                <w:rFonts w:cs="宋体"/>
              </w:rPr>
              <w:t>/</w:t>
            </w:r>
            <w:r>
              <w:rPr>
                <w:rFonts w:cs="宋体"/>
              </w:rPr>
              <w:t>证书有效</w:t>
            </w:r>
          </w:p>
        </w:tc>
        <w:tc>
          <w:tcPr>
            <w:tcW w:w="0" w:type="auto"/>
          </w:tcPr>
          <w:p w14:paraId="49309BD4" w14:textId="77777777" w:rsidR="0080633A" w:rsidRDefault="004046C4">
            <w:pPr>
              <w:pStyle w:val="affd"/>
            </w:pPr>
            <w:r>
              <w:rPr>
                <w:rFonts w:cs="宋体"/>
              </w:rPr>
              <w:t>允许</w:t>
            </w:r>
          </w:p>
        </w:tc>
        <w:tc>
          <w:tcPr>
            <w:tcW w:w="0" w:type="auto"/>
          </w:tcPr>
          <w:p w14:paraId="68D6E649" w14:textId="77777777" w:rsidR="0080633A" w:rsidRDefault="004046C4">
            <w:pPr>
              <w:pStyle w:val="affd"/>
            </w:pPr>
            <w:r>
              <w:rPr>
                <w:rFonts w:cs="宋体"/>
              </w:rPr>
              <w:t>允许</w:t>
            </w:r>
          </w:p>
        </w:tc>
        <w:tc>
          <w:tcPr>
            <w:tcW w:w="0" w:type="auto"/>
          </w:tcPr>
          <w:p w14:paraId="174D694C" w14:textId="77777777" w:rsidR="0080633A" w:rsidRDefault="004046C4">
            <w:pPr>
              <w:pStyle w:val="affd"/>
            </w:pPr>
            <w:r>
              <w:rPr>
                <w:rFonts w:cs="宋体"/>
              </w:rPr>
              <w:t>一致</w:t>
            </w:r>
          </w:p>
        </w:tc>
      </w:tr>
      <w:tr w:rsidR="00B75CF9" w14:paraId="4F637993" w14:textId="77777777" w:rsidTr="00B75CF9">
        <w:trPr>
          <w:jc w:val="center"/>
        </w:trPr>
        <w:tc>
          <w:tcPr>
            <w:tcW w:w="0" w:type="auto"/>
          </w:tcPr>
          <w:p w14:paraId="4E985466" w14:textId="77777777" w:rsidR="0080633A" w:rsidRDefault="004046C4">
            <w:pPr>
              <w:pStyle w:val="affd"/>
            </w:pPr>
            <w:r>
              <w:rPr>
                <w:rFonts w:cs="宋体"/>
              </w:rPr>
              <w:t>T14</w:t>
            </w:r>
          </w:p>
        </w:tc>
        <w:tc>
          <w:tcPr>
            <w:tcW w:w="0" w:type="auto"/>
          </w:tcPr>
          <w:p w14:paraId="44EAA339" w14:textId="77777777" w:rsidR="0080633A" w:rsidRDefault="004046C4">
            <w:pPr>
              <w:pStyle w:val="affd"/>
            </w:pPr>
            <w:r>
              <w:rPr>
                <w:rFonts w:cs="宋体"/>
              </w:rPr>
              <w:t>监控终端</w:t>
            </w:r>
            <w:r>
              <w:rPr>
                <w:rFonts w:cs="宋体"/>
              </w:rPr>
              <w:t>/</w:t>
            </w:r>
            <w:r>
              <w:rPr>
                <w:rFonts w:cs="宋体"/>
              </w:rPr>
              <w:t>可信</w:t>
            </w:r>
            <w:r>
              <w:rPr>
                <w:rFonts w:cs="宋体"/>
              </w:rPr>
              <w:t>/</w:t>
            </w:r>
            <w:r>
              <w:rPr>
                <w:rFonts w:cs="宋体"/>
              </w:rPr>
              <w:t>客运</w:t>
            </w:r>
            <w:r>
              <w:rPr>
                <w:rFonts w:cs="宋体"/>
              </w:rPr>
              <w:t>→</w:t>
            </w:r>
            <w:r>
              <w:rPr>
                <w:rFonts w:cs="宋体"/>
              </w:rPr>
              <w:t>视频监控调阅</w:t>
            </w:r>
            <w:r>
              <w:rPr>
                <w:rFonts w:cs="宋体"/>
              </w:rPr>
              <w:t>/</w:t>
            </w:r>
            <w:r>
              <w:rPr>
                <w:rFonts w:cs="宋体"/>
              </w:rPr>
              <w:t>证书有效</w:t>
            </w:r>
          </w:p>
        </w:tc>
        <w:tc>
          <w:tcPr>
            <w:tcW w:w="0" w:type="auto"/>
          </w:tcPr>
          <w:p w14:paraId="78849732" w14:textId="77777777" w:rsidR="0080633A" w:rsidRDefault="004046C4">
            <w:pPr>
              <w:pStyle w:val="affd"/>
            </w:pPr>
            <w:r>
              <w:rPr>
                <w:rFonts w:cs="宋体"/>
              </w:rPr>
              <w:t>允许</w:t>
            </w:r>
          </w:p>
        </w:tc>
        <w:tc>
          <w:tcPr>
            <w:tcW w:w="0" w:type="auto"/>
          </w:tcPr>
          <w:p w14:paraId="11A96309" w14:textId="77777777" w:rsidR="0080633A" w:rsidRDefault="004046C4">
            <w:pPr>
              <w:pStyle w:val="affd"/>
            </w:pPr>
            <w:r>
              <w:rPr>
                <w:rFonts w:cs="宋体"/>
              </w:rPr>
              <w:t>允许</w:t>
            </w:r>
          </w:p>
        </w:tc>
        <w:tc>
          <w:tcPr>
            <w:tcW w:w="0" w:type="auto"/>
          </w:tcPr>
          <w:p w14:paraId="2A490C24" w14:textId="77777777" w:rsidR="0080633A" w:rsidRDefault="004046C4">
            <w:pPr>
              <w:pStyle w:val="affd"/>
            </w:pPr>
            <w:r>
              <w:rPr>
                <w:rFonts w:cs="宋体"/>
              </w:rPr>
              <w:t>一致</w:t>
            </w:r>
            <w:bookmarkEnd w:id="105"/>
          </w:p>
        </w:tc>
      </w:tr>
    </w:tbl>
    <w:p w14:paraId="363BD498" w14:textId="77777777" w:rsidR="00B75CF9" w:rsidRDefault="00B75CF9">
      <w:pPr>
        <w:sectPr w:rsidR="00B75CF9" w:rsidSect="000A6557">
          <w:endnotePr>
            <w:numFmt w:val="decimal"/>
          </w:endnotePr>
          <w:type w:val="continuous"/>
          <w:pgSz w:w="11906" w:h="16838" w:code="9"/>
          <w:pgMar w:top="1701" w:right="1134" w:bottom="1134" w:left="1134" w:header="992" w:footer="851" w:gutter="0"/>
          <w:cols w:space="420"/>
          <w:docGrid w:type="linesAndChars" w:linePitch="312"/>
        </w:sectPr>
      </w:pPr>
    </w:p>
    <w:p w14:paraId="30579D0B" w14:textId="77777777" w:rsidR="00B75CF9" w:rsidRDefault="004046C4">
      <w:pPr>
        <w:pStyle w:val="afe"/>
        <w:ind w:firstLine="420"/>
        <w:sectPr w:rsidR="00B75CF9" w:rsidSect="000A6557">
          <w:endnotePr>
            <w:numFmt w:val="decimal"/>
          </w:endnotePr>
          <w:type w:val="continuous"/>
          <w:pgSz w:w="11906" w:h="16838" w:code="9"/>
          <w:pgMar w:top="1701" w:right="1134" w:bottom="1134" w:left="1134" w:header="992" w:footer="851" w:gutter="0"/>
          <w:cols w:num="2" w:space="420"/>
          <w:docGrid w:type="linesAndChars" w:linePitch="312"/>
        </w:sectPr>
      </w:pPr>
      <w:bookmarkStart w:id="106" w:name="正文段落_怀疑_45"/>
      <w:r>
        <w:t>（</w:t>
      </w:r>
      <w:r>
        <w:t>3</w:t>
      </w:r>
      <w:r>
        <w:t>）检查结果与分析。</w:t>
      </w:r>
      <w:r>
        <w:t>14</w:t>
      </w:r>
      <w:r>
        <w:t>组基础测试输出与预</w:t>
      </w:r>
      <w:r>
        <w:t>设结果一致，包括允许</w:t>
      </w:r>
      <w:r>
        <w:t>5</w:t>
      </w:r>
      <w:r>
        <w:t>组、受限允许</w:t>
      </w:r>
      <w:r>
        <w:t>3</w:t>
      </w:r>
      <w:r>
        <w:t>组、拒绝</w:t>
      </w:r>
      <w:r>
        <w:t>6</w:t>
      </w:r>
      <w:r>
        <w:t>组，</w:t>
      </w:r>
      <w:r>
        <w:lastRenderedPageBreak/>
        <w:t>其中新增的正例覆盖旅客查询、服务作业、办公协同和视频监控等不同角色与服务，表中</w:t>
      </w:r>
      <w:r>
        <w:t>4</w:t>
      </w:r>
      <w:r>
        <w:t>组白名单场景（</w:t>
      </w:r>
      <w:r>
        <w:t>T01</w:t>
      </w:r>
      <w:r>
        <w:t>、</w:t>
      </w:r>
      <w:r>
        <w:t>T11—T14</w:t>
      </w:r>
      <w:r>
        <w:t>）均被正确放行；</w:t>
      </w:r>
      <w:r>
        <w:t>1</w:t>
      </w:r>
      <w:r>
        <w:t>1</w:t>
      </w:r>
      <w:r>
        <w:t>组边界测试覆盖凭据撤销、未知角色、终端可信状态变化、工单失效、多因素认证失败、越权访问及数据级别变化等条件，其中包含允许</w:t>
      </w:r>
      <w:r>
        <w:t>1</w:t>
      </w:r>
      <w:r>
        <w:t>组（</w:t>
      </w:r>
      <w:r>
        <w:t>B11</w:t>
      </w:r>
      <w:r>
        <w:t>）、受限允许</w:t>
      </w:r>
      <w:r>
        <w:t>2</w:t>
      </w:r>
      <w:r>
        <w:t>组（</w:t>
      </w:r>
      <w:r>
        <w:t>B07</w:t>
      </w:r>
      <w:r>
        <w:t>、</w:t>
      </w:r>
      <w:r>
        <w:t>B10</w:t>
      </w:r>
      <w:r>
        <w:t>）、拒绝</w:t>
      </w:r>
      <w:r>
        <w:t>8</w:t>
      </w:r>
      <w:r>
        <w:t>组（</w:t>
      </w:r>
      <w:r>
        <w:t>B01–B06</w:t>
      </w:r>
      <w:r>
        <w:t>、</w:t>
      </w:r>
      <w:r>
        <w:t>B08</w:t>
      </w:r>
      <w:r>
        <w:t>、</w:t>
      </w:r>
      <w:r>
        <w:t>B09</w:t>
      </w:r>
      <w:r>
        <w:t>），</w:t>
      </w:r>
      <w:r>
        <w:t>结果均符合预期。合计</w:t>
      </w:r>
      <w:r>
        <w:t>25</w:t>
      </w:r>
      <w:r>
        <w:t>组测试全部得到预设决策，其中允许</w:t>
      </w:r>
      <w:r>
        <w:t>6</w:t>
      </w:r>
      <w:r>
        <w:t>组、受限允许</w:t>
      </w:r>
      <w:r>
        <w:t>5</w:t>
      </w:r>
      <w:r>
        <w:t>组、拒绝</w:t>
      </w:r>
      <w:r>
        <w:t>14</w:t>
      </w:r>
      <w:r>
        <w:t>组。</w:t>
      </w:r>
      <w:r>
        <w:t>B07</w:t>
      </w:r>
      <w:r>
        <w:t>与</w:t>
      </w:r>
      <w:r>
        <w:t>B08</w:t>
      </w:r>
      <w:r>
        <w:t>使用相同业务请求、不同工单状态，展示了上下文属性变化对访问判定的影响。结果表明，该策略原型能够在给定模拟场景下执行三类决策，并对典型禁止性条件和动态属性作出一致响应。据此统计，</w:t>
      </w:r>
      <w:r>
        <w:t>25</w:t>
      </w:r>
      <w:r>
        <w:t>组测试的判定一致</w:t>
      </w:r>
      <w:r>
        <w:t>性率为</w:t>
      </w:r>
      <w:r>
        <w:t>100%</w:t>
      </w:r>
      <w:r>
        <w:t>（</w:t>
      </w:r>
      <w:r>
        <w:t>25/25</w:t>
      </w:r>
      <w:r>
        <w:t>）。</w:t>
      </w:r>
      <w:bookmarkEnd w:id="106"/>
    </w:p>
    <w:p w14:paraId="2C306FF6" w14:textId="77777777" w:rsidR="00B75CF9" w:rsidRDefault="004046C4">
      <w:pPr>
        <w:pStyle w:val="afffc"/>
        <w:keepNext/>
        <w:keepLines/>
      </w:pPr>
      <w:bookmarkStart w:id="107" w:name="中文表序_6"/>
      <w:bookmarkStart w:id="108" w:name="中文表题_12"/>
      <w:r>
        <w:t>表</w:t>
      </w:r>
      <w:r>
        <w:t>6</w:t>
      </w:r>
      <w:bookmarkEnd w:id="107"/>
      <w:r>
        <w:rPr>
          <w:b w:val="0"/>
        </w:rPr>
        <w:t xml:space="preserve"> </w:t>
      </w:r>
      <w:r>
        <w:rPr>
          <w:b w:val="0"/>
        </w:rPr>
        <w:t>传统三元组策略与本方案策略判定对比</w:t>
      </w:r>
      <w:bookmarkEnd w:id="108"/>
    </w:p>
    <w:tbl>
      <w:tblPr>
        <w:tblStyle w:val="affff5"/>
        <w:tblW w:w="5000" w:type="pct"/>
        <w:jc w:val="center"/>
        <w:tblInd w:w="0" w:type="dxa"/>
        <w:tblLook w:val="04A0" w:firstRow="1" w:lastRow="0" w:firstColumn="1" w:lastColumn="0" w:noHBand="0" w:noVBand="1"/>
      </w:tblPr>
      <w:tblGrid>
        <w:gridCol w:w="4548"/>
        <w:gridCol w:w="1087"/>
        <w:gridCol w:w="785"/>
        <w:gridCol w:w="3218"/>
      </w:tblGrid>
      <w:tr w:rsidR="00B75CF9" w14:paraId="5D9D062F" w14:textId="77777777" w:rsidTr="00B75CF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943F659" w14:textId="77777777" w:rsidR="0080633A" w:rsidRDefault="004046C4">
            <w:pPr>
              <w:pStyle w:val="affd"/>
            </w:pPr>
            <w:r>
              <w:rPr>
                <w:rFonts w:cs="宋体"/>
              </w:rPr>
              <w:t>访问场景</w:t>
            </w:r>
            <w:bookmarkStart w:id="109" w:name="表格_6"/>
          </w:p>
        </w:tc>
        <w:tc>
          <w:tcPr>
            <w:tcW w:w="0" w:type="auto"/>
          </w:tcPr>
          <w:p w14:paraId="1F4EA733" w14:textId="77777777" w:rsidR="0080633A" w:rsidRDefault="004046C4">
            <w:pPr>
              <w:pStyle w:val="affd"/>
            </w:pPr>
            <w:r>
              <w:rPr>
                <w:rFonts w:cs="宋体"/>
              </w:rPr>
              <w:t>传统三元组策略</w:t>
            </w:r>
          </w:p>
        </w:tc>
        <w:tc>
          <w:tcPr>
            <w:tcW w:w="0" w:type="auto"/>
          </w:tcPr>
          <w:p w14:paraId="27711477" w14:textId="77777777" w:rsidR="0080633A" w:rsidRDefault="004046C4">
            <w:pPr>
              <w:pStyle w:val="affd"/>
            </w:pPr>
            <w:r>
              <w:rPr>
                <w:rFonts w:cs="宋体"/>
              </w:rPr>
              <w:t>本方案策略</w:t>
            </w:r>
          </w:p>
        </w:tc>
        <w:tc>
          <w:tcPr>
            <w:tcW w:w="0" w:type="auto"/>
          </w:tcPr>
          <w:p w14:paraId="382AD0E7" w14:textId="77777777" w:rsidR="0080633A" w:rsidRDefault="004046C4">
            <w:pPr>
              <w:pStyle w:val="affd"/>
            </w:pPr>
            <w:r>
              <w:rPr>
                <w:rFonts w:cs="宋体"/>
              </w:rPr>
              <w:t>差异说明</w:t>
            </w:r>
          </w:p>
        </w:tc>
      </w:tr>
      <w:tr w:rsidR="00B75CF9" w14:paraId="70E71E91" w14:textId="77777777" w:rsidTr="00B75CF9">
        <w:trPr>
          <w:jc w:val="center"/>
        </w:trPr>
        <w:tc>
          <w:tcPr>
            <w:tcW w:w="0" w:type="auto"/>
          </w:tcPr>
          <w:p w14:paraId="6C0311DD" w14:textId="77777777" w:rsidR="0080633A" w:rsidRDefault="004046C4">
            <w:pPr>
              <w:pStyle w:val="affd"/>
            </w:pPr>
            <w:r>
              <w:rPr>
                <w:rFonts w:cs="宋体"/>
              </w:rPr>
              <w:t>合法检票终端访问客票接口（证书有效）</w:t>
            </w:r>
          </w:p>
        </w:tc>
        <w:tc>
          <w:tcPr>
            <w:tcW w:w="0" w:type="auto"/>
          </w:tcPr>
          <w:p w14:paraId="4CD12E7D" w14:textId="77777777" w:rsidR="0080633A" w:rsidRDefault="004046C4">
            <w:pPr>
              <w:pStyle w:val="affd"/>
            </w:pPr>
            <w:r>
              <w:rPr>
                <w:rFonts w:cs="宋体"/>
              </w:rPr>
              <w:t>允许</w:t>
            </w:r>
          </w:p>
        </w:tc>
        <w:tc>
          <w:tcPr>
            <w:tcW w:w="0" w:type="auto"/>
          </w:tcPr>
          <w:p w14:paraId="0FF15E22" w14:textId="77777777" w:rsidR="0080633A" w:rsidRDefault="004046C4">
            <w:pPr>
              <w:pStyle w:val="affd"/>
            </w:pPr>
            <w:r>
              <w:rPr>
                <w:rFonts w:cs="宋体"/>
              </w:rPr>
              <w:t>允许</w:t>
            </w:r>
          </w:p>
        </w:tc>
        <w:tc>
          <w:tcPr>
            <w:tcW w:w="0" w:type="auto"/>
          </w:tcPr>
          <w:p w14:paraId="39B50755" w14:textId="77777777" w:rsidR="0080633A" w:rsidRDefault="004046C4">
            <w:pPr>
              <w:pStyle w:val="affd"/>
            </w:pPr>
            <w:r>
              <w:rPr>
                <w:rFonts w:cs="宋体"/>
              </w:rPr>
              <w:t>正常业务，两者一致</w:t>
            </w:r>
          </w:p>
        </w:tc>
      </w:tr>
      <w:tr w:rsidR="00B75CF9" w14:paraId="50A8BC51" w14:textId="77777777" w:rsidTr="00B75CF9">
        <w:trPr>
          <w:jc w:val="center"/>
        </w:trPr>
        <w:tc>
          <w:tcPr>
            <w:tcW w:w="0" w:type="auto"/>
          </w:tcPr>
          <w:p w14:paraId="6D8CA6F2" w14:textId="77777777" w:rsidR="0080633A" w:rsidRDefault="004046C4">
            <w:pPr>
              <w:pStyle w:val="affd"/>
            </w:pPr>
            <w:r>
              <w:rPr>
                <w:rFonts w:cs="宋体"/>
              </w:rPr>
              <w:t>检票终端身份被冒用后越域访问办公资源（源</w:t>
            </w:r>
            <w:r>
              <w:rPr>
                <w:rFonts w:cs="宋体"/>
              </w:rPr>
              <w:t>IP/</w:t>
            </w:r>
            <w:r>
              <w:rPr>
                <w:rFonts w:cs="宋体"/>
              </w:rPr>
              <w:t>端口在白名单内）</w:t>
            </w:r>
          </w:p>
        </w:tc>
        <w:tc>
          <w:tcPr>
            <w:tcW w:w="0" w:type="auto"/>
          </w:tcPr>
          <w:p w14:paraId="47ED7EEF" w14:textId="77777777" w:rsidR="0080633A" w:rsidRDefault="004046C4">
            <w:pPr>
              <w:pStyle w:val="affd"/>
            </w:pPr>
            <w:r>
              <w:rPr>
                <w:rFonts w:cs="宋体"/>
              </w:rPr>
              <w:t>允许</w:t>
            </w:r>
          </w:p>
        </w:tc>
        <w:tc>
          <w:tcPr>
            <w:tcW w:w="0" w:type="auto"/>
          </w:tcPr>
          <w:p w14:paraId="7D2B7BC0" w14:textId="77777777" w:rsidR="0080633A" w:rsidRDefault="004046C4">
            <w:pPr>
              <w:pStyle w:val="affd"/>
            </w:pPr>
            <w:r>
              <w:rPr>
                <w:rFonts w:cs="宋体"/>
              </w:rPr>
              <w:t>拒绝</w:t>
            </w:r>
          </w:p>
        </w:tc>
        <w:tc>
          <w:tcPr>
            <w:tcW w:w="0" w:type="auto"/>
          </w:tcPr>
          <w:p w14:paraId="0837684B" w14:textId="77777777" w:rsidR="0080633A" w:rsidRDefault="004046C4">
            <w:pPr>
              <w:pStyle w:val="affd"/>
            </w:pPr>
            <w:r>
              <w:rPr>
                <w:rFonts w:cs="宋体"/>
              </w:rPr>
              <w:t>本方案识别身份</w:t>
            </w:r>
            <w:r>
              <w:rPr>
                <w:rFonts w:cs="宋体"/>
              </w:rPr>
              <w:t>—</w:t>
            </w:r>
            <w:r>
              <w:rPr>
                <w:rFonts w:cs="宋体"/>
              </w:rPr>
              <w:t>区域</w:t>
            </w:r>
            <w:r>
              <w:rPr>
                <w:rFonts w:cs="宋体"/>
              </w:rPr>
              <w:t>—</w:t>
            </w:r>
            <w:r>
              <w:rPr>
                <w:rFonts w:cs="宋体"/>
              </w:rPr>
              <w:t>服务不匹配，阻断越域</w:t>
            </w:r>
          </w:p>
        </w:tc>
      </w:tr>
      <w:tr w:rsidR="00B75CF9" w14:paraId="7967C9AC" w14:textId="77777777" w:rsidTr="00B75CF9">
        <w:trPr>
          <w:jc w:val="center"/>
        </w:trPr>
        <w:tc>
          <w:tcPr>
            <w:tcW w:w="0" w:type="auto"/>
          </w:tcPr>
          <w:p w14:paraId="744D5CAB" w14:textId="77777777" w:rsidR="0080633A" w:rsidRDefault="004046C4">
            <w:pPr>
              <w:pStyle w:val="affd"/>
            </w:pPr>
            <w:r>
              <w:rPr>
                <w:rFonts w:cs="宋体"/>
              </w:rPr>
              <w:t>终端需修复仍访问客票业务（</w:t>
            </w:r>
            <w:r>
              <w:rPr>
                <w:rFonts w:cs="宋体"/>
              </w:rPr>
              <w:t>IP/</w:t>
            </w:r>
            <w:r>
              <w:rPr>
                <w:rFonts w:cs="宋体"/>
              </w:rPr>
              <w:t>端口在网内）</w:t>
            </w:r>
          </w:p>
        </w:tc>
        <w:tc>
          <w:tcPr>
            <w:tcW w:w="0" w:type="auto"/>
          </w:tcPr>
          <w:p w14:paraId="56E905E1" w14:textId="77777777" w:rsidR="0080633A" w:rsidRDefault="004046C4">
            <w:pPr>
              <w:pStyle w:val="affd"/>
            </w:pPr>
            <w:r>
              <w:rPr>
                <w:rFonts w:cs="宋体"/>
              </w:rPr>
              <w:t>允许</w:t>
            </w:r>
          </w:p>
        </w:tc>
        <w:tc>
          <w:tcPr>
            <w:tcW w:w="0" w:type="auto"/>
          </w:tcPr>
          <w:p w14:paraId="44936905" w14:textId="77777777" w:rsidR="0080633A" w:rsidRDefault="004046C4">
            <w:pPr>
              <w:pStyle w:val="affd"/>
            </w:pPr>
            <w:r>
              <w:rPr>
                <w:rFonts w:cs="宋体"/>
              </w:rPr>
              <w:t>受限允许</w:t>
            </w:r>
          </w:p>
        </w:tc>
        <w:tc>
          <w:tcPr>
            <w:tcW w:w="0" w:type="auto"/>
          </w:tcPr>
          <w:p w14:paraId="6630CE50" w14:textId="77777777" w:rsidR="0080633A" w:rsidRDefault="004046C4">
            <w:pPr>
              <w:pStyle w:val="affd"/>
            </w:pPr>
            <w:r>
              <w:rPr>
                <w:rFonts w:cs="宋体"/>
              </w:rPr>
              <w:t>本方案依据终端状态仅开放修复服务</w:t>
            </w:r>
          </w:p>
        </w:tc>
      </w:tr>
      <w:tr w:rsidR="00B75CF9" w14:paraId="314FA76A" w14:textId="77777777" w:rsidTr="00B75CF9">
        <w:trPr>
          <w:jc w:val="center"/>
        </w:trPr>
        <w:tc>
          <w:tcPr>
            <w:tcW w:w="0" w:type="auto"/>
          </w:tcPr>
          <w:p w14:paraId="1DB0B9EE" w14:textId="77777777" w:rsidR="0080633A" w:rsidRDefault="004046C4">
            <w:pPr>
              <w:pStyle w:val="affd"/>
            </w:pPr>
            <w:r>
              <w:rPr>
                <w:rFonts w:cs="宋体"/>
              </w:rPr>
              <w:t>移动运维终端访问管理接口（工单有效、</w:t>
            </w:r>
            <w:r>
              <w:rPr>
                <w:rFonts w:cs="宋体"/>
              </w:rPr>
              <w:t>MFA</w:t>
            </w:r>
            <w:r>
              <w:rPr>
                <w:rFonts w:cs="宋体"/>
              </w:rPr>
              <w:t>通过）</w:t>
            </w:r>
          </w:p>
        </w:tc>
        <w:tc>
          <w:tcPr>
            <w:tcW w:w="0" w:type="auto"/>
          </w:tcPr>
          <w:p w14:paraId="1FD9AF69" w14:textId="77777777" w:rsidR="0080633A" w:rsidRDefault="004046C4">
            <w:pPr>
              <w:pStyle w:val="affd"/>
            </w:pPr>
            <w:r>
              <w:rPr>
                <w:rFonts w:cs="宋体"/>
              </w:rPr>
              <w:t>允许</w:t>
            </w:r>
          </w:p>
        </w:tc>
        <w:tc>
          <w:tcPr>
            <w:tcW w:w="0" w:type="auto"/>
          </w:tcPr>
          <w:p w14:paraId="7D2B21B6" w14:textId="77777777" w:rsidR="0080633A" w:rsidRDefault="004046C4">
            <w:pPr>
              <w:pStyle w:val="affd"/>
            </w:pPr>
            <w:r>
              <w:rPr>
                <w:rFonts w:cs="宋体"/>
              </w:rPr>
              <w:t>受限允许</w:t>
            </w:r>
          </w:p>
        </w:tc>
        <w:tc>
          <w:tcPr>
            <w:tcW w:w="0" w:type="auto"/>
          </w:tcPr>
          <w:p w14:paraId="7AB949C3" w14:textId="77777777" w:rsidR="0080633A" w:rsidRDefault="004046C4">
            <w:pPr>
              <w:pStyle w:val="affd"/>
            </w:pPr>
            <w:r>
              <w:rPr>
                <w:rFonts w:cs="宋体"/>
              </w:rPr>
              <w:t>本方案附加动态授权与加密审计义务</w:t>
            </w:r>
          </w:p>
        </w:tc>
      </w:tr>
      <w:tr w:rsidR="00B75CF9" w14:paraId="2836E2D0" w14:textId="77777777" w:rsidTr="00B75CF9">
        <w:trPr>
          <w:jc w:val="center"/>
        </w:trPr>
        <w:tc>
          <w:tcPr>
            <w:tcW w:w="0" w:type="auto"/>
          </w:tcPr>
          <w:p w14:paraId="57D664CC" w14:textId="77777777" w:rsidR="0080633A" w:rsidRDefault="004046C4">
            <w:pPr>
              <w:pStyle w:val="affd"/>
            </w:pPr>
            <w:r>
              <w:rPr>
                <w:rFonts w:cs="宋体"/>
              </w:rPr>
              <w:t>运维工单已过期仍访问监测管理服务</w:t>
            </w:r>
          </w:p>
        </w:tc>
        <w:tc>
          <w:tcPr>
            <w:tcW w:w="0" w:type="auto"/>
          </w:tcPr>
          <w:p w14:paraId="56E5D766" w14:textId="77777777" w:rsidR="0080633A" w:rsidRDefault="004046C4">
            <w:pPr>
              <w:pStyle w:val="affd"/>
            </w:pPr>
            <w:r>
              <w:rPr>
                <w:rFonts w:cs="宋体"/>
              </w:rPr>
              <w:t>允许</w:t>
            </w:r>
          </w:p>
        </w:tc>
        <w:tc>
          <w:tcPr>
            <w:tcW w:w="0" w:type="auto"/>
          </w:tcPr>
          <w:p w14:paraId="4A855678" w14:textId="77777777" w:rsidR="0080633A" w:rsidRDefault="004046C4">
            <w:pPr>
              <w:pStyle w:val="affd"/>
            </w:pPr>
            <w:r>
              <w:rPr>
                <w:rFonts w:cs="宋体"/>
              </w:rPr>
              <w:t>拒绝</w:t>
            </w:r>
          </w:p>
        </w:tc>
        <w:tc>
          <w:tcPr>
            <w:tcW w:w="0" w:type="auto"/>
          </w:tcPr>
          <w:p w14:paraId="78532171" w14:textId="77777777" w:rsidR="0080633A" w:rsidRDefault="004046C4">
            <w:pPr>
              <w:pStyle w:val="affd"/>
            </w:pPr>
            <w:r>
              <w:rPr>
                <w:rFonts w:cs="宋体"/>
              </w:rPr>
              <w:t>本方案识别工单时效并撤销授权</w:t>
            </w:r>
          </w:p>
        </w:tc>
      </w:tr>
      <w:tr w:rsidR="00B75CF9" w14:paraId="672E5256" w14:textId="77777777" w:rsidTr="00B75CF9">
        <w:trPr>
          <w:jc w:val="center"/>
        </w:trPr>
        <w:tc>
          <w:tcPr>
            <w:tcW w:w="0" w:type="auto"/>
          </w:tcPr>
          <w:p w14:paraId="5CA81BA7" w14:textId="77777777" w:rsidR="0080633A" w:rsidRDefault="004046C4">
            <w:pPr>
              <w:pStyle w:val="affd"/>
            </w:pPr>
            <w:r>
              <w:rPr>
                <w:rFonts w:cs="宋体"/>
              </w:rPr>
              <w:t>未通过</w:t>
            </w:r>
            <w:r>
              <w:rPr>
                <w:rFonts w:cs="宋体"/>
              </w:rPr>
              <w:t>MFA</w:t>
            </w:r>
            <w:r>
              <w:rPr>
                <w:rFonts w:cs="宋体"/>
              </w:rPr>
              <w:t>的运维请求访问高敏资源</w:t>
            </w:r>
          </w:p>
        </w:tc>
        <w:tc>
          <w:tcPr>
            <w:tcW w:w="0" w:type="auto"/>
          </w:tcPr>
          <w:p w14:paraId="3839CA8F" w14:textId="77777777" w:rsidR="0080633A" w:rsidRDefault="004046C4">
            <w:pPr>
              <w:pStyle w:val="affd"/>
            </w:pPr>
            <w:r>
              <w:rPr>
                <w:rFonts w:cs="宋体"/>
              </w:rPr>
              <w:t>允许</w:t>
            </w:r>
          </w:p>
        </w:tc>
        <w:tc>
          <w:tcPr>
            <w:tcW w:w="0" w:type="auto"/>
          </w:tcPr>
          <w:p w14:paraId="1C1C9137" w14:textId="77777777" w:rsidR="0080633A" w:rsidRDefault="004046C4">
            <w:pPr>
              <w:pStyle w:val="affd"/>
            </w:pPr>
            <w:r>
              <w:rPr>
                <w:rFonts w:cs="宋体"/>
              </w:rPr>
              <w:t>拒绝</w:t>
            </w:r>
          </w:p>
        </w:tc>
        <w:tc>
          <w:tcPr>
            <w:tcW w:w="0" w:type="auto"/>
          </w:tcPr>
          <w:p w14:paraId="0EFBA67A" w14:textId="77777777" w:rsidR="0080633A" w:rsidRDefault="004046C4">
            <w:pPr>
              <w:pStyle w:val="affd"/>
            </w:pPr>
            <w:r>
              <w:rPr>
                <w:rFonts w:cs="宋体"/>
              </w:rPr>
              <w:t>本方案强制多因素认证</w:t>
            </w:r>
            <w:bookmarkEnd w:id="109"/>
          </w:p>
        </w:tc>
      </w:tr>
    </w:tbl>
    <w:p w14:paraId="77199A09" w14:textId="77777777" w:rsidR="00B75CF9" w:rsidRDefault="00B75CF9">
      <w:pPr>
        <w:sectPr w:rsidR="00B75CF9" w:rsidSect="000A6557">
          <w:endnotePr>
            <w:numFmt w:val="decimal"/>
          </w:endnotePr>
          <w:type w:val="continuous"/>
          <w:pgSz w:w="11906" w:h="16838" w:code="9"/>
          <w:pgMar w:top="1701" w:right="1134" w:bottom="1134" w:left="1134" w:header="992" w:footer="851" w:gutter="0"/>
          <w:cols w:space="420"/>
          <w:docGrid w:type="linesAndChars" w:linePitch="312"/>
        </w:sectPr>
      </w:pPr>
    </w:p>
    <w:p w14:paraId="2C374195" w14:textId="77777777" w:rsidR="00B75CF9" w:rsidRDefault="004046C4">
      <w:pPr>
        <w:pStyle w:val="afe"/>
        <w:ind w:firstLine="420"/>
        <w:sectPr w:rsidR="00B75CF9" w:rsidSect="000A6557">
          <w:endnotePr>
            <w:numFmt w:val="decimal"/>
          </w:endnotePr>
          <w:type w:val="continuous"/>
          <w:pgSz w:w="11906" w:h="16838" w:code="9"/>
          <w:pgMar w:top="1701" w:right="1134" w:bottom="1134" w:left="1134" w:header="992" w:footer="851" w:gutter="0"/>
          <w:cols w:num="2" w:space="420"/>
          <w:docGrid w:type="linesAndChars" w:linePitch="312"/>
        </w:sectPr>
      </w:pPr>
      <w:bookmarkStart w:id="110" w:name="正文段落_怀疑_46"/>
      <w:r>
        <w:t>表</w:t>
      </w:r>
      <w:r>
        <w:t>6</w:t>
      </w:r>
      <w:r>
        <w:t>以构造场景说明：传统三元组策略由于仅依据源</w:t>
      </w:r>
      <w:r>
        <w:t>/</w:t>
      </w:r>
      <w:r>
        <w:t>目的</w:t>
      </w:r>
      <w:r>
        <w:t>IP</w:t>
      </w:r>
      <w:r>
        <w:t>和端口、不包含身份与动态属性维度，在终端身份被冒用、工单过期、未通过强认证等场景下存在判定盲区；本方案通过统一安全上下文将</w:t>
      </w:r>
      <w:r>
        <w:t>上述因素纳入判</w:t>
      </w:r>
      <w:r>
        <w:t>定，从而在同等访问请求下作出更严格的授权决策。该对照用于阐明方案的设计动机，而非作为独立的性能或有效性实验结论。</w:t>
      </w:r>
      <w:bookmarkEnd w:id="110"/>
    </w:p>
    <w:p w14:paraId="5EDBC3C6" w14:textId="77777777" w:rsidR="00B75CF9" w:rsidRDefault="004046C4">
      <w:pPr>
        <w:pStyle w:val="afffc"/>
        <w:keepNext/>
        <w:keepLines/>
      </w:pPr>
      <w:bookmarkStart w:id="111" w:name="中文表序_7"/>
      <w:bookmarkStart w:id="112" w:name="中文表题_14"/>
      <w:r>
        <w:t>表</w:t>
      </w:r>
      <w:r>
        <w:t>7</w:t>
      </w:r>
      <w:bookmarkEnd w:id="111"/>
      <w:r>
        <w:rPr>
          <w:b w:val="0"/>
        </w:rPr>
        <w:t xml:space="preserve"> </w:t>
      </w:r>
      <w:r>
        <w:rPr>
          <w:b w:val="0"/>
        </w:rPr>
        <w:t>边界条件与属性变化的策略判定原型测试结果</w:t>
      </w:r>
      <w:bookmarkEnd w:id="112"/>
    </w:p>
    <w:tbl>
      <w:tblPr>
        <w:tblStyle w:val="affff5"/>
        <w:tblW w:w="5000" w:type="pct"/>
        <w:jc w:val="center"/>
        <w:tblInd w:w="0" w:type="dxa"/>
        <w:tblLook w:val="04A0" w:firstRow="1" w:lastRow="0" w:firstColumn="1" w:lastColumn="0" w:noHBand="0" w:noVBand="1"/>
      </w:tblPr>
      <w:tblGrid>
        <w:gridCol w:w="605"/>
        <w:gridCol w:w="6020"/>
        <w:gridCol w:w="1204"/>
        <w:gridCol w:w="1204"/>
        <w:gridCol w:w="605"/>
      </w:tblGrid>
      <w:tr w:rsidR="00B75CF9" w14:paraId="72B5C3EE" w14:textId="77777777" w:rsidTr="00B75CF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FF26A2F" w14:textId="77777777" w:rsidR="0080633A" w:rsidRDefault="004046C4">
            <w:pPr>
              <w:pStyle w:val="affd"/>
            </w:pPr>
            <w:r>
              <w:rPr>
                <w:rFonts w:cs="宋体"/>
              </w:rPr>
              <w:t>编号</w:t>
            </w:r>
            <w:bookmarkStart w:id="113" w:name="表格_7"/>
          </w:p>
        </w:tc>
        <w:tc>
          <w:tcPr>
            <w:tcW w:w="0" w:type="auto"/>
          </w:tcPr>
          <w:p w14:paraId="01E04C18" w14:textId="77777777" w:rsidR="0080633A" w:rsidRDefault="004046C4">
            <w:pPr>
              <w:pStyle w:val="affd"/>
            </w:pPr>
            <w:r>
              <w:rPr>
                <w:rFonts w:cs="宋体"/>
              </w:rPr>
              <w:t>测试内容</w:t>
            </w:r>
          </w:p>
        </w:tc>
        <w:tc>
          <w:tcPr>
            <w:tcW w:w="0" w:type="auto"/>
          </w:tcPr>
          <w:p w14:paraId="14D3DEFB" w14:textId="77777777" w:rsidR="0080633A" w:rsidRDefault="004046C4">
            <w:pPr>
              <w:pStyle w:val="affd"/>
            </w:pPr>
            <w:r>
              <w:rPr>
                <w:rFonts w:cs="宋体"/>
              </w:rPr>
              <w:t>预期</w:t>
            </w:r>
          </w:p>
        </w:tc>
        <w:tc>
          <w:tcPr>
            <w:tcW w:w="0" w:type="auto"/>
          </w:tcPr>
          <w:p w14:paraId="1F1E07BF" w14:textId="77777777" w:rsidR="0080633A" w:rsidRDefault="004046C4">
            <w:pPr>
              <w:pStyle w:val="affd"/>
            </w:pPr>
            <w:r>
              <w:rPr>
                <w:rFonts w:cs="宋体"/>
              </w:rPr>
              <w:t>实际</w:t>
            </w:r>
          </w:p>
        </w:tc>
        <w:tc>
          <w:tcPr>
            <w:tcW w:w="0" w:type="auto"/>
          </w:tcPr>
          <w:p w14:paraId="5E1BFC95" w14:textId="77777777" w:rsidR="0080633A" w:rsidRDefault="004046C4">
            <w:pPr>
              <w:pStyle w:val="affd"/>
            </w:pPr>
            <w:r>
              <w:rPr>
                <w:rFonts w:cs="宋体"/>
              </w:rPr>
              <w:t>判定</w:t>
            </w:r>
          </w:p>
        </w:tc>
      </w:tr>
      <w:tr w:rsidR="00B75CF9" w14:paraId="19793129" w14:textId="77777777" w:rsidTr="00B75CF9">
        <w:trPr>
          <w:jc w:val="center"/>
        </w:trPr>
        <w:tc>
          <w:tcPr>
            <w:tcW w:w="0" w:type="auto"/>
          </w:tcPr>
          <w:p w14:paraId="422A7F91" w14:textId="77777777" w:rsidR="0080633A" w:rsidRDefault="004046C4">
            <w:pPr>
              <w:pStyle w:val="affd"/>
            </w:pPr>
            <w:r>
              <w:rPr>
                <w:rFonts w:cs="宋体"/>
              </w:rPr>
              <w:t>B01</w:t>
            </w:r>
          </w:p>
        </w:tc>
        <w:tc>
          <w:tcPr>
            <w:tcW w:w="0" w:type="auto"/>
          </w:tcPr>
          <w:p w14:paraId="736CAC1F" w14:textId="77777777" w:rsidR="0080633A" w:rsidRDefault="004046C4">
            <w:pPr>
              <w:pStyle w:val="affd"/>
            </w:pPr>
            <w:r>
              <w:rPr>
                <w:rFonts w:cs="宋体"/>
              </w:rPr>
              <w:t>身份优先：合法客票请求但证书撤销</w:t>
            </w:r>
          </w:p>
        </w:tc>
        <w:tc>
          <w:tcPr>
            <w:tcW w:w="0" w:type="auto"/>
          </w:tcPr>
          <w:p w14:paraId="2B142849" w14:textId="77777777" w:rsidR="0080633A" w:rsidRDefault="004046C4">
            <w:pPr>
              <w:pStyle w:val="affd"/>
            </w:pPr>
            <w:r>
              <w:rPr>
                <w:rFonts w:cs="宋体"/>
              </w:rPr>
              <w:t>拒绝</w:t>
            </w:r>
          </w:p>
        </w:tc>
        <w:tc>
          <w:tcPr>
            <w:tcW w:w="0" w:type="auto"/>
          </w:tcPr>
          <w:p w14:paraId="3F5A3849" w14:textId="77777777" w:rsidR="0080633A" w:rsidRDefault="004046C4">
            <w:pPr>
              <w:pStyle w:val="affd"/>
            </w:pPr>
            <w:r>
              <w:rPr>
                <w:rFonts w:cs="宋体"/>
              </w:rPr>
              <w:t>拒绝</w:t>
            </w:r>
          </w:p>
        </w:tc>
        <w:tc>
          <w:tcPr>
            <w:tcW w:w="0" w:type="auto"/>
          </w:tcPr>
          <w:p w14:paraId="032E121A" w14:textId="77777777" w:rsidR="0080633A" w:rsidRDefault="004046C4">
            <w:pPr>
              <w:pStyle w:val="affd"/>
            </w:pPr>
            <w:r>
              <w:rPr>
                <w:rFonts w:cs="宋体"/>
              </w:rPr>
              <w:t>一致</w:t>
            </w:r>
          </w:p>
        </w:tc>
      </w:tr>
      <w:tr w:rsidR="00B75CF9" w14:paraId="15EC14ED" w14:textId="77777777" w:rsidTr="00B75CF9">
        <w:trPr>
          <w:jc w:val="center"/>
        </w:trPr>
        <w:tc>
          <w:tcPr>
            <w:tcW w:w="0" w:type="auto"/>
          </w:tcPr>
          <w:p w14:paraId="595FB0D6" w14:textId="77777777" w:rsidR="0080633A" w:rsidRDefault="004046C4">
            <w:pPr>
              <w:pStyle w:val="affd"/>
            </w:pPr>
            <w:r>
              <w:rPr>
                <w:rFonts w:cs="宋体"/>
              </w:rPr>
              <w:t>B02</w:t>
            </w:r>
          </w:p>
        </w:tc>
        <w:tc>
          <w:tcPr>
            <w:tcW w:w="0" w:type="auto"/>
          </w:tcPr>
          <w:p w14:paraId="470FE266" w14:textId="77777777" w:rsidR="0080633A" w:rsidRDefault="004046C4">
            <w:pPr>
              <w:pStyle w:val="affd"/>
            </w:pPr>
            <w:r>
              <w:rPr>
                <w:rFonts w:cs="宋体"/>
              </w:rPr>
              <w:t>角色白名单：未知角色访问客票</w:t>
            </w:r>
          </w:p>
        </w:tc>
        <w:tc>
          <w:tcPr>
            <w:tcW w:w="0" w:type="auto"/>
          </w:tcPr>
          <w:p w14:paraId="476D4908" w14:textId="77777777" w:rsidR="0080633A" w:rsidRDefault="004046C4">
            <w:pPr>
              <w:pStyle w:val="affd"/>
            </w:pPr>
            <w:r>
              <w:rPr>
                <w:rFonts w:cs="宋体"/>
              </w:rPr>
              <w:t>拒绝</w:t>
            </w:r>
          </w:p>
        </w:tc>
        <w:tc>
          <w:tcPr>
            <w:tcW w:w="0" w:type="auto"/>
          </w:tcPr>
          <w:p w14:paraId="469799EA" w14:textId="77777777" w:rsidR="0080633A" w:rsidRDefault="004046C4">
            <w:pPr>
              <w:pStyle w:val="affd"/>
            </w:pPr>
            <w:r>
              <w:rPr>
                <w:rFonts w:cs="宋体"/>
              </w:rPr>
              <w:t>拒绝</w:t>
            </w:r>
          </w:p>
        </w:tc>
        <w:tc>
          <w:tcPr>
            <w:tcW w:w="0" w:type="auto"/>
          </w:tcPr>
          <w:p w14:paraId="40F86FF6" w14:textId="77777777" w:rsidR="0080633A" w:rsidRDefault="004046C4">
            <w:pPr>
              <w:pStyle w:val="affd"/>
            </w:pPr>
            <w:r>
              <w:rPr>
                <w:rFonts w:cs="宋体"/>
              </w:rPr>
              <w:t>一致</w:t>
            </w:r>
          </w:p>
        </w:tc>
      </w:tr>
      <w:tr w:rsidR="00B75CF9" w14:paraId="624B6D82" w14:textId="77777777" w:rsidTr="00B75CF9">
        <w:trPr>
          <w:jc w:val="center"/>
        </w:trPr>
        <w:tc>
          <w:tcPr>
            <w:tcW w:w="0" w:type="auto"/>
          </w:tcPr>
          <w:p w14:paraId="1CEB726F" w14:textId="77777777" w:rsidR="0080633A" w:rsidRDefault="004046C4">
            <w:pPr>
              <w:pStyle w:val="affd"/>
            </w:pPr>
            <w:r>
              <w:rPr>
                <w:rFonts w:cs="宋体"/>
              </w:rPr>
              <w:t>B03</w:t>
            </w:r>
          </w:p>
        </w:tc>
        <w:tc>
          <w:tcPr>
            <w:tcW w:w="0" w:type="auto"/>
          </w:tcPr>
          <w:p w14:paraId="0F91D7DB" w14:textId="77777777" w:rsidR="0080633A" w:rsidRDefault="004046C4">
            <w:pPr>
              <w:pStyle w:val="affd"/>
            </w:pPr>
            <w:r>
              <w:rPr>
                <w:rFonts w:cs="宋体"/>
              </w:rPr>
              <w:t>终端状态：检票终端不可信</w:t>
            </w:r>
          </w:p>
        </w:tc>
        <w:tc>
          <w:tcPr>
            <w:tcW w:w="0" w:type="auto"/>
          </w:tcPr>
          <w:p w14:paraId="6912A3A1" w14:textId="77777777" w:rsidR="0080633A" w:rsidRDefault="004046C4">
            <w:pPr>
              <w:pStyle w:val="affd"/>
            </w:pPr>
            <w:r>
              <w:rPr>
                <w:rFonts w:cs="宋体"/>
              </w:rPr>
              <w:t>拒绝</w:t>
            </w:r>
          </w:p>
        </w:tc>
        <w:tc>
          <w:tcPr>
            <w:tcW w:w="0" w:type="auto"/>
          </w:tcPr>
          <w:p w14:paraId="0B1C44BD" w14:textId="77777777" w:rsidR="0080633A" w:rsidRDefault="004046C4">
            <w:pPr>
              <w:pStyle w:val="affd"/>
            </w:pPr>
            <w:r>
              <w:rPr>
                <w:rFonts w:cs="宋体"/>
              </w:rPr>
              <w:t>拒绝</w:t>
            </w:r>
          </w:p>
        </w:tc>
        <w:tc>
          <w:tcPr>
            <w:tcW w:w="0" w:type="auto"/>
          </w:tcPr>
          <w:p w14:paraId="5685B3B1" w14:textId="77777777" w:rsidR="0080633A" w:rsidRDefault="004046C4">
            <w:pPr>
              <w:pStyle w:val="affd"/>
            </w:pPr>
            <w:r>
              <w:rPr>
                <w:rFonts w:cs="宋体"/>
              </w:rPr>
              <w:t>一致</w:t>
            </w:r>
          </w:p>
        </w:tc>
      </w:tr>
      <w:tr w:rsidR="00B75CF9" w14:paraId="6B090431" w14:textId="77777777" w:rsidTr="00B75CF9">
        <w:trPr>
          <w:jc w:val="center"/>
        </w:trPr>
        <w:tc>
          <w:tcPr>
            <w:tcW w:w="0" w:type="auto"/>
          </w:tcPr>
          <w:p w14:paraId="02B4F6C3" w14:textId="77777777" w:rsidR="0080633A" w:rsidRDefault="004046C4">
            <w:pPr>
              <w:pStyle w:val="affd"/>
            </w:pPr>
            <w:r>
              <w:rPr>
                <w:rFonts w:cs="宋体"/>
              </w:rPr>
              <w:t>B04</w:t>
            </w:r>
          </w:p>
        </w:tc>
        <w:tc>
          <w:tcPr>
            <w:tcW w:w="0" w:type="auto"/>
          </w:tcPr>
          <w:p w14:paraId="736B44D8" w14:textId="77777777" w:rsidR="0080633A" w:rsidRDefault="004046C4">
            <w:pPr>
              <w:pStyle w:val="affd"/>
            </w:pPr>
            <w:r>
              <w:rPr>
                <w:rFonts w:cs="宋体"/>
              </w:rPr>
              <w:t>工单状态：批准运维但工单失效</w:t>
            </w:r>
          </w:p>
        </w:tc>
        <w:tc>
          <w:tcPr>
            <w:tcW w:w="0" w:type="auto"/>
          </w:tcPr>
          <w:p w14:paraId="753D008A" w14:textId="77777777" w:rsidR="0080633A" w:rsidRDefault="004046C4">
            <w:pPr>
              <w:pStyle w:val="affd"/>
            </w:pPr>
            <w:r>
              <w:rPr>
                <w:rFonts w:cs="宋体"/>
              </w:rPr>
              <w:t>拒绝</w:t>
            </w:r>
          </w:p>
        </w:tc>
        <w:tc>
          <w:tcPr>
            <w:tcW w:w="0" w:type="auto"/>
          </w:tcPr>
          <w:p w14:paraId="404A9875" w14:textId="77777777" w:rsidR="0080633A" w:rsidRDefault="004046C4">
            <w:pPr>
              <w:pStyle w:val="affd"/>
            </w:pPr>
            <w:r>
              <w:rPr>
                <w:rFonts w:cs="宋体"/>
              </w:rPr>
              <w:t>拒绝</w:t>
            </w:r>
          </w:p>
        </w:tc>
        <w:tc>
          <w:tcPr>
            <w:tcW w:w="0" w:type="auto"/>
          </w:tcPr>
          <w:p w14:paraId="08C790C1" w14:textId="77777777" w:rsidR="0080633A" w:rsidRDefault="004046C4">
            <w:pPr>
              <w:pStyle w:val="affd"/>
            </w:pPr>
            <w:r>
              <w:rPr>
                <w:rFonts w:cs="宋体"/>
              </w:rPr>
              <w:t>一致</w:t>
            </w:r>
          </w:p>
        </w:tc>
      </w:tr>
      <w:tr w:rsidR="00B75CF9" w14:paraId="6DBB6B56" w14:textId="77777777" w:rsidTr="00B75CF9">
        <w:trPr>
          <w:jc w:val="center"/>
        </w:trPr>
        <w:tc>
          <w:tcPr>
            <w:tcW w:w="0" w:type="auto"/>
          </w:tcPr>
          <w:p w14:paraId="53F2C1F6" w14:textId="77777777" w:rsidR="0080633A" w:rsidRDefault="004046C4">
            <w:pPr>
              <w:pStyle w:val="affd"/>
            </w:pPr>
            <w:r>
              <w:rPr>
                <w:rFonts w:cs="宋体"/>
              </w:rPr>
              <w:t>B05</w:t>
            </w:r>
          </w:p>
        </w:tc>
        <w:tc>
          <w:tcPr>
            <w:tcW w:w="0" w:type="auto"/>
          </w:tcPr>
          <w:p w14:paraId="2307E571" w14:textId="77777777" w:rsidR="0080633A" w:rsidRDefault="004046C4">
            <w:pPr>
              <w:pStyle w:val="affd"/>
            </w:pPr>
            <w:r>
              <w:rPr>
                <w:rFonts w:cs="宋体"/>
              </w:rPr>
              <w:t>认证状态：工单有效但</w:t>
            </w:r>
            <w:r>
              <w:rPr>
                <w:rFonts w:cs="宋体"/>
              </w:rPr>
              <w:t>MFA</w:t>
            </w:r>
            <w:r>
              <w:rPr>
                <w:rFonts w:cs="宋体"/>
              </w:rPr>
              <w:t>失败</w:t>
            </w:r>
          </w:p>
        </w:tc>
        <w:tc>
          <w:tcPr>
            <w:tcW w:w="0" w:type="auto"/>
          </w:tcPr>
          <w:p w14:paraId="00F9E92F" w14:textId="77777777" w:rsidR="0080633A" w:rsidRDefault="004046C4">
            <w:pPr>
              <w:pStyle w:val="affd"/>
            </w:pPr>
            <w:r>
              <w:rPr>
                <w:rFonts w:cs="宋体"/>
              </w:rPr>
              <w:t>拒绝</w:t>
            </w:r>
          </w:p>
        </w:tc>
        <w:tc>
          <w:tcPr>
            <w:tcW w:w="0" w:type="auto"/>
          </w:tcPr>
          <w:p w14:paraId="0E736E58" w14:textId="77777777" w:rsidR="0080633A" w:rsidRDefault="004046C4">
            <w:pPr>
              <w:pStyle w:val="affd"/>
            </w:pPr>
            <w:r>
              <w:rPr>
                <w:rFonts w:cs="宋体"/>
              </w:rPr>
              <w:t>拒绝</w:t>
            </w:r>
          </w:p>
        </w:tc>
        <w:tc>
          <w:tcPr>
            <w:tcW w:w="0" w:type="auto"/>
          </w:tcPr>
          <w:p w14:paraId="7D5CD745" w14:textId="77777777" w:rsidR="0080633A" w:rsidRDefault="004046C4">
            <w:pPr>
              <w:pStyle w:val="affd"/>
            </w:pPr>
            <w:r>
              <w:rPr>
                <w:rFonts w:cs="宋体"/>
              </w:rPr>
              <w:t>一致</w:t>
            </w:r>
          </w:p>
        </w:tc>
      </w:tr>
      <w:tr w:rsidR="00B75CF9" w14:paraId="040D0E6E" w14:textId="77777777" w:rsidTr="00B75CF9">
        <w:trPr>
          <w:jc w:val="center"/>
        </w:trPr>
        <w:tc>
          <w:tcPr>
            <w:tcW w:w="0" w:type="auto"/>
          </w:tcPr>
          <w:p w14:paraId="4A11AED0" w14:textId="77777777" w:rsidR="0080633A" w:rsidRDefault="004046C4">
            <w:pPr>
              <w:pStyle w:val="affd"/>
            </w:pPr>
            <w:r>
              <w:rPr>
                <w:rFonts w:cs="宋体"/>
              </w:rPr>
              <w:t>B06</w:t>
            </w:r>
          </w:p>
        </w:tc>
        <w:tc>
          <w:tcPr>
            <w:tcW w:w="0" w:type="auto"/>
          </w:tcPr>
          <w:p w14:paraId="236C430C" w14:textId="77777777" w:rsidR="0080633A" w:rsidRDefault="004046C4">
            <w:pPr>
              <w:pStyle w:val="affd"/>
            </w:pPr>
            <w:r>
              <w:rPr>
                <w:rFonts w:cs="宋体"/>
              </w:rPr>
              <w:t>访问范围：通过认证但超出工单范围</w:t>
            </w:r>
          </w:p>
        </w:tc>
        <w:tc>
          <w:tcPr>
            <w:tcW w:w="0" w:type="auto"/>
          </w:tcPr>
          <w:p w14:paraId="0B54E2E7" w14:textId="77777777" w:rsidR="0080633A" w:rsidRDefault="004046C4">
            <w:pPr>
              <w:pStyle w:val="affd"/>
            </w:pPr>
            <w:r>
              <w:rPr>
                <w:rFonts w:cs="宋体"/>
              </w:rPr>
              <w:t>拒绝</w:t>
            </w:r>
          </w:p>
        </w:tc>
        <w:tc>
          <w:tcPr>
            <w:tcW w:w="0" w:type="auto"/>
          </w:tcPr>
          <w:p w14:paraId="52916C97" w14:textId="77777777" w:rsidR="0080633A" w:rsidRDefault="004046C4">
            <w:pPr>
              <w:pStyle w:val="affd"/>
            </w:pPr>
            <w:r>
              <w:rPr>
                <w:rFonts w:cs="宋体"/>
              </w:rPr>
              <w:t>拒绝</w:t>
            </w:r>
          </w:p>
        </w:tc>
        <w:tc>
          <w:tcPr>
            <w:tcW w:w="0" w:type="auto"/>
          </w:tcPr>
          <w:p w14:paraId="2FFFD14C" w14:textId="77777777" w:rsidR="0080633A" w:rsidRDefault="004046C4">
            <w:pPr>
              <w:pStyle w:val="affd"/>
            </w:pPr>
            <w:r>
              <w:rPr>
                <w:rFonts w:cs="宋体"/>
              </w:rPr>
              <w:t>一致</w:t>
            </w:r>
          </w:p>
        </w:tc>
      </w:tr>
      <w:tr w:rsidR="00B75CF9" w14:paraId="2507E3B6" w14:textId="77777777" w:rsidTr="00B75CF9">
        <w:trPr>
          <w:jc w:val="center"/>
        </w:trPr>
        <w:tc>
          <w:tcPr>
            <w:tcW w:w="0" w:type="auto"/>
          </w:tcPr>
          <w:p w14:paraId="03EF3FD2" w14:textId="77777777" w:rsidR="0080633A" w:rsidRDefault="004046C4">
            <w:pPr>
              <w:pStyle w:val="affd"/>
            </w:pPr>
            <w:r>
              <w:rPr>
                <w:rFonts w:cs="宋体"/>
              </w:rPr>
              <w:t>B07</w:t>
            </w:r>
          </w:p>
        </w:tc>
        <w:tc>
          <w:tcPr>
            <w:tcW w:w="0" w:type="auto"/>
          </w:tcPr>
          <w:p w14:paraId="0C701510" w14:textId="77777777" w:rsidR="0080633A" w:rsidRDefault="004046C4">
            <w:pPr>
              <w:pStyle w:val="affd"/>
            </w:pPr>
            <w:r>
              <w:rPr>
                <w:rFonts w:cs="宋体"/>
              </w:rPr>
              <w:t>动态变化：监测运维有效工单</w:t>
            </w:r>
          </w:p>
        </w:tc>
        <w:tc>
          <w:tcPr>
            <w:tcW w:w="0" w:type="auto"/>
          </w:tcPr>
          <w:p w14:paraId="42E4BC03" w14:textId="77777777" w:rsidR="0080633A" w:rsidRDefault="004046C4">
            <w:pPr>
              <w:pStyle w:val="affd"/>
            </w:pPr>
            <w:r>
              <w:rPr>
                <w:rFonts w:cs="宋体"/>
              </w:rPr>
              <w:t>受限允许</w:t>
            </w:r>
          </w:p>
        </w:tc>
        <w:tc>
          <w:tcPr>
            <w:tcW w:w="0" w:type="auto"/>
          </w:tcPr>
          <w:p w14:paraId="5C0D9794" w14:textId="77777777" w:rsidR="0080633A" w:rsidRDefault="004046C4">
            <w:pPr>
              <w:pStyle w:val="affd"/>
            </w:pPr>
            <w:r>
              <w:rPr>
                <w:rFonts w:cs="宋体"/>
              </w:rPr>
              <w:t>受限允许</w:t>
            </w:r>
          </w:p>
        </w:tc>
        <w:tc>
          <w:tcPr>
            <w:tcW w:w="0" w:type="auto"/>
          </w:tcPr>
          <w:p w14:paraId="107CF677" w14:textId="77777777" w:rsidR="0080633A" w:rsidRDefault="004046C4">
            <w:pPr>
              <w:pStyle w:val="affd"/>
            </w:pPr>
            <w:r>
              <w:rPr>
                <w:rFonts w:cs="宋体"/>
              </w:rPr>
              <w:t>一致</w:t>
            </w:r>
          </w:p>
        </w:tc>
      </w:tr>
      <w:tr w:rsidR="00B75CF9" w14:paraId="11D699BF" w14:textId="77777777" w:rsidTr="00B75CF9">
        <w:trPr>
          <w:jc w:val="center"/>
        </w:trPr>
        <w:tc>
          <w:tcPr>
            <w:tcW w:w="0" w:type="auto"/>
          </w:tcPr>
          <w:p w14:paraId="3AB78499" w14:textId="77777777" w:rsidR="0080633A" w:rsidRDefault="004046C4">
            <w:pPr>
              <w:pStyle w:val="affd"/>
            </w:pPr>
            <w:r>
              <w:rPr>
                <w:rFonts w:cs="宋体"/>
              </w:rPr>
              <w:t>B08</w:t>
            </w:r>
          </w:p>
        </w:tc>
        <w:tc>
          <w:tcPr>
            <w:tcW w:w="0" w:type="auto"/>
          </w:tcPr>
          <w:p w14:paraId="2D66C65D" w14:textId="77777777" w:rsidR="0080633A" w:rsidRDefault="004046C4">
            <w:pPr>
              <w:pStyle w:val="affd"/>
            </w:pPr>
            <w:r>
              <w:rPr>
                <w:rFonts w:cs="宋体"/>
              </w:rPr>
              <w:t>动态变化：同一请求工单撤销</w:t>
            </w:r>
          </w:p>
        </w:tc>
        <w:tc>
          <w:tcPr>
            <w:tcW w:w="0" w:type="auto"/>
          </w:tcPr>
          <w:p w14:paraId="5AD49D06" w14:textId="77777777" w:rsidR="0080633A" w:rsidRDefault="004046C4">
            <w:pPr>
              <w:pStyle w:val="affd"/>
            </w:pPr>
            <w:r>
              <w:rPr>
                <w:rFonts w:cs="宋体"/>
              </w:rPr>
              <w:t>拒绝</w:t>
            </w:r>
          </w:p>
        </w:tc>
        <w:tc>
          <w:tcPr>
            <w:tcW w:w="0" w:type="auto"/>
          </w:tcPr>
          <w:p w14:paraId="2998D4B6" w14:textId="77777777" w:rsidR="0080633A" w:rsidRDefault="004046C4">
            <w:pPr>
              <w:pStyle w:val="affd"/>
            </w:pPr>
            <w:r>
              <w:rPr>
                <w:rFonts w:cs="宋体"/>
              </w:rPr>
              <w:t>拒绝</w:t>
            </w:r>
          </w:p>
        </w:tc>
        <w:tc>
          <w:tcPr>
            <w:tcW w:w="0" w:type="auto"/>
          </w:tcPr>
          <w:p w14:paraId="67250250" w14:textId="77777777" w:rsidR="0080633A" w:rsidRDefault="004046C4">
            <w:pPr>
              <w:pStyle w:val="affd"/>
            </w:pPr>
            <w:r>
              <w:rPr>
                <w:rFonts w:cs="宋体"/>
              </w:rPr>
              <w:t>一致</w:t>
            </w:r>
          </w:p>
        </w:tc>
      </w:tr>
      <w:tr w:rsidR="00B75CF9" w14:paraId="5A62C13B" w14:textId="77777777" w:rsidTr="00B75CF9">
        <w:trPr>
          <w:jc w:val="center"/>
        </w:trPr>
        <w:tc>
          <w:tcPr>
            <w:tcW w:w="0" w:type="auto"/>
          </w:tcPr>
          <w:p w14:paraId="70D4F054" w14:textId="77777777" w:rsidR="0080633A" w:rsidRDefault="004046C4">
            <w:pPr>
              <w:pStyle w:val="affd"/>
            </w:pPr>
            <w:r>
              <w:rPr>
                <w:rFonts w:cs="宋体"/>
              </w:rPr>
              <w:t>B09</w:t>
            </w:r>
          </w:p>
        </w:tc>
        <w:tc>
          <w:tcPr>
            <w:tcW w:w="0" w:type="auto"/>
          </w:tcPr>
          <w:p w14:paraId="3414AC58" w14:textId="77777777" w:rsidR="0080633A" w:rsidRDefault="004046C4">
            <w:pPr>
              <w:pStyle w:val="affd"/>
            </w:pPr>
            <w:r>
              <w:rPr>
                <w:rFonts w:cs="宋体"/>
              </w:rPr>
              <w:t>数据级别：敏感级数据无加密通道访问</w:t>
            </w:r>
          </w:p>
        </w:tc>
        <w:tc>
          <w:tcPr>
            <w:tcW w:w="0" w:type="auto"/>
          </w:tcPr>
          <w:p w14:paraId="1824801E" w14:textId="77777777" w:rsidR="0080633A" w:rsidRDefault="004046C4">
            <w:pPr>
              <w:pStyle w:val="affd"/>
            </w:pPr>
            <w:r>
              <w:rPr>
                <w:rFonts w:cs="宋体"/>
              </w:rPr>
              <w:t>拒绝</w:t>
            </w:r>
          </w:p>
        </w:tc>
        <w:tc>
          <w:tcPr>
            <w:tcW w:w="0" w:type="auto"/>
          </w:tcPr>
          <w:p w14:paraId="4B53B1B3" w14:textId="77777777" w:rsidR="0080633A" w:rsidRDefault="004046C4">
            <w:pPr>
              <w:pStyle w:val="affd"/>
            </w:pPr>
            <w:r>
              <w:rPr>
                <w:rFonts w:cs="宋体"/>
              </w:rPr>
              <w:t>拒绝</w:t>
            </w:r>
          </w:p>
        </w:tc>
        <w:tc>
          <w:tcPr>
            <w:tcW w:w="0" w:type="auto"/>
          </w:tcPr>
          <w:p w14:paraId="64D4FFB5" w14:textId="77777777" w:rsidR="0080633A" w:rsidRDefault="004046C4">
            <w:pPr>
              <w:pStyle w:val="affd"/>
            </w:pPr>
            <w:r>
              <w:rPr>
                <w:rFonts w:cs="宋体"/>
              </w:rPr>
              <w:t>一致</w:t>
            </w:r>
          </w:p>
        </w:tc>
      </w:tr>
      <w:tr w:rsidR="00B75CF9" w14:paraId="344ADE9F" w14:textId="77777777" w:rsidTr="00B75CF9">
        <w:trPr>
          <w:jc w:val="center"/>
        </w:trPr>
        <w:tc>
          <w:tcPr>
            <w:tcW w:w="0" w:type="auto"/>
          </w:tcPr>
          <w:p w14:paraId="199BE5A7" w14:textId="77777777" w:rsidR="0080633A" w:rsidRDefault="004046C4">
            <w:pPr>
              <w:pStyle w:val="affd"/>
            </w:pPr>
            <w:r>
              <w:rPr>
                <w:rFonts w:cs="宋体"/>
              </w:rPr>
              <w:t>B10</w:t>
            </w:r>
          </w:p>
        </w:tc>
        <w:tc>
          <w:tcPr>
            <w:tcW w:w="0" w:type="auto"/>
          </w:tcPr>
          <w:p w14:paraId="0CC5FCC1" w14:textId="77777777" w:rsidR="0080633A" w:rsidRDefault="004046C4">
            <w:pPr>
              <w:pStyle w:val="affd"/>
            </w:pPr>
            <w:r>
              <w:rPr>
                <w:rFonts w:cs="宋体"/>
              </w:rPr>
              <w:t>数据级别：敏感级数据加密通道</w:t>
            </w:r>
            <w:r>
              <w:rPr>
                <w:rFonts w:cs="宋体"/>
              </w:rPr>
              <w:t>+MFA</w:t>
            </w:r>
            <w:r>
              <w:rPr>
                <w:rFonts w:cs="宋体"/>
              </w:rPr>
              <w:t>访问</w:t>
            </w:r>
          </w:p>
        </w:tc>
        <w:tc>
          <w:tcPr>
            <w:tcW w:w="0" w:type="auto"/>
          </w:tcPr>
          <w:p w14:paraId="227E3DB9" w14:textId="77777777" w:rsidR="0080633A" w:rsidRDefault="004046C4">
            <w:pPr>
              <w:pStyle w:val="affd"/>
            </w:pPr>
            <w:r>
              <w:rPr>
                <w:rFonts w:cs="宋体"/>
              </w:rPr>
              <w:t>受限允许</w:t>
            </w:r>
          </w:p>
        </w:tc>
        <w:tc>
          <w:tcPr>
            <w:tcW w:w="0" w:type="auto"/>
          </w:tcPr>
          <w:p w14:paraId="6012B23B" w14:textId="77777777" w:rsidR="0080633A" w:rsidRDefault="004046C4">
            <w:pPr>
              <w:pStyle w:val="affd"/>
            </w:pPr>
            <w:r>
              <w:rPr>
                <w:rFonts w:cs="宋体"/>
              </w:rPr>
              <w:t>受限允许</w:t>
            </w:r>
          </w:p>
        </w:tc>
        <w:tc>
          <w:tcPr>
            <w:tcW w:w="0" w:type="auto"/>
          </w:tcPr>
          <w:p w14:paraId="484C5AF9" w14:textId="77777777" w:rsidR="0080633A" w:rsidRDefault="004046C4">
            <w:pPr>
              <w:pStyle w:val="affd"/>
            </w:pPr>
            <w:r>
              <w:rPr>
                <w:rFonts w:cs="宋体"/>
              </w:rPr>
              <w:t>一致</w:t>
            </w:r>
          </w:p>
        </w:tc>
      </w:tr>
      <w:tr w:rsidR="00B75CF9" w14:paraId="051F9076" w14:textId="77777777" w:rsidTr="00B75CF9">
        <w:trPr>
          <w:jc w:val="center"/>
        </w:trPr>
        <w:tc>
          <w:tcPr>
            <w:tcW w:w="0" w:type="auto"/>
          </w:tcPr>
          <w:p w14:paraId="374B3D46" w14:textId="77777777" w:rsidR="0080633A" w:rsidRDefault="004046C4">
            <w:pPr>
              <w:pStyle w:val="affd"/>
            </w:pPr>
            <w:r>
              <w:rPr>
                <w:rFonts w:cs="宋体"/>
              </w:rPr>
              <w:t>B11</w:t>
            </w:r>
          </w:p>
        </w:tc>
        <w:tc>
          <w:tcPr>
            <w:tcW w:w="0" w:type="auto"/>
          </w:tcPr>
          <w:p w14:paraId="5C7A7328" w14:textId="77777777" w:rsidR="0080633A" w:rsidRDefault="004046C4">
            <w:pPr>
              <w:pStyle w:val="affd"/>
            </w:pPr>
            <w:r>
              <w:rPr>
                <w:rFonts w:cs="宋体"/>
              </w:rPr>
              <w:t>数据级别：内部级数据只读访问（证书有效）</w:t>
            </w:r>
          </w:p>
        </w:tc>
        <w:tc>
          <w:tcPr>
            <w:tcW w:w="0" w:type="auto"/>
          </w:tcPr>
          <w:p w14:paraId="60A09F5E" w14:textId="77777777" w:rsidR="0080633A" w:rsidRDefault="004046C4">
            <w:pPr>
              <w:pStyle w:val="affd"/>
            </w:pPr>
            <w:r>
              <w:rPr>
                <w:rFonts w:cs="宋体"/>
              </w:rPr>
              <w:t>允许</w:t>
            </w:r>
          </w:p>
        </w:tc>
        <w:tc>
          <w:tcPr>
            <w:tcW w:w="0" w:type="auto"/>
          </w:tcPr>
          <w:p w14:paraId="0D0ED130" w14:textId="77777777" w:rsidR="0080633A" w:rsidRDefault="004046C4">
            <w:pPr>
              <w:pStyle w:val="affd"/>
            </w:pPr>
            <w:r>
              <w:rPr>
                <w:rFonts w:cs="宋体"/>
              </w:rPr>
              <w:t>允许</w:t>
            </w:r>
          </w:p>
        </w:tc>
        <w:tc>
          <w:tcPr>
            <w:tcW w:w="0" w:type="auto"/>
          </w:tcPr>
          <w:p w14:paraId="0C7BD178" w14:textId="77777777" w:rsidR="0080633A" w:rsidRDefault="004046C4">
            <w:pPr>
              <w:pStyle w:val="affd"/>
            </w:pPr>
            <w:r>
              <w:rPr>
                <w:rFonts w:cs="宋体"/>
              </w:rPr>
              <w:t>一致</w:t>
            </w:r>
            <w:bookmarkEnd w:id="113"/>
          </w:p>
        </w:tc>
      </w:tr>
    </w:tbl>
    <w:p w14:paraId="26F5A442" w14:textId="77777777" w:rsidR="00B75CF9" w:rsidRDefault="00B75CF9">
      <w:pPr>
        <w:sectPr w:rsidR="00B75CF9" w:rsidSect="000A6557">
          <w:endnotePr>
            <w:numFmt w:val="decimal"/>
          </w:endnotePr>
          <w:type w:val="continuous"/>
          <w:pgSz w:w="11906" w:h="16838" w:code="9"/>
          <w:pgMar w:top="1701" w:right="1134" w:bottom="1134" w:left="1134" w:header="992" w:footer="851" w:gutter="0"/>
          <w:cols w:space="420"/>
          <w:docGrid w:type="linesAndChars" w:linePitch="312"/>
        </w:sectPr>
      </w:pPr>
    </w:p>
    <w:p w14:paraId="38AB43F4" w14:textId="77777777" w:rsidR="00B75CF9" w:rsidRDefault="004046C4">
      <w:pPr>
        <w:pStyle w:val="afe"/>
        <w:ind w:firstLine="420"/>
      </w:pPr>
      <w:bookmarkStart w:id="114" w:name="正文段落_怀疑_47"/>
      <w:r>
        <w:t>（</w:t>
      </w:r>
      <w:r>
        <w:t>4</w:t>
      </w:r>
      <w:r>
        <w:t>）复现条件。采用</w:t>
      </w:r>
      <w:r>
        <w:t xml:space="preserve">Python </w:t>
      </w:r>
      <w:r>
        <w:t>3.8</w:t>
      </w:r>
      <w:r>
        <w:t>标准库实现规则判定与用例测试。测试集包含角色、区域、服务、终端状态，以及证书、工单、多因素认证和授权范围等属性。运行程序依次输出用例编号、预设决策、实际决策、处置建议和一致性统计，可复现表</w:t>
      </w:r>
      <w:r>
        <w:t>5—</w:t>
      </w:r>
      <w:r>
        <w:t>表</w:t>
      </w:r>
      <w:r>
        <w:t>7</w:t>
      </w:r>
      <w:r>
        <w:t>所列</w:t>
      </w:r>
      <w:r>
        <w:t>25</w:t>
      </w:r>
      <w:r>
        <w:t>组测试结果。该原型为纯离线规则判定，在通用单机环境下单次判定耗时为微秒级；协议解析附加时延、并发吞吐及控制层故障降级路径（失效开放</w:t>
      </w:r>
      <w:r>
        <w:t>/</w:t>
      </w:r>
      <w:r>
        <w:t>失效关闭）等性能指标未在真实网络环境开展评估。</w:t>
      </w:r>
      <w:bookmarkEnd w:id="114"/>
    </w:p>
    <w:p w14:paraId="1D5AC886" w14:textId="77777777" w:rsidR="00B75CF9" w:rsidRDefault="004046C4">
      <w:pPr>
        <w:pStyle w:val="afe"/>
        <w:ind w:firstLine="420"/>
      </w:pPr>
      <w:bookmarkStart w:id="115" w:name="正文段落_怀疑_48"/>
      <w:r>
        <w:t>为便于复现，各属性取值域定义如下：用户角色</w:t>
      </w:r>
      <w:r>
        <w:t xml:space="preserve"> U∈{</w:t>
      </w:r>
      <w:r>
        <w:t>检票、查询、服务作业、办公、监控、移动运维、授权运维</w:t>
      </w:r>
      <w:r>
        <w:t>}</w:t>
      </w:r>
      <w:r>
        <w:t>；终端可信状态</w:t>
      </w:r>
      <w:r>
        <w:t xml:space="preserve"> </w:t>
      </w:r>
      <w:r>
        <w:t>D∈{</w:t>
      </w:r>
      <w:r>
        <w:t>可信、待修复、不可信</w:t>
      </w:r>
      <w:r>
        <w:t>}</w:t>
      </w:r>
      <w:r>
        <w:t>；网络区域</w:t>
      </w:r>
      <w:r>
        <w:t xml:space="preserve"> Zs</w:t>
      </w:r>
      <w:r>
        <w:t>、</w:t>
      </w:r>
      <w:r>
        <w:t>Zt∈{</w:t>
      </w:r>
      <w:r>
        <w:t>客运区、办公区、</w:t>
      </w:r>
      <w:r>
        <w:t>运维区</w:t>
      </w:r>
      <w:r>
        <w:t>}</w:t>
      </w:r>
      <w:r>
        <w:t>；访问服务</w:t>
      </w:r>
      <w:r>
        <w:t xml:space="preserve"> S </w:t>
      </w:r>
      <w:r>
        <w:t>取业务服务白名单中的具体服务标识；数据级别</w:t>
      </w:r>
      <w:r>
        <w:t xml:space="preserve"> L∈{</w:t>
      </w:r>
      <w:r>
        <w:t>公开、内部、敏感</w:t>
      </w:r>
      <w:r>
        <w:t>}</w:t>
      </w:r>
      <w:r>
        <w:t>；上下文</w:t>
      </w:r>
      <w:r>
        <w:t xml:space="preserve"> C </w:t>
      </w:r>
      <w:r>
        <w:t>包含证书状态</w:t>
      </w:r>
      <w:r>
        <w:t>∈{</w:t>
      </w:r>
      <w:r>
        <w:t>有效、撤销</w:t>
      </w:r>
      <w:r>
        <w:t>}</w:t>
      </w:r>
      <w:r>
        <w:t>、工单状态</w:t>
      </w:r>
      <w:r>
        <w:t>∈{</w:t>
      </w:r>
      <w:r>
        <w:t>有效、过期</w:t>
      </w:r>
      <w:r>
        <w:t>}</w:t>
      </w:r>
      <w:r>
        <w:t>、多因素认证</w:t>
      </w:r>
      <w:r>
        <w:t>∈{</w:t>
      </w:r>
      <w:r>
        <w:t>通过、未通过</w:t>
      </w:r>
      <w:r>
        <w:t>}</w:t>
      </w:r>
      <w:r>
        <w:t>。其中，数据级别</w:t>
      </w:r>
      <w:r>
        <w:t xml:space="preserve"> L </w:t>
      </w:r>
      <w:r>
        <w:t>不直接作为准入判定的独立输入，而是依据第</w:t>
      </w:r>
      <w:r>
        <w:t>4.3</w:t>
      </w:r>
      <w:r>
        <w:t>节机制派生相应的传输加密要求：对敏感级数据未建立加密通道的连接予以拒绝或降级，从而间接参与访问决策。</w:t>
      </w:r>
      <w:bookmarkEnd w:id="115"/>
    </w:p>
    <w:p w14:paraId="3ECB9133" w14:textId="77777777" w:rsidR="00B75CF9" w:rsidRDefault="004046C4">
      <w:pPr>
        <w:pStyle w:val="afe"/>
        <w:ind w:firstLine="420"/>
      </w:pPr>
      <w:bookmarkStart w:id="116" w:name="正文段落_怀疑_49"/>
      <w:r>
        <w:t>判定原型核心逻辑可用如下伪代码描述（与三级判定链一致）：</w:t>
      </w:r>
      <w:r>
        <w:t>def decide(X)</w:t>
      </w:r>
      <w:r>
        <w:t xml:space="preserve">:    if not check_identity(X) or not check_cert(X):   # </w:t>
      </w:r>
      <w:r>
        <w:t>身份</w:t>
      </w:r>
      <w:r>
        <w:t>/</w:t>
      </w:r>
      <w:r>
        <w:t>证书失效</w:t>
      </w:r>
      <w:r>
        <w:t xml:space="preserve">        return </w:t>
      </w:r>
      <w:r>
        <w:t>拒绝</w:t>
      </w:r>
      <w:r>
        <w:t xml:space="preserve">    if X.D == </w:t>
      </w:r>
      <w:r>
        <w:t>不可信</w:t>
      </w:r>
      <w:r>
        <w:t xml:space="preserve">:                                   # </w:t>
      </w:r>
      <w:r>
        <w:t>禁止性条件</w:t>
      </w:r>
      <w:r>
        <w:t xml:space="preserve">        return </w:t>
      </w:r>
      <w:r>
        <w:t>拒绝</w:t>
      </w:r>
      <w:r>
        <w:t xml:space="preserve">    if X.C.workorder == </w:t>
      </w:r>
      <w:r>
        <w:t>过期</w:t>
      </w:r>
      <w:r>
        <w:t xml:space="preserve">:                          </w:t>
      </w:r>
      <w:r>
        <w:lastRenderedPageBreak/>
        <w:t xml:space="preserve"># </w:t>
      </w:r>
      <w:r>
        <w:t>工单失效</w:t>
      </w:r>
      <w:r>
        <w:t xml:space="preserve">        return </w:t>
      </w:r>
      <w:r>
        <w:t>拒绝</w:t>
      </w:r>
      <w:r>
        <w:t xml:space="preserve">    if require_mfa(X) a</w:t>
      </w:r>
      <w:r>
        <w:t xml:space="preserve">nd X.C.mfa != </w:t>
      </w:r>
      <w:r>
        <w:t>通过</w:t>
      </w:r>
      <w:r>
        <w:t xml:space="preserve">:             # </w:t>
      </w:r>
      <w:r>
        <w:t>强认证失败</w:t>
      </w:r>
      <w:r>
        <w:t xml:space="preserve">        return </w:t>
      </w:r>
      <w:r>
        <w:t>拒绝</w:t>
      </w:r>
      <w:r>
        <w:t xml:space="preserve">    if in_repair(X):                                   # </w:t>
      </w:r>
      <w:r>
        <w:t>受限授权条件</w:t>
      </w:r>
      <w:r>
        <w:t xml:space="preserve">        return </w:t>
      </w:r>
      <w:r>
        <w:t>受限允许</w:t>
      </w:r>
      <w:r>
        <w:t xml:space="preserve"> if </w:t>
      </w:r>
      <w:r>
        <w:t>可落实</w:t>
      </w:r>
      <w:r>
        <w:t xml:space="preserve">(O) else </w:t>
      </w:r>
      <w:r>
        <w:t>拒绝</w:t>
      </w:r>
      <w:r>
        <w:t xml:space="preserve">    if in_authorized_ops(X):                          # </w:t>
      </w:r>
      <w:r>
        <w:t>受控运维条件</w:t>
      </w:r>
      <w:r>
        <w:t xml:space="preserve">        return </w:t>
      </w:r>
      <w:r>
        <w:t>受限允许</w:t>
      </w:r>
      <w:r>
        <w:t xml:space="preserve"> if </w:t>
      </w:r>
      <w:r>
        <w:t>可落实</w:t>
      </w:r>
      <w:r>
        <w:t xml:space="preserve">(O) else </w:t>
      </w:r>
      <w:r>
        <w:t>拒绝</w:t>
      </w:r>
      <w:r>
        <w:t xml:space="preserve">   </w:t>
      </w:r>
      <w:r>
        <w:t xml:space="preserve"> if in_whitelist(X):                               # </w:t>
      </w:r>
      <w:r>
        <w:t>白名单授权条件</w:t>
      </w:r>
      <w:r>
        <w:t xml:space="preserve">        return </w:t>
      </w:r>
      <w:r>
        <w:t>允许</w:t>
      </w:r>
      <w:r>
        <w:t xml:space="preserve">    return </w:t>
      </w:r>
      <w:r>
        <w:t>拒绝</w:t>
      </w:r>
      <w:r>
        <w:t xml:space="preserve">                                        # </w:t>
      </w:r>
      <w:r>
        <w:t>默认拒绝</w:t>
      </w:r>
      <w:r>
        <w:t xml:space="preserve">    # </w:t>
      </w:r>
      <w:r>
        <w:t>可落实</w:t>
      </w:r>
      <w:r>
        <w:t>(O)</w:t>
      </w:r>
      <w:r>
        <w:t>：执行组件对</w:t>
      </w:r>
      <w:r>
        <w:t xml:space="preserve"> O </w:t>
      </w:r>
      <w:r>
        <w:t>中每个义务存在对应能力</w:t>
      </w:r>
      <w:r>
        <w:t>(capability)</w:t>
      </w:r>
      <w:r>
        <w:t>，任一义务无法落实即回退为拒绝</w:t>
      </w:r>
      <w:bookmarkEnd w:id="116"/>
    </w:p>
    <w:p w14:paraId="228E272C" w14:textId="77777777" w:rsidR="00B75CF9" w:rsidRDefault="004046C4">
      <w:pPr>
        <w:pStyle w:val="afe"/>
        <w:ind w:firstLine="420"/>
      </w:pPr>
      <w:bookmarkStart w:id="117" w:name="正文段落_怀疑_50"/>
      <w:r>
        <w:t>为消除上述一致性检查因规则与判定函数同源而可能带来的循环论证，本文进一步采用全组合枚举与</w:t>
      </w:r>
      <w:r>
        <w:t>SMT</w:t>
      </w:r>
      <w:r>
        <w:t>反证相结合的方式对三级判定</w:t>
      </w:r>
      <w:r>
        <w:t>链进行形式化检验。将</w:t>
      </w:r>
      <w:r>
        <w:t>7</w:t>
      </w:r>
      <w:r>
        <w:t>元组</w:t>
      </w:r>
      <w:r>
        <w:t>X</w:t>
      </w:r>
      <w:r>
        <w:t>的各属性编码为有限域整数变量，将判定函数</w:t>
      </w:r>
      <w:r>
        <w:t>F(X,P)</w:t>
      </w:r>
      <w:r>
        <w:t>编码为</w:t>
      </w:r>
      <w:r>
        <w:t>SMT</w:t>
      </w:r>
      <w:r>
        <w:t>公式，验证以下三条性质：</w:t>
      </w:r>
      <w:bookmarkEnd w:id="117"/>
    </w:p>
    <w:p w14:paraId="42818E10" w14:textId="77777777" w:rsidR="00B75CF9" w:rsidRDefault="004046C4">
      <w:pPr>
        <w:pStyle w:val="afe"/>
        <w:ind w:firstLine="420"/>
      </w:pPr>
      <w:bookmarkStart w:id="118" w:name="正文段落_怀疑_51"/>
      <w:r>
        <w:t>（</w:t>
      </w:r>
      <w:r>
        <w:t>1</w:t>
      </w:r>
      <w:r>
        <w:t>）决策完备性：对任意访问向量</w:t>
      </w:r>
      <w:r>
        <w:t>X</w:t>
      </w:r>
      <w:r>
        <w:t>，判定函数有且仅有一个输出，且输出属于</w:t>
      </w:r>
      <w:r>
        <w:t>{</w:t>
      </w:r>
      <w:r>
        <w:t>允许、受限允许、拒绝</w:t>
      </w:r>
      <w:r>
        <w:t>}</w:t>
      </w:r>
      <w:r>
        <w:t>。检验方法为对属性取值域的全组合空间逐一枚举，共覆盖</w:t>
      </w:r>
      <w:r>
        <w:t>7×3×3×3×2×2×2×2×6=18144</w:t>
      </w:r>
      <w:r>
        <w:t>个组合，均未出现多值或无值异常。</w:t>
      </w:r>
      <w:bookmarkEnd w:id="118"/>
    </w:p>
    <w:p w14:paraId="7F33D5CC" w14:textId="77777777" w:rsidR="00B75CF9" w:rsidRDefault="004046C4">
      <w:pPr>
        <w:pStyle w:val="afe"/>
        <w:ind w:firstLine="420"/>
      </w:pPr>
      <w:bookmarkStart w:id="119" w:name="正文段落_怀疑_52"/>
      <w:r>
        <w:t>（</w:t>
      </w:r>
      <w:r>
        <w:t>2</w:t>
      </w:r>
      <w:r>
        <w:t>）禁止条件单调优先：若存在任一禁止性条件</w:t>
      </w:r>
      <w:r>
        <w:t>c∈C⁻</w:t>
      </w:r>
      <w:r>
        <w:t>成立，则决策</w:t>
      </w:r>
      <w:r>
        <w:t>A=</w:t>
      </w:r>
      <w:r>
        <w:t>拒绝，与其余属性的取值无关。检验方法为构造</w:t>
      </w:r>
      <w:r>
        <w:t>"</w:t>
      </w:r>
      <w:r>
        <w:t>禁止性条件成立且决策</w:t>
      </w:r>
      <w:r>
        <w:t>≠</w:t>
      </w:r>
      <w:r>
        <w:t>拒绝</w:t>
      </w:r>
      <w:r>
        <w:t>"</w:t>
      </w:r>
      <w:r>
        <w:t>的目标公式，</w:t>
      </w:r>
      <w:r>
        <w:t>SMT</w:t>
      </w:r>
      <w:r>
        <w:t>求解器证</w:t>
      </w:r>
      <w:r>
        <w:t>明其不可满足（</w:t>
      </w:r>
      <w:r>
        <w:t>unsat</w:t>
      </w:r>
      <w:r>
        <w:t>），从而确立该全称命题成立。</w:t>
      </w:r>
      <w:bookmarkEnd w:id="119"/>
    </w:p>
    <w:p w14:paraId="029DF916" w14:textId="77777777" w:rsidR="00B75CF9" w:rsidRDefault="004046C4">
      <w:pPr>
        <w:pStyle w:val="afe"/>
        <w:ind w:firstLine="420"/>
      </w:pPr>
      <w:bookmarkStart w:id="120" w:name="正文段落_怀疑_53"/>
      <w:r>
        <w:t>（</w:t>
      </w:r>
      <w:r>
        <w:t>3</w:t>
      </w:r>
      <w:r>
        <w:t>）规则可达性：对每条规则</w:t>
      </w:r>
      <w:r>
        <w:t>r</w:t>
      </w:r>
      <w:r>
        <w:t>构造其谓词成立的全部输入集合</w:t>
      </w:r>
      <w:r>
        <w:t>M_r</w:t>
      </w:r>
      <w:r>
        <w:t>，检验是否存在</w:t>
      </w:r>
      <w:r>
        <w:t>X∈M_r</w:t>
      </w:r>
      <w:r>
        <w:t>使输出等于规则预期，</w:t>
      </w:r>
      <w:r>
        <w:t>10</w:t>
      </w:r>
      <w:r>
        <w:t>条规则均存在可达输入，不存在完全不可达的死规则。进一步统计各规则的部分遮蔽率发现：</w:t>
      </w:r>
      <w:r>
        <w:t>P03</w:t>
      </w:r>
      <w:r>
        <w:t>、</w:t>
      </w:r>
      <w:r>
        <w:t>P04</w:t>
      </w:r>
      <w:r>
        <w:t>、</w:t>
      </w:r>
      <w:r>
        <w:t>P06</w:t>
      </w:r>
      <w:r>
        <w:t>分别有</w:t>
      </w:r>
      <w:r>
        <w:t>75.8%</w:t>
      </w:r>
      <w:r>
        <w:t>、</w:t>
      </w:r>
      <w:r>
        <w:t>75%</w:t>
      </w:r>
      <w:r>
        <w:t>、</w:t>
      </w:r>
      <w:r>
        <w:t>75%</w:t>
      </w:r>
      <w:r>
        <w:t>的谓词成立输入因同时满足禁止性条件而按拒绝优先原则输出</w:t>
      </w:r>
      <w:r>
        <w:t>“</w:t>
      </w:r>
      <w:r>
        <w:t>拒绝</w:t>
      </w:r>
      <w:r>
        <w:t>”</w:t>
      </w:r>
      <w:r>
        <w:t>，</w:t>
      </w:r>
      <w:r>
        <w:t>P01</w:t>
      </w:r>
      <w:r>
        <w:t>为</w:t>
      </w:r>
      <w:r>
        <w:t>50%</w:t>
      </w:r>
      <w:r>
        <w:t>，</w:t>
      </w:r>
      <w:r>
        <w:t>P08</w:t>
      </w:r>
      <w:r>
        <w:t>为</w:t>
      </w:r>
      <w:r>
        <w:t>1.7%</w:t>
      </w:r>
      <w:r>
        <w:t>。其中</w:t>
      </w:r>
      <w:r>
        <w:t>P03/P04/P06/P01</w:t>
      </w:r>
      <w:r>
        <w:t>的遮蔽属设计意图（禁止条件优先），遮蔽源于附录代码中的简化谓词未逐一写入前置禁</w:t>
      </w:r>
      <w:r>
        <w:t>止条件，而表</w:t>
      </w:r>
      <w:r>
        <w:t>3</w:t>
      </w:r>
      <w:r>
        <w:t>、表</w:t>
      </w:r>
      <w:r>
        <w:t>4</w:t>
      </w:r>
      <w:r>
        <w:t>的规则描述已包含相应前置条件，二者差异见附录说明；</w:t>
      </w:r>
      <w:r>
        <w:t>P08</w:t>
      </w:r>
      <w:r>
        <w:t>的遮蔽源于</w:t>
      </w:r>
      <w:r>
        <w:t>P03</w:t>
      </w:r>
      <w:r>
        <w:t>优先级高于</w:t>
      </w:r>
      <w:r>
        <w:t>P08</w:t>
      </w:r>
      <w:r>
        <w:t>，即运维人员因终端待修复访问修复服务时按受限允许而非拒绝处理，对于该优先级冲突，本文采用</w:t>
      </w:r>
      <w:r>
        <w:t>P03</w:t>
      </w:r>
      <w:r>
        <w:t>优先的设计决策：运维终端处于待修复状态时，允许其访问修复服务并进入隔离</w:t>
      </w:r>
      <w:r>
        <w:t>网络完成修复，符合第</w:t>
      </w:r>
      <w:r>
        <w:t>4.1</w:t>
      </w:r>
      <w:r>
        <w:t>节避免一拒了之影响现场运维的原则；但该受限允许附带隔离与全程审计义务，且修复服务白名单外的资源仍按</w:t>
      </w:r>
      <w:r>
        <w:t>P08</w:t>
      </w:r>
      <w:r>
        <w:t>拒绝。</w:t>
      </w:r>
      <w:bookmarkEnd w:id="120"/>
    </w:p>
    <w:p w14:paraId="01696BC8" w14:textId="77777777" w:rsidR="00B75CF9" w:rsidRDefault="004046C4">
      <w:pPr>
        <w:pStyle w:val="afe"/>
        <w:ind w:firstLine="420"/>
      </w:pPr>
      <w:bookmarkStart w:id="121" w:name="正文段落_怀疑_54"/>
      <w:r>
        <w:t>三项检验表明：判定函数对全空间每个输入均输出唯一合法决策；禁止性条件成立时决策必为拒绝，该性质经</w:t>
      </w:r>
      <w:r>
        <w:t>SMT</w:t>
      </w:r>
      <w:r>
        <w:t>反证成立；</w:t>
      </w:r>
      <w:r>
        <w:t>10</w:t>
      </w:r>
      <w:r>
        <w:t>条规则均存在可达输入，无完全不可达的死规则。部分规则存在预期内的禁止优先遮蔽，其比例已在附录统计。上述结论不依赖于具体测试用例的选择，从而在规则一致性检查之外为策略语义提供了可核查的形式化依据。形式化检验的完整代码见附录。</w:t>
      </w:r>
      <w:bookmarkEnd w:id="121"/>
    </w:p>
    <w:p w14:paraId="44588045" w14:textId="77777777" w:rsidR="00B75CF9" w:rsidRDefault="004046C4">
      <w:pPr>
        <w:pStyle w:val="aff"/>
        <w:keepNext/>
        <w:spacing w:before="218" w:after="218"/>
      </w:pPr>
      <w:bookmarkStart w:id="122" w:name="一级标题序号_22"/>
      <w:bookmarkStart w:id="123" w:name="一级标题_12"/>
      <w:r>
        <w:rPr>
          <w:rStyle w:val="afffa"/>
          <w:kern w:val="0"/>
          <w:szCs w:val="20"/>
        </w:rPr>
        <w:t xml:space="preserve">6  </w:t>
      </w:r>
      <w:bookmarkEnd w:id="122"/>
      <w:r>
        <w:t>结论与展望</w:t>
      </w:r>
      <w:bookmarkEnd w:id="123"/>
    </w:p>
    <w:p w14:paraId="123DB2C7" w14:textId="77777777" w:rsidR="00B75CF9" w:rsidRDefault="004046C4">
      <w:pPr>
        <w:pStyle w:val="afe"/>
        <w:ind w:firstLine="420"/>
      </w:pPr>
      <w:bookmarkStart w:id="124" w:name="正文段落_71"/>
      <w:r>
        <w:t>本文针对铁路车站网络边界设备异构、策略分散与权限管理脱节等问题，提出了以统一安全上下文为核心的三层一体化防御架构，设计了网络准入、边界访问控制、加密与安全审计的策略协同机制。在客运服务终端接入和信号集中监测系统跨域运维两个应用场景下，建立了</w:t>
      </w:r>
      <w:r>
        <w:t>10</w:t>
      </w:r>
      <w:r>
        <w:t>条输入</w:t>
      </w:r>
      <w:r>
        <w:t>—</w:t>
      </w:r>
      <w:r>
        <w:t>决策</w:t>
      </w:r>
      <w:r>
        <w:t>—</w:t>
      </w:r>
      <w:r>
        <w:t>处置策略规则，并通过</w:t>
      </w:r>
      <w:r>
        <w:t>25</w:t>
      </w:r>
      <w:r>
        <w:t>组模拟访问请求完成规则一致性检查，采用全组合枚举与</w:t>
      </w:r>
      <w:r>
        <w:t>SMT</w:t>
      </w:r>
      <w:r>
        <w:t>反证相结合的方式形式化检验了三级判定链的决策完备性、禁止条件单调优先与规则可达性。检查输出全部符合预设期望，展示了三类授权决策及异常条件下的策略响应能力，为铁路车站网络边界的一体化管理与工程实施提供了规则设计与语义形式化依据。</w:t>
      </w:r>
      <w:bookmarkEnd w:id="124"/>
    </w:p>
    <w:p w14:paraId="64002940" w14:textId="77777777" w:rsidR="00B75CF9" w:rsidRDefault="004046C4">
      <w:pPr>
        <w:pStyle w:val="afe"/>
        <w:ind w:firstLine="420"/>
      </w:pPr>
      <w:bookmarkStart w:id="125" w:name="正文段落_73"/>
      <w:r>
        <w:t>需要说明的是，本文的原型验证以离线规则判定为主，尚未在真实生产环境开展性能、时延与并发吞吐的量化评估。后续可围绕策略规则扩展、跨设备策略适配与业务场景完善开展研究，进一步建立更加丰富的访问样本集，开展策</w:t>
      </w:r>
      <w:r>
        <w:t>略冲突与动态授权测试，并结合具体车站网络条件优化安全策略管理和审计流程。</w:t>
      </w:r>
      <w:bookmarkEnd w:id="125"/>
    </w:p>
    <w:p w14:paraId="753B557D" w14:textId="77777777" w:rsidR="00B75CF9" w:rsidRDefault="004046C4">
      <w:pPr>
        <w:pStyle w:val="afff2"/>
        <w:spacing w:before="312" w:after="312"/>
      </w:pPr>
      <w:bookmarkStart w:id="126" w:name="参考文献_2"/>
      <w:r>
        <w:t>参考文献</w:t>
      </w:r>
      <w:bookmarkEnd w:id="126"/>
    </w:p>
    <w:p w14:paraId="004B8311" w14:textId="77777777" w:rsidR="00B75CF9" w:rsidRDefault="004046C4">
      <w:pPr>
        <w:pStyle w:val="a"/>
        <w:ind w:left="360" w:hanging="360"/>
      </w:pPr>
      <w:bookmarkStart w:id="127" w:name="参考文献内容_2"/>
      <w:r>
        <w:t>交通运输部</w:t>
      </w:r>
      <w:r>
        <w:t xml:space="preserve">. </w:t>
      </w:r>
      <w:r>
        <w:t>铁路关键信息基础设施安全保护管理办法</w:t>
      </w:r>
      <w:r>
        <w:t>:</w:t>
      </w:r>
      <w:r>
        <w:t>中华人民共和国交通运输部令</w:t>
      </w:r>
      <w:r>
        <w:t>2023</w:t>
      </w:r>
      <w:r>
        <w:t>年第</w:t>
      </w:r>
      <w:r>
        <w:t>20</w:t>
      </w:r>
      <w:r>
        <w:t>号</w:t>
      </w:r>
      <w:r>
        <w:t>[Z]. 2023-12-17.</w:t>
      </w:r>
      <w:bookmarkEnd w:id="127"/>
    </w:p>
    <w:p w14:paraId="6BEFD0F4" w14:textId="77777777" w:rsidR="00B75CF9" w:rsidRDefault="004046C4">
      <w:pPr>
        <w:pStyle w:val="a"/>
        <w:ind w:left="360" w:hanging="360"/>
      </w:pPr>
      <w:bookmarkStart w:id="128" w:name="参考文献内容_4"/>
      <w:r>
        <w:t>国家市场监督管理总局</w:t>
      </w:r>
      <w:r>
        <w:t xml:space="preserve">, </w:t>
      </w:r>
      <w:r>
        <w:t>国家标准化管理委员会</w:t>
      </w:r>
      <w:r>
        <w:t xml:space="preserve">. </w:t>
      </w:r>
      <w:r>
        <w:t>信息安全技术</w:t>
      </w:r>
      <w:r>
        <w:t xml:space="preserve"> </w:t>
      </w:r>
      <w:r>
        <w:t>网络安全等级保护基本要求</w:t>
      </w:r>
      <w:r>
        <w:t xml:space="preserve">:GB/T 22239—2019[S]. </w:t>
      </w:r>
      <w:r>
        <w:t>北京</w:t>
      </w:r>
      <w:r>
        <w:t>:</w:t>
      </w:r>
      <w:r>
        <w:t>中国标准出版社</w:t>
      </w:r>
      <w:r>
        <w:t>, 2019.</w:t>
      </w:r>
      <w:bookmarkEnd w:id="128"/>
    </w:p>
    <w:p w14:paraId="6A30202B" w14:textId="77777777" w:rsidR="00B75CF9" w:rsidRDefault="004046C4">
      <w:pPr>
        <w:pStyle w:val="a"/>
        <w:ind w:left="360" w:hanging="360"/>
      </w:pPr>
      <w:bookmarkStart w:id="129" w:name="参考文献内容_6"/>
      <w:r>
        <w:t>国家市场监督管理总局</w:t>
      </w:r>
      <w:r>
        <w:t xml:space="preserve">, </w:t>
      </w:r>
      <w:r>
        <w:t>国家标准化管理委员会</w:t>
      </w:r>
      <w:r>
        <w:t xml:space="preserve">. </w:t>
      </w:r>
      <w:r>
        <w:t>信息</w:t>
      </w:r>
      <w:r>
        <w:lastRenderedPageBreak/>
        <w:t>安全技术</w:t>
      </w:r>
      <w:r>
        <w:t xml:space="preserve"> </w:t>
      </w:r>
      <w:r>
        <w:t>网络安全等级保护安全设计技术要求</w:t>
      </w:r>
      <w:r>
        <w:t>:GB/T 25070—2019[S].</w:t>
      </w:r>
      <w:r>
        <w:t xml:space="preserve"> </w:t>
      </w:r>
      <w:r>
        <w:t>北京</w:t>
      </w:r>
      <w:r>
        <w:t>:</w:t>
      </w:r>
      <w:r>
        <w:t>中国标准出版社</w:t>
      </w:r>
      <w:r>
        <w:t>, 2019.</w:t>
      </w:r>
      <w:bookmarkEnd w:id="129"/>
    </w:p>
    <w:p w14:paraId="534EFFB1" w14:textId="77777777" w:rsidR="00B75CF9" w:rsidRDefault="004046C4">
      <w:pPr>
        <w:pStyle w:val="a"/>
        <w:ind w:left="360" w:hanging="360"/>
      </w:pPr>
      <w:bookmarkStart w:id="130" w:name="参考文献内容_8"/>
      <w:r>
        <w:t>锁向荣</w:t>
      </w:r>
      <w:r>
        <w:t xml:space="preserve">, </w:t>
      </w:r>
      <w:r>
        <w:t>齐胜</w:t>
      </w:r>
      <w:r>
        <w:t xml:space="preserve">, </w:t>
      </w:r>
      <w:r>
        <w:t>张悦斌</w:t>
      </w:r>
      <w:r>
        <w:t xml:space="preserve">, </w:t>
      </w:r>
      <w:r>
        <w:t>等</w:t>
      </w:r>
      <w:r>
        <w:t xml:space="preserve">. </w:t>
      </w:r>
      <w:r>
        <w:t>铁路云平台细粒度访问控制方案研究</w:t>
      </w:r>
      <w:r>
        <w:t xml:space="preserve">[J]. </w:t>
      </w:r>
      <w:r>
        <w:t>铁路计算机应用</w:t>
      </w:r>
      <w:r>
        <w:t>, 2021, 30(4): 45-49.</w:t>
      </w:r>
      <w:bookmarkEnd w:id="130"/>
    </w:p>
    <w:p w14:paraId="18B3FCA0" w14:textId="77777777" w:rsidR="00B75CF9" w:rsidRDefault="004046C4">
      <w:pPr>
        <w:pStyle w:val="a"/>
        <w:ind w:left="360" w:hanging="360"/>
      </w:pPr>
      <w:bookmarkStart w:id="131" w:name="参考文献内容_10"/>
      <w:r>
        <w:t>周游</w:t>
      </w:r>
      <w:r>
        <w:t xml:space="preserve">, </w:t>
      </w:r>
      <w:r>
        <w:t>赵悠麒</w:t>
      </w:r>
      <w:r>
        <w:t xml:space="preserve">. </w:t>
      </w:r>
      <w:r>
        <w:t>应对供应链攻击的铁路企业网络</w:t>
      </w:r>
      <w:r>
        <w:t>SDP</w:t>
      </w:r>
      <w:r>
        <w:t>部署方案研究</w:t>
      </w:r>
      <w:r>
        <w:t xml:space="preserve">[J]. </w:t>
      </w:r>
      <w:r>
        <w:t>铁路计算机应用</w:t>
      </w:r>
      <w:r>
        <w:t>, 2022, 31(11): 41-47.</w:t>
      </w:r>
      <w:bookmarkEnd w:id="131"/>
    </w:p>
    <w:p w14:paraId="4BEF3900" w14:textId="77777777" w:rsidR="00B75CF9" w:rsidRDefault="004046C4">
      <w:pPr>
        <w:pStyle w:val="a"/>
        <w:ind w:left="360" w:hanging="360"/>
      </w:pPr>
      <w:bookmarkStart w:id="132" w:name="参考文献内容_12"/>
      <w:r>
        <w:t>卫婧</w:t>
      </w:r>
      <w:r>
        <w:t xml:space="preserve">, </w:t>
      </w:r>
      <w:r>
        <w:t>向君</w:t>
      </w:r>
      <w:r>
        <w:t xml:space="preserve">, </w:t>
      </w:r>
      <w:r>
        <w:t>朱广劼</w:t>
      </w:r>
      <w:r>
        <w:t xml:space="preserve">, </w:t>
      </w:r>
      <w:r>
        <w:t>等</w:t>
      </w:r>
      <w:r>
        <w:t xml:space="preserve">. </w:t>
      </w:r>
      <w:r>
        <w:t>铁路网络安全领域知识图谱构建及应用的研究</w:t>
      </w:r>
      <w:r>
        <w:t xml:space="preserve">[J]. </w:t>
      </w:r>
      <w:r>
        <w:t>铁路计算机应用</w:t>
      </w:r>
      <w:r>
        <w:t>, 2022, 31(11): 55-60.</w:t>
      </w:r>
      <w:bookmarkEnd w:id="132"/>
    </w:p>
    <w:p w14:paraId="336A9BA7" w14:textId="77777777" w:rsidR="00B75CF9" w:rsidRDefault="004046C4">
      <w:pPr>
        <w:pStyle w:val="a"/>
        <w:ind w:left="360" w:hanging="360"/>
      </w:pPr>
      <w:bookmarkStart w:id="133" w:name="参考文献内容_14"/>
      <w:r>
        <w:t>季宏志</w:t>
      </w:r>
      <w:r>
        <w:t xml:space="preserve">, </w:t>
      </w:r>
      <w:r>
        <w:t>李向阳</w:t>
      </w:r>
      <w:r>
        <w:t xml:space="preserve">. </w:t>
      </w:r>
      <w:r>
        <w:t>基于关键要素管控的铁路网络空间安全防御研究</w:t>
      </w:r>
      <w:r>
        <w:t>[</w:t>
      </w:r>
      <w:r>
        <w:t xml:space="preserve">J]. </w:t>
      </w:r>
      <w:r>
        <w:t>铁路计算机应用</w:t>
      </w:r>
      <w:r>
        <w:t>, 2024, 33(10): 35-39.</w:t>
      </w:r>
      <w:bookmarkEnd w:id="133"/>
    </w:p>
    <w:p w14:paraId="1BE229AA" w14:textId="77777777" w:rsidR="00B75CF9" w:rsidRDefault="004046C4">
      <w:pPr>
        <w:pStyle w:val="a"/>
        <w:ind w:left="360" w:hanging="360"/>
      </w:pPr>
      <w:bookmarkStart w:id="134" w:name="参考文献内容_16"/>
      <w:r>
        <w:t>吴兴华</w:t>
      </w:r>
      <w:r>
        <w:t xml:space="preserve">, </w:t>
      </w:r>
      <w:r>
        <w:t>姚洪磊</w:t>
      </w:r>
      <w:r>
        <w:t xml:space="preserve">, </w:t>
      </w:r>
      <w:r>
        <w:t>刘勇</w:t>
      </w:r>
      <w:r>
        <w:t xml:space="preserve">, </w:t>
      </w:r>
      <w:r>
        <w:t>等</w:t>
      </w:r>
      <w:r>
        <w:t xml:space="preserve">. </w:t>
      </w:r>
      <w:r>
        <w:t>面向高铁旅客服务系统的</w:t>
      </w:r>
      <w:r>
        <w:t>DSDP</w:t>
      </w:r>
      <w:r>
        <w:t>零信任架构设计</w:t>
      </w:r>
      <w:r>
        <w:t xml:space="preserve">[J]. </w:t>
      </w:r>
      <w:r>
        <w:t>铁路计算机应用</w:t>
      </w:r>
      <w:r>
        <w:t>, 2024, 33(10): 40-47. DOI:10.3969/j.issn.1005-8451.2024.10.07.</w:t>
      </w:r>
      <w:bookmarkEnd w:id="134"/>
    </w:p>
    <w:p w14:paraId="4E6529FC" w14:textId="77777777" w:rsidR="00B75CF9" w:rsidRDefault="004046C4">
      <w:pPr>
        <w:pStyle w:val="a"/>
        <w:ind w:left="360" w:hanging="360"/>
      </w:pPr>
      <w:bookmarkStart w:id="135" w:name="参考文献内容_18"/>
      <w:r>
        <w:t>李苹</w:t>
      </w:r>
      <w:r>
        <w:t xml:space="preserve">. </w:t>
      </w:r>
      <w:r>
        <w:t>铁路敏感数据流通安全管控体系研究及应用</w:t>
      </w:r>
      <w:r>
        <w:t xml:space="preserve">[J]. </w:t>
      </w:r>
      <w:r>
        <w:t>铁路计算机应用</w:t>
      </w:r>
      <w:r>
        <w:t>, 2024, 33(10): 67-72.</w:t>
      </w:r>
      <w:bookmarkEnd w:id="135"/>
    </w:p>
    <w:p w14:paraId="1A08907A" w14:textId="77777777" w:rsidR="00B75CF9" w:rsidRDefault="004046C4">
      <w:pPr>
        <w:pStyle w:val="a"/>
        <w:ind w:left="360" w:hanging="360"/>
      </w:pPr>
      <w:bookmarkStart w:id="136" w:name="参考文献内容_20"/>
      <w:r>
        <w:t xml:space="preserve">TEMOSHOK D, CHOONG Y Y, GALLUZZO R, et al. </w:t>
      </w:r>
      <w:r>
        <w:t>Digital Identity Guidelines: NIST SP 800-63-4[R]. Gaithersburg: National Institute of Standards and Technology, 2025. DOI:10.6028/NIST.SP.800-63-4.</w:t>
      </w:r>
      <w:bookmarkEnd w:id="136"/>
    </w:p>
    <w:p w14:paraId="559B4953" w14:textId="77777777" w:rsidR="00B75CF9" w:rsidRDefault="004046C4">
      <w:pPr>
        <w:pStyle w:val="a"/>
        <w:ind w:left="360" w:hanging="360"/>
      </w:pPr>
      <w:bookmarkStart w:id="137" w:name="参考文献内容_22"/>
      <w:r>
        <w:t>ROSE S, BORCHERT O, MITCHELL S, et al. Zero Trust Architecture: NIST SP 800-207[R]. Gaithersburg: National I</w:t>
      </w:r>
      <w:r>
        <w:t>nstitute of Standards and Technology, 2020.</w:t>
      </w:r>
      <w:bookmarkEnd w:id="137"/>
    </w:p>
    <w:p w14:paraId="4158C70D" w14:textId="77777777" w:rsidR="00B75CF9" w:rsidRDefault="004046C4">
      <w:pPr>
        <w:pStyle w:val="a"/>
        <w:ind w:left="360" w:hanging="360"/>
      </w:pPr>
      <w:bookmarkStart w:id="138" w:name="参考文献内容_24"/>
      <w:r>
        <w:t>PASCOE C, QUINN S, SCARFONE K. The NIST Cybersecurity Framework (CSF) 2.0: NIST CSWP 29[R]. NIST, 2024. DOI:10.6028/NIST.CSWP.29.</w:t>
      </w:r>
      <w:bookmarkEnd w:id="138"/>
    </w:p>
    <w:p w14:paraId="05D905A8" w14:textId="77777777" w:rsidR="00B75CF9" w:rsidRDefault="004046C4">
      <w:pPr>
        <w:pStyle w:val="a"/>
        <w:ind w:left="360" w:hanging="360"/>
      </w:pPr>
      <w:bookmarkStart w:id="139" w:name="参考文献内容_26"/>
      <w:r>
        <w:t>ROSE S, BORCHERT O, KERMAN A, et al. Implementing a Zero Trust Architecture: High-</w:t>
      </w:r>
      <w:r>
        <w:t xml:space="preserve">Level Document: NIST SP 1800-35[R]. Gaithersburg: National </w:t>
      </w:r>
      <w:r>
        <w:t>Institute of Standards and Technology, 2025. DOI:10.6028/NIST.SP.1800-35.</w:t>
      </w:r>
      <w:bookmarkEnd w:id="139"/>
    </w:p>
    <w:p w14:paraId="71BABFE4" w14:textId="77777777" w:rsidR="00B75CF9" w:rsidRDefault="004046C4">
      <w:pPr>
        <w:pStyle w:val="a"/>
        <w:ind w:left="360" w:hanging="360"/>
      </w:pPr>
      <w:bookmarkStart w:id="140" w:name="参考文献内容_28"/>
      <w:r>
        <w:t>崔玉龙</w:t>
      </w:r>
      <w:r>
        <w:t xml:space="preserve">, </w:t>
      </w:r>
      <w:r>
        <w:t>吴学超</w:t>
      </w:r>
      <w:r>
        <w:t xml:space="preserve">, </w:t>
      </w:r>
      <w:r>
        <w:t>程宥霖</w:t>
      </w:r>
      <w:r>
        <w:t xml:space="preserve">, </w:t>
      </w:r>
      <w:r>
        <w:t>等</w:t>
      </w:r>
      <w:r>
        <w:t xml:space="preserve">. </w:t>
      </w:r>
      <w:r>
        <w:t>面向时延敏感的</w:t>
      </w:r>
      <w:r>
        <w:t>TRDP</w:t>
      </w:r>
      <w:r>
        <w:t>安全防护机制</w:t>
      </w:r>
      <w:r>
        <w:t xml:space="preserve">[J]. </w:t>
      </w:r>
      <w:r>
        <w:t>网络与信息安全学报</w:t>
      </w:r>
      <w:r>
        <w:t>, 2025, 11(3): 81-97. DOI:10.11959/j.issn.2096-109x.2025028.</w:t>
      </w:r>
      <w:bookmarkEnd w:id="140"/>
    </w:p>
    <w:p w14:paraId="24608112" w14:textId="77777777" w:rsidR="00B75CF9" w:rsidRDefault="004046C4">
      <w:pPr>
        <w:pStyle w:val="a"/>
        <w:ind w:left="360" w:hanging="360"/>
      </w:pPr>
      <w:bookmarkStart w:id="141" w:name="参考文献内容_30"/>
      <w:r>
        <w:t>国家市场监督管理总局</w:t>
      </w:r>
      <w:r>
        <w:t xml:space="preserve">, </w:t>
      </w:r>
      <w:r>
        <w:t>国</w:t>
      </w:r>
      <w:r>
        <w:t>家标准化管理委员会</w:t>
      </w:r>
      <w:r>
        <w:t xml:space="preserve">. </w:t>
      </w:r>
      <w:r>
        <w:t>信息安全技术</w:t>
      </w:r>
      <w:r>
        <w:t xml:space="preserve"> </w:t>
      </w:r>
      <w:r>
        <w:t>信息系统密码应用基本要求</w:t>
      </w:r>
      <w:r>
        <w:t xml:space="preserve">:GB/T 39786—2021[S]. </w:t>
      </w:r>
      <w:r>
        <w:t>北京</w:t>
      </w:r>
      <w:r>
        <w:t>:</w:t>
      </w:r>
      <w:r>
        <w:t>中国标准出版社</w:t>
      </w:r>
      <w:r>
        <w:t>, 2021.</w:t>
      </w:r>
      <w:bookmarkEnd w:id="141"/>
    </w:p>
    <w:p w14:paraId="2544511A" w14:textId="77777777" w:rsidR="00B75CF9" w:rsidRDefault="004046C4">
      <w:pPr>
        <w:pStyle w:val="a"/>
        <w:ind w:left="360" w:hanging="360"/>
      </w:pPr>
      <w:bookmarkStart w:id="142" w:name="参考文献内容_32"/>
      <w:r>
        <w:t>温佳坤</w:t>
      </w:r>
      <w:r>
        <w:t xml:space="preserve">, </w:t>
      </w:r>
      <w:r>
        <w:t>曹源</w:t>
      </w:r>
      <w:r>
        <w:t xml:space="preserve">, </w:t>
      </w:r>
      <w:r>
        <w:t>孙永奎</w:t>
      </w:r>
      <w:r>
        <w:t xml:space="preserve">, </w:t>
      </w:r>
      <w:r>
        <w:t>等</w:t>
      </w:r>
      <w:r>
        <w:t xml:space="preserve">. </w:t>
      </w:r>
      <w:r>
        <w:t>基于访问权限控制博弈的容器安全隔离机制研究</w:t>
      </w:r>
      <w:r>
        <w:t xml:space="preserve">[J]. </w:t>
      </w:r>
      <w:r>
        <w:t>通信学报</w:t>
      </w:r>
      <w:r>
        <w:t>, 2025, 46(10): 63-74. DOI:10.11959/j.issn.1000-436x.2025188.</w:t>
      </w:r>
      <w:bookmarkEnd w:id="142"/>
    </w:p>
    <w:p w14:paraId="48E829D0" w14:textId="77777777" w:rsidR="00B75CF9" w:rsidRDefault="004046C4">
      <w:pPr>
        <w:pStyle w:val="a"/>
        <w:ind w:left="360" w:hanging="360"/>
      </w:pPr>
      <w:bookmarkStart w:id="143" w:name="参考文献内容_34"/>
      <w:r>
        <w:t>JOINT TASK FORCE. Assessing Security and Privacy Controls in Information Syste</w:t>
      </w:r>
      <w:r>
        <w:t>ms and Organizations: NIST SP 800-53A Rev.5[R]. NIST, 2022. DOI:10.6028/NIST.SP.800-53Ar5.</w:t>
      </w:r>
      <w:bookmarkEnd w:id="143"/>
    </w:p>
    <w:p w14:paraId="0D98E276" w14:textId="77777777" w:rsidR="00B75CF9" w:rsidRDefault="004046C4">
      <w:pPr>
        <w:pStyle w:val="a"/>
        <w:ind w:left="360" w:hanging="360"/>
      </w:pPr>
      <w:bookmarkStart w:id="144" w:name="参考文献内容_36"/>
      <w:r>
        <w:t>温佳坤</w:t>
      </w:r>
      <w:r>
        <w:t xml:space="preserve">, </w:t>
      </w:r>
      <w:r>
        <w:t>袭龙</w:t>
      </w:r>
      <w:r>
        <w:t xml:space="preserve">, </w:t>
      </w:r>
      <w:r>
        <w:t>曹源</w:t>
      </w:r>
      <w:r>
        <w:t xml:space="preserve">, </w:t>
      </w:r>
      <w:r>
        <w:t>等</w:t>
      </w:r>
      <w:r>
        <w:t xml:space="preserve">. </w:t>
      </w:r>
      <w:r>
        <w:t>基于微分博弈的容器网络安全防护方法研究</w:t>
      </w:r>
      <w:r>
        <w:t xml:space="preserve">[J]. </w:t>
      </w:r>
      <w:r>
        <w:t>通信学报</w:t>
      </w:r>
      <w:r>
        <w:t>, 2026, 47(1): 201-212. DOI:10.11959/j.issn.1000-436x.2026023.</w:t>
      </w:r>
      <w:bookmarkEnd w:id="144"/>
    </w:p>
    <w:p w14:paraId="3D3490CD" w14:textId="77777777" w:rsidR="00B75CF9" w:rsidRDefault="004046C4">
      <w:pPr>
        <w:pStyle w:val="a"/>
        <w:ind w:left="360" w:hanging="360"/>
      </w:pPr>
      <w:bookmarkStart w:id="145" w:name="参考文献内容_38"/>
      <w:r>
        <w:t>CHANDRAMOULI R, BUTCHER Z. A Zero Trust Architecture Model</w:t>
      </w:r>
      <w:r>
        <w:t xml:space="preserve"> for Access Control in Cloud-Native Applications in Multi-Cloud Environments: NIST SP 800-207A[R]. NIST, 2023. DOI:10.6028/NIST.SP.800-207A.</w:t>
      </w:r>
      <w:bookmarkEnd w:id="145"/>
    </w:p>
    <w:p w14:paraId="24A3CA56" w14:textId="77777777" w:rsidR="00B75CF9" w:rsidRDefault="004046C4">
      <w:pPr>
        <w:pStyle w:val="a"/>
        <w:ind w:left="360" w:hanging="360"/>
      </w:pPr>
      <w:bookmarkStart w:id="146" w:name="参考文献内容_40"/>
      <w:r>
        <w:t>CYBERSECURITY AND INFRASTRUCTURE SECURITY AGENCY. Zero Trust Maturity Model, Version 2.0[R]. CISA, 2023.</w:t>
      </w:r>
      <w:bookmarkEnd w:id="146"/>
    </w:p>
    <w:p w14:paraId="3A96121F" w14:textId="77777777" w:rsidR="00B75CF9" w:rsidRDefault="004046C4">
      <w:pPr>
        <w:pStyle w:val="a"/>
        <w:ind w:left="360" w:hanging="360"/>
        <w:sectPr w:rsidR="00B75CF9" w:rsidSect="000A6557">
          <w:endnotePr>
            <w:numFmt w:val="decimal"/>
          </w:endnotePr>
          <w:type w:val="continuous"/>
          <w:pgSz w:w="11906" w:h="16838" w:code="9"/>
          <w:pgMar w:top="1701" w:right="1134" w:bottom="1134" w:left="1134" w:header="992" w:footer="851" w:gutter="0"/>
          <w:cols w:num="2" w:space="420"/>
          <w:docGrid w:type="linesAndChars" w:linePitch="312"/>
        </w:sectPr>
      </w:pPr>
      <w:bookmarkStart w:id="147" w:name="参考文献内容_42"/>
      <w:r>
        <w:t>TEMOSHOK D, FENTON J, CHOONG Y Y, et al. Digital Identity Guidelines: Authentication and Authenticator Management: NIST SP 800-63B-4[R]. NIST, 2025. DOI:10.6028/NIST.SP.800-63B-4.</w:t>
      </w:r>
      <w:bookmarkEnd w:id="147"/>
    </w:p>
    <w:p w14:paraId="2A41F0AD" w14:textId="77777777" w:rsidR="00B75CF9" w:rsidRDefault="004046C4">
      <w:pPr>
        <w:spacing w:after="200" w:line="276" w:lineRule="auto"/>
        <w:jc w:val="center"/>
      </w:pPr>
      <w:bookmarkStart w:id="148" w:name="附录_1"/>
      <w:r>
        <w:rPr>
          <w:rFonts w:eastAsia="Noto Serif CJK SC"/>
          <w:b/>
        </w:rPr>
        <w:t>附录</w:t>
      </w:r>
      <w:r>
        <w:rPr>
          <w:rFonts w:eastAsia="Noto Serif CJK SC"/>
          <w:b/>
        </w:rPr>
        <w:t xml:space="preserve">A  </w:t>
      </w:r>
      <w:r>
        <w:rPr>
          <w:rFonts w:eastAsia="Noto Serif CJK SC"/>
          <w:b/>
        </w:rPr>
        <w:t>三级判定链形式化验证核心代码</w:t>
      </w:r>
      <w:bookmarkEnd w:id="148"/>
    </w:p>
    <w:p w14:paraId="3EBAE647" w14:textId="77777777" w:rsidR="00B75CF9" w:rsidRDefault="004046C4">
      <w:pPr>
        <w:spacing w:after="200" w:line="276" w:lineRule="auto"/>
        <w:jc w:val="left"/>
      </w:pPr>
      <w:bookmarkStart w:id="149" w:name="怀疑其他_2"/>
      <w:r>
        <w:rPr>
          <w:rFonts w:eastAsia="Noto Serif CJK SC"/>
        </w:rPr>
        <w:t>为便于复核第</w:t>
      </w:r>
      <w:r>
        <w:rPr>
          <w:rFonts w:eastAsia="Noto Serif CJK SC"/>
        </w:rPr>
        <w:t>5.5</w:t>
      </w:r>
      <w:r>
        <w:rPr>
          <w:rFonts w:eastAsia="Noto Serif CJK SC"/>
        </w:rPr>
        <w:t>节的三级判定链形式化检验</w:t>
      </w:r>
      <w:r>
        <w:rPr>
          <w:rFonts w:eastAsia="Noto Serif CJK SC"/>
        </w:rPr>
        <w:t>结果，给出核心验证代码（运行环境：</w:t>
      </w:r>
      <w:r>
        <w:rPr>
          <w:rFonts w:eastAsia="Noto Serif CJK SC"/>
        </w:rPr>
        <w:t>Python 3.8 + z3-solver</w:t>
      </w:r>
      <w:r>
        <w:rPr>
          <w:rFonts w:eastAsia="Noto Serif CJK SC"/>
        </w:rPr>
        <w:t>）。判定函数</w:t>
      </w:r>
      <w:r>
        <w:rPr>
          <w:rFonts w:eastAsia="Noto Serif CJK SC"/>
        </w:rPr>
        <w:t xml:space="preserve"> decide </w:t>
      </w:r>
      <w:r>
        <w:rPr>
          <w:rFonts w:eastAsia="Noto Serif CJK SC"/>
        </w:rPr>
        <w:t>与正文伪代码一致，属性取值域编码为有限域整数；三条性质分别以全组合枚举、</w:t>
      </w:r>
      <w:r>
        <w:rPr>
          <w:rFonts w:eastAsia="Noto Serif CJK SC"/>
        </w:rPr>
        <w:t xml:space="preserve">SMT </w:t>
      </w:r>
      <w:r>
        <w:rPr>
          <w:rFonts w:eastAsia="Noto Serif CJK SC"/>
        </w:rPr>
        <w:t>反证与逐规则可达性检验实现。为便于复现，判定函数采用简化谓词，未逐一写入表</w:t>
      </w:r>
      <w:r>
        <w:rPr>
          <w:rFonts w:eastAsia="Noto Serif CJK SC"/>
        </w:rPr>
        <w:t>3</w:t>
      </w:r>
      <w:r>
        <w:rPr>
          <w:rFonts w:eastAsia="Noto Serif CJK SC"/>
        </w:rPr>
        <w:t>、表</w:t>
      </w:r>
      <w:r>
        <w:rPr>
          <w:rFonts w:eastAsia="Noto Serif CJK SC"/>
        </w:rPr>
        <w:t>4</w:t>
      </w:r>
      <w:r>
        <w:rPr>
          <w:rFonts w:eastAsia="Noto Serif CJK SC"/>
        </w:rPr>
        <w:t>规则描述中的全部前置条件（如身份状态、证书状态），故部分规则在谓词成立输入上存在预期内的禁止优先遮蔽，正文第</w:t>
      </w:r>
      <w:r>
        <w:rPr>
          <w:rFonts w:eastAsia="Noto Serif CJK SC"/>
        </w:rPr>
        <w:t>5.5</w:t>
      </w:r>
      <w:r>
        <w:rPr>
          <w:rFonts w:eastAsia="Noto Serif CJK SC"/>
        </w:rPr>
        <w:t>节已据此统计并分类。</w:t>
      </w:r>
      <w:bookmarkEnd w:id="149"/>
    </w:p>
    <w:p w14:paraId="23210BEF" w14:textId="77777777" w:rsidR="00B75CF9" w:rsidRDefault="004046C4">
      <w:pPr>
        <w:spacing w:after="200" w:line="276" w:lineRule="auto"/>
        <w:jc w:val="left"/>
      </w:pPr>
      <w:bookmarkStart w:id="150" w:name="怀疑其他_4"/>
      <w:r>
        <w:rPr>
          <w:rFonts w:eastAsia="Noto Serif CJK SC"/>
        </w:rPr>
        <w:t>（</w:t>
      </w:r>
      <w:r>
        <w:rPr>
          <w:rFonts w:eastAsia="Noto Serif CJK SC"/>
        </w:rPr>
        <w:t>1</w:t>
      </w:r>
      <w:r>
        <w:rPr>
          <w:rFonts w:eastAsia="Noto Serif CJK SC"/>
        </w:rPr>
        <w:t>）判定函数与属性取值域（节选，伪代码示意，非可直接执行代码）</w:t>
      </w:r>
      <w:bookmarkEnd w:id="150"/>
    </w:p>
    <w:p w14:paraId="45D39702" w14:textId="77777777" w:rsidR="00B75CF9" w:rsidRDefault="004046C4">
      <w:pPr>
        <w:spacing w:after="200" w:line="276" w:lineRule="auto"/>
        <w:jc w:val="left"/>
      </w:pPr>
      <w:bookmarkStart w:id="151" w:name="怀疑其他_6"/>
      <w:r>
        <w:rPr>
          <w:rFonts w:eastAsia="Noto Serif CJK SC"/>
        </w:rPr>
        <w:t>ALLOW, RESTRICTED, DE</w:t>
      </w:r>
      <w:r>
        <w:rPr>
          <w:rFonts w:eastAsia="Noto Serif CJK SC"/>
        </w:rPr>
        <w:t xml:space="preserve">NY = 0, 1, 2  # </w:t>
      </w:r>
      <w:r>
        <w:rPr>
          <w:rFonts w:eastAsia="Noto Serif CJK SC"/>
        </w:rPr>
        <w:t>决策输出</w:t>
      </w:r>
      <w:bookmarkEnd w:id="151"/>
    </w:p>
    <w:p w14:paraId="6154F0A1" w14:textId="77777777" w:rsidR="00B75CF9" w:rsidRDefault="004046C4">
      <w:pPr>
        <w:spacing w:after="200" w:line="276" w:lineRule="auto"/>
        <w:jc w:val="left"/>
      </w:pPr>
      <w:bookmarkStart w:id="152" w:name="怀疑其他_8"/>
      <w:r>
        <w:rPr>
          <w:rFonts w:eastAsia="Noto Serif CJK SC"/>
        </w:rPr>
        <w:t>U ∈ {0..6}</w:t>
      </w:r>
      <w:r>
        <w:rPr>
          <w:rFonts w:eastAsia="Noto Serif CJK SC"/>
        </w:rPr>
        <w:t>；</w:t>
      </w:r>
      <w:r>
        <w:rPr>
          <w:rFonts w:eastAsia="Noto Serif CJK SC"/>
        </w:rPr>
        <w:t>D ∈ {</w:t>
      </w:r>
      <w:r>
        <w:rPr>
          <w:rFonts w:eastAsia="Noto Serif CJK SC"/>
        </w:rPr>
        <w:t>可信</w:t>
      </w:r>
      <w:r>
        <w:rPr>
          <w:rFonts w:eastAsia="Noto Serif CJK SC"/>
        </w:rPr>
        <w:t xml:space="preserve">, </w:t>
      </w:r>
      <w:r>
        <w:rPr>
          <w:rFonts w:eastAsia="Noto Serif CJK SC"/>
        </w:rPr>
        <w:t>待修复</w:t>
      </w:r>
      <w:r>
        <w:rPr>
          <w:rFonts w:eastAsia="Noto Serif CJK SC"/>
        </w:rPr>
        <w:t xml:space="preserve">, </w:t>
      </w:r>
      <w:r>
        <w:rPr>
          <w:rFonts w:eastAsia="Noto Serif CJK SC"/>
        </w:rPr>
        <w:t>不可信</w:t>
      </w:r>
      <w:r>
        <w:rPr>
          <w:rFonts w:eastAsia="Noto Serif CJK SC"/>
        </w:rPr>
        <w:t>}</w:t>
      </w:r>
      <w:r>
        <w:rPr>
          <w:rFonts w:eastAsia="Noto Serif CJK SC"/>
        </w:rPr>
        <w:t>；</w:t>
      </w:r>
      <w:r>
        <w:rPr>
          <w:rFonts w:eastAsia="Noto Serif CJK SC"/>
        </w:rPr>
        <w:t>Zs, Zt ∈ {</w:t>
      </w:r>
      <w:r>
        <w:rPr>
          <w:rFonts w:eastAsia="Noto Serif CJK SC"/>
        </w:rPr>
        <w:t>客运区</w:t>
      </w:r>
      <w:r>
        <w:rPr>
          <w:rFonts w:eastAsia="Noto Serif CJK SC"/>
        </w:rPr>
        <w:t xml:space="preserve">, </w:t>
      </w:r>
      <w:r>
        <w:rPr>
          <w:rFonts w:eastAsia="Noto Serif CJK SC"/>
        </w:rPr>
        <w:t>办公区</w:t>
      </w:r>
      <w:r>
        <w:rPr>
          <w:rFonts w:eastAsia="Noto Serif CJK SC"/>
        </w:rPr>
        <w:t xml:space="preserve">, </w:t>
      </w:r>
      <w:r>
        <w:rPr>
          <w:rFonts w:eastAsia="Noto Serif CJK SC"/>
        </w:rPr>
        <w:t>运维区</w:t>
      </w:r>
      <w:r>
        <w:rPr>
          <w:rFonts w:eastAsia="Noto Serif CJK SC"/>
        </w:rPr>
        <w:t>}</w:t>
      </w:r>
      <w:bookmarkEnd w:id="152"/>
    </w:p>
    <w:p w14:paraId="12A04694" w14:textId="77777777" w:rsidR="00B75CF9" w:rsidRDefault="004046C4">
      <w:pPr>
        <w:spacing w:after="200" w:line="276" w:lineRule="auto"/>
        <w:jc w:val="left"/>
      </w:pPr>
      <w:bookmarkStart w:id="153" w:name="怀疑其他_10"/>
      <w:r>
        <w:rPr>
          <w:rFonts w:eastAsia="Noto Serif CJK SC"/>
        </w:rPr>
        <w:t>def decide(U, D, Zs, Zt, id_state, cert, wo, mfa, svc):</w:t>
      </w:r>
      <w:bookmarkEnd w:id="153"/>
    </w:p>
    <w:p w14:paraId="29C0596F" w14:textId="77777777" w:rsidR="00B75CF9" w:rsidRDefault="004046C4">
      <w:pPr>
        <w:spacing w:after="200" w:line="276" w:lineRule="auto"/>
        <w:jc w:val="left"/>
      </w:pPr>
      <w:bookmarkStart w:id="154" w:name="怀疑其他_12"/>
      <w:r>
        <w:rPr>
          <w:rFonts w:eastAsia="Noto Serif CJK SC"/>
        </w:rPr>
        <w:lastRenderedPageBreak/>
        <w:t xml:space="preserve"># </w:t>
      </w:r>
      <w:r>
        <w:rPr>
          <w:rFonts w:eastAsia="Noto Serif CJK SC"/>
        </w:rPr>
        <w:t>禁止性条件</w:t>
      </w:r>
      <w:r>
        <w:rPr>
          <w:rFonts w:eastAsia="Noto Serif CJK SC"/>
        </w:rPr>
        <w:t xml:space="preserve"> C-</w:t>
      </w:r>
      <w:r>
        <w:rPr>
          <w:rFonts w:eastAsia="Noto Serif CJK SC"/>
        </w:rPr>
        <w:t>（任一成立即拒绝）</w:t>
      </w:r>
      <w:bookmarkEnd w:id="154"/>
    </w:p>
    <w:p w14:paraId="5333BD9B" w14:textId="77777777" w:rsidR="00B75CF9" w:rsidRDefault="004046C4">
      <w:pPr>
        <w:pStyle w:val="afe"/>
        <w:ind w:firstLine="420"/>
      </w:pPr>
      <w:bookmarkStart w:id="155" w:name="正文段落_74"/>
      <w:r>
        <w:t>if id_state==</w:t>
      </w:r>
      <w:r>
        <w:t>无效</w:t>
      </w:r>
      <w:r>
        <w:t xml:space="preserve"> or cert==</w:t>
      </w:r>
      <w:r>
        <w:t>撤销</w:t>
      </w:r>
      <w:r>
        <w:t>: return DENY</w:t>
      </w:r>
      <w:bookmarkEnd w:id="155"/>
    </w:p>
    <w:p w14:paraId="02FDCBB0" w14:textId="77777777" w:rsidR="00B75CF9" w:rsidRDefault="004046C4">
      <w:pPr>
        <w:pStyle w:val="afe"/>
        <w:ind w:firstLine="420"/>
      </w:pPr>
      <w:bookmarkStart w:id="156" w:name="正文段落_75"/>
      <w:r>
        <w:t>if U==</w:t>
      </w:r>
      <w:r>
        <w:t>检票</w:t>
      </w:r>
      <w:r>
        <w:t xml:space="preserve"> and Zs==</w:t>
      </w:r>
      <w:r>
        <w:t>客运区</w:t>
      </w:r>
      <w:r>
        <w:t xml:space="preserve"> and Zt!=</w:t>
      </w:r>
      <w:r>
        <w:t>客运区</w:t>
      </w:r>
      <w:r>
        <w:t>: return DENY</w:t>
      </w:r>
      <w:bookmarkEnd w:id="156"/>
    </w:p>
    <w:p w14:paraId="5D7BD363" w14:textId="77777777" w:rsidR="00B75CF9" w:rsidRDefault="004046C4">
      <w:pPr>
        <w:pStyle w:val="afe"/>
        <w:ind w:firstLine="420"/>
      </w:pPr>
      <w:bookmarkStart w:id="157" w:name="正文段落_76"/>
      <w:r>
        <w:t>if wo==</w:t>
      </w:r>
      <w:r>
        <w:t>过期</w:t>
      </w:r>
      <w:r>
        <w:t xml:space="preserve"> and </w:t>
      </w:r>
      <w:r>
        <w:t>svc==</w:t>
      </w:r>
      <w:r>
        <w:t>监测管理</w:t>
      </w:r>
      <w:r>
        <w:t>: return DENY</w:t>
      </w:r>
      <w:bookmarkEnd w:id="157"/>
    </w:p>
    <w:p w14:paraId="72695C7F" w14:textId="77777777" w:rsidR="00B75CF9" w:rsidRDefault="004046C4">
      <w:pPr>
        <w:pStyle w:val="afe"/>
        <w:ind w:firstLine="420"/>
      </w:pPr>
      <w:bookmarkStart w:id="158" w:name="正文段落_77"/>
      <w:r>
        <w:t>if D==</w:t>
      </w:r>
      <w:r>
        <w:t>不可信</w:t>
      </w:r>
      <w:r>
        <w:t xml:space="preserve"> and svc==</w:t>
      </w:r>
      <w:r>
        <w:t>监测管理</w:t>
      </w:r>
      <w:r>
        <w:t>: return DENY</w:t>
      </w:r>
      <w:bookmarkEnd w:id="158"/>
    </w:p>
    <w:p w14:paraId="4F0E7BAE" w14:textId="77777777" w:rsidR="00B75CF9" w:rsidRDefault="004046C4">
      <w:pPr>
        <w:pStyle w:val="afe"/>
        <w:ind w:firstLine="420"/>
      </w:pPr>
      <w:bookmarkStart w:id="159" w:name="正文段落_78"/>
      <w:r>
        <w:t>if mfa==</w:t>
      </w:r>
      <w:r>
        <w:t>未通过</w:t>
      </w:r>
      <w:r>
        <w:t xml:space="preserve"> and svc==</w:t>
      </w:r>
      <w:r>
        <w:t>监测管理</w:t>
      </w:r>
      <w:r>
        <w:t>: return DENY</w:t>
      </w:r>
      <w:bookmarkEnd w:id="159"/>
    </w:p>
    <w:p w14:paraId="79ABB2AD" w14:textId="77777777" w:rsidR="00B75CF9" w:rsidRDefault="004046C4">
      <w:pPr>
        <w:spacing w:after="200" w:line="276" w:lineRule="auto"/>
        <w:jc w:val="left"/>
      </w:pPr>
      <w:bookmarkStart w:id="160" w:name="怀疑其他_24"/>
      <w:r>
        <w:rPr>
          <w:rFonts w:eastAsia="Noto Serif CJK SC"/>
        </w:rPr>
        <w:t xml:space="preserve"># </w:t>
      </w:r>
      <w:r>
        <w:rPr>
          <w:rFonts w:eastAsia="Noto Serif CJK SC"/>
        </w:rPr>
        <w:t>受限授权条件</w:t>
      </w:r>
      <w:r>
        <w:rPr>
          <w:rFonts w:eastAsia="Noto Serif CJK SC"/>
        </w:rPr>
        <w:t xml:space="preserve"> Cʳ</w:t>
      </w:r>
      <w:r>
        <w:rPr>
          <w:rFonts w:eastAsia="Noto Serif CJK SC"/>
        </w:rPr>
        <w:t>（限制可落实则受限允许）</w:t>
      </w:r>
      <w:bookmarkEnd w:id="160"/>
    </w:p>
    <w:p w14:paraId="4AF28956" w14:textId="77777777" w:rsidR="00B75CF9" w:rsidRDefault="004046C4">
      <w:pPr>
        <w:pStyle w:val="afe"/>
        <w:ind w:firstLine="420"/>
      </w:pPr>
      <w:bookmarkStart w:id="161" w:name="正文段落_79"/>
      <w:r>
        <w:t>if D==</w:t>
      </w:r>
      <w:r>
        <w:t>待修复</w:t>
      </w:r>
      <w:r>
        <w:t xml:space="preserve"> and svc==</w:t>
      </w:r>
      <w:r>
        <w:t>修复服务</w:t>
      </w:r>
      <w:r>
        <w:t>: return RESTRICTED</w:t>
      </w:r>
      <w:bookmarkEnd w:id="161"/>
    </w:p>
    <w:p w14:paraId="558B970F" w14:textId="77777777" w:rsidR="00B75CF9" w:rsidRDefault="004046C4">
      <w:pPr>
        <w:pStyle w:val="afe"/>
        <w:ind w:firstLine="420"/>
      </w:pPr>
      <w:bookmarkStart w:id="162" w:name="正文段落_80"/>
      <w:r>
        <w:t>if U==</w:t>
      </w:r>
      <w:r>
        <w:t>移动运维</w:t>
      </w:r>
      <w:r>
        <w:t xml:space="preserve"> and wo==</w:t>
      </w:r>
      <w:r>
        <w:t>有效</w:t>
      </w:r>
      <w:r>
        <w:t xml:space="preserve"> and mfa==</w:t>
      </w:r>
      <w:r>
        <w:t>通过</w:t>
      </w:r>
      <w:r>
        <w:t xml:space="preserve"> and svc==</w:t>
      </w:r>
      <w:r>
        <w:t>管理接口</w:t>
      </w:r>
      <w:r>
        <w:t>: return RESTRICTED</w:t>
      </w:r>
      <w:bookmarkEnd w:id="162"/>
    </w:p>
    <w:p w14:paraId="672F0D16" w14:textId="77777777" w:rsidR="00B75CF9" w:rsidRDefault="004046C4">
      <w:pPr>
        <w:pStyle w:val="afe"/>
        <w:ind w:firstLine="420"/>
      </w:pPr>
      <w:bookmarkStart w:id="163" w:name="正文段落_81"/>
      <w:r>
        <w:t>if U==</w:t>
      </w:r>
      <w:r>
        <w:t>授权运维</w:t>
      </w:r>
      <w:r>
        <w:t xml:space="preserve"> and D==</w:t>
      </w:r>
      <w:r>
        <w:t>可信</w:t>
      </w:r>
      <w:r>
        <w:t xml:space="preserve"> </w:t>
      </w:r>
      <w:r>
        <w:t>and wo==</w:t>
      </w:r>
      <w:r>
        <w:t>有效</w:t>
      </w:r>
      <w:r>
        <w:t xml:space="preserve"> and mfa==</w:t>
      </w:r>
      <w:r>
        <w:t>通过</w:t>
      </w:r>
      <w:r>
        <w:t xml:space="preserve"> and svc==</w:t>
      </w:r>
      <w:r>
        <w:t>监测管理</w:t>
      </w:r>
      <w:r>
        <w:t>: return RESTRICTED</w:t>
      </w:r>
      <w:bookmarkEnd w:id="163"/>
    </w:p>
    <w:p w14:paraId="131601C0" w14:textId="77777777" w:rsidR="00B75CF9" w:rsidRDefault="004046C4">
      <w:pPr>
        <w:spacing w:after="200" w:line="276" w:lineRule="auto"/>
        <w:jc w:val="left"/>
      </w:pPr>
      <w:bookmarkStart w:id="164" w:name="怀疑其他_32"/>
      <w:r>
        <w:rPr>
          <w:rFonts w:eastAsia="Noto Serif CJK SC"/>
        </w:rPr>
        <w:t xml:space="preserve"># </w:t>
      </w:r>
      <w:r>
        <w:rPr>
          <w:rFonts w:eastAsia="Noto Serif CJK SC"/>
        </w:rPr>
        <w:t>白名单授权条件</w:t>
      </w:r>
      <w:r>
        <w:rPr>
          <w:rFonts w:eastAsia="Noto Serif CJK SC"/>
        </w:rPr>
        <w:t xml:space="preserve"> C⁺</w:t>
      </w:r>
      <w:bookmarkEnd w:id="164"/>
    </w:p>
    <w:p w14:paraId="4E4DE6C9" w14:textId="77777777" w:rsidR="00B75CF9" w:rsidRDefault="004046C4">
      <w:pPr>
        <w:pStyle w:val="afe"/>
        <w:ind w:firstLine="420"/>
      </w:pPr>
      <w:bookmarkStart w:id="165" w:name="正文段落_82"/>
      <w:r>
        <w:t>if U==</w:t>
      </w:r>
      <w:r>
        <w:t>检票</w:t>
      </w:r>
      <w:r>
        <w:t xml:space="preserve"> and cert==</w:t>
      </w:r>
      <w:r>
        <w:t>有效</w:t>
      </w:r>
      <w:r>
        <w:t xml:space="preserve"> and D==</w:t>
      </w:r>
      <w:r>
        <w:t>可信</w:t>
      </w:r>
      <w:r>
        <w:t xml:space="preserve"> and Zs==Zt==</w:t>
      </w:r>
      <w:r>
        <w:t>客运区</w:t>
      </w:r>
      <w:r>
        <w:t xml:space="preserve"> and svc==</w:t>
      </w:r>
      <w:r>
        <w:t>客票</w:t>
      </w:r>
      <w:r>
        <w:t>: return ALLOW</w:t>
      </w:r>
      <w:bookmarkEnd w:id="165"/>
    </w:p>
    <w:p w14:paraId="1D9B842A" w14:textId="77777777" w:rsidR="00B75CF9" w:rsidRDefault="004046C4">
      <w:pPr>
        <w:spacing w:after="200" w:line="276" w:lineRule="auto"/>
        <w:jc w:val="left"/>
      </w:pPr>
      <w:commentRangeStart w:id="166"/>
      <w:r>
        <w:rPr>
          <w:rStyle w:val="a6"/>
        </w:rPr>
        <w:commentReference w:id="166"/>
      </w:r>
      <w:bookmarkStart w:id="167" w:name="怀疑_怀疑其他_36"/>
      <w:r>
        <w:rPr>
          <w:rFonts w:eastAsia="Noto Serif CJK SC"/>
        </w:rPr>
        <w:t xml:space="preserve">return DENY  # </w:t>
      </w:r>
      <w:r>
        <w:rPr>
          <w:rFonts w:eastAsia="Noto Serif CJK SC"/>
        </w:rPr>
        <w:t>默认拒绝</w:t>
      </w:r>
      <w:bookmarkEnd w:id="167"/>
      <w:commentRangeEnd w:id="166"/>
    </w:p>
    <w:p w14:paraId="6C2B76AC" w14:textId="77777777" w:rsidR="00B75CF9" w:rsidRDefault="004046C4">
      <w:pPr>
        <w:spacing w:after="200" w:line="276" w:lineRule="auto"/>
        <w:jc w:val="left"/>
      </w:pPr>
      <w:commentRangeStart w:id="168"/>
      <w:r>
        <w:rPr>
          <w:rStyle w:val="a6"/>
        </w:rPr>
        <w:commentReference w:id="168"/>
      </w:r>
      <w:bookmarkStart w:id="169" w:name="怀疑_怀疑其他_38"/>
      <w:r>
        <w:rPr>
          <w:rFonts w:eastAsia="Noto Serif CJK SC"/>
          <w:b/>
        </w:rPr>
        <w:t>（</w:t>
      </w:r>
      <w:r>
        <w:rPr>
          <w:rFonts w:eastAsia="Noto Serif CJK SC"/>
          <w:b/>
        </w:rPr>
        <w:t>2</w:t>
      </w:r>
      <w:r>
        <w:rPr>
          <w:rFonts w:eastAsia="Noto Serif CJK SC"/>
          <w:b/>
        </w:rPr>
        <w:t>）三条性质验证</w:t>
      </w:r>
      <w:bookmarkEnd w:id="169"/>
      <w:commentRangeEnd w:id="168"/>
    </w:p>
    <w:p w14:paraId="42CE5FEF" w14:textId="77777777" w:rsidR="00B75CF9" w:rsidRDefault="004046C4">
      <w:pPr>
        <w:spacing w:after="200" w:line="276" w:lineRule="auto"/>
        <w:jc w:val="left"/>
      </w:pPr>
      <w:commentRangeStart w:id="170"/>
      <w:r>
        <w:rPr>
          <w:rStyle w:val="a6"/>
        </w:rPr>
        <w:commentReference w:id="170"/>
      </w:r>
      <w:bookmarkStart w:id="171" w:name="怀疑_怀疑其他_40"/>
      <w:r>
        <w:rPr>
          <w:rFonts w:eastAsia="Noto Serif CJK SC"/>
        </w:rPr>
        <w:t xml:space="preserve">P1 </w:t>
      </w:r>
      <w:r>
        <w:rPr>
          <w:rFonts w:eastAsia="Noto Serif CJK SC"/>
        </w:rPr>
        <w:t>决策完备性：对</w:t>
      </w:r>
      <w:r>
        <w:rPr>
          <w:rFonts w:eastAsia="Noto Serif CJK SC"/>
        </w:rPr>
        <w:t xml:space="preserve"> U(7)×D(3)×Zs(3)×Zt(3)×</w:t>
      </w:r>
      <w:r>
        <w:rPr>
          <w:rFonts w:eastAsia="Noto Serif CJK SC"/>
        </w:rPr>
        <w:t>身份</w:t>
      </w:r>
      <w:r>
        <w:rPr>
          <w:rFonts w:eastAsia="Noto Serif CJK SC"/>
        </w:rPr>
        <w:t>(2)×</w:t>
      </w:r>
      <w:r>
        <w:rPr>
          <w:rFonts w:eastAsia="Noto Serif CJK SC"/>
        </w:rPr>
        <w:t>证书</w:t>
      </w:r>
      <w:r>
        <w:rPr>
          <w:rFonts w:eastAsia="Noto Serif CJK SC"/>
        </w:rPr>
        <w:t>(2)×</w:t>
      </w:r>
      <w:r>
        <w:rPr>
          <w:rFonts w:eastAsia="Noto Serif CJK SC"/>
        </w:rPr>
        <w:t>工单</w:t>
      </w:r>
      <w:r>
        <w:rPr>
          <w:rFonts w:eastAsia="Noto Serif CJK SC"/>
        </w:rPr>
        <w:t>(2)×MFA(2)×</w:t>
      </w:r>
      <w:r>
        <w:rPr>
          <w:rFonts w:eastAsia="Noto Serif CJK SC"/>
        </w:rPr>
        <w:t>服务</w:t>
      </w:r>
      <w:r>
        <w:rPr>
          <w:rFonts w:eastAsia="Noto Serif CJK SC"/>
        </w:rPr>
        <w:t xml:space="preserve">(6) </w:t>
      </w:r>
      <w:r>
        <w:rPr>
          <w:rFonts w:eastAsia="Noto Serif CJK SC"/>
        </w:rPr>
        <w:t>的全组合空间逐一枚举</w:t>
      </w:r>
      <w:r>
        <w:rPr>
          <w:rFonts w:eastAsia="Noto Serif CJK SC"/>
        </w:rPr>
        <w:t>，共</w:t>
      </w:r>
      <w:r>
        <w:rPr>
          <w:rFonts w:eastAsia="Noto Serif CJK SC"/>
        </w:rPr>
        <w:t xml:space="preserve"> 18144 </w:t>
      </w:r>
      <w:r>
        <w:rPr>
          <w:rFonts w:eastAsia="Noto Serif CJK SC"/>
        </w:rPr>
        <w:t>个组合，均恰得一个合法输出。</w:t>
      </w:r>
      <w:bookmarkEnd w:id="171"/>
      <w:commentRangeEnd w:id="170"/>
    </w:p>
    <w:p w14:paraId="68BCA796" w14:textId="77777777" w:rsidR="00B75CF9" w:rsidRDefault="004046C4">
      <w:pPr>
        <w:spacing w:after="200" w:line="276" w:lineRule="auto"/>
        <w:jc w:val="left"/>
      </w:pPr>
      <w:commentRangeStart w:id="172"/>
      <w:r>
        <w:rPr>
          <w:rStyle w:val="a6"/>
        </w:rPr>
        <w:commentReference w:id="172"/>
      </w:r>
      <w:bookmarkStart w:id="173" w:name="怀疑_怀疑其他_42"/>
      <w:r>
        <w:rPr>
          <w:rFonts w:eastAsia="Noto Serif CJK SC"/>
        </w:rPr>
        <w:t xml:space="preserve">P2 </w:t>
      </w:r>
      <w:r>
        <w:rPr>
          <w:rFonts w:eastAsia="Noto Serif CJK SC"/>
        </w:rPr>
        <w:t>禁止条件单调优先：将判定函数符号化后，向</w:t>
      </w:r>
      <w:r>
        <w:rPr>
          <w:rFonts w:eastAsia="Noto Serif CJK SC"/>
        </w:rPr>
        <w:t xml:space="preserve"> SMT </w:t>
      </w:r>
      <w:r>
        <w:rPr>
          <w:rFonts w:eastAsia="Noto Serif CJK SC"/>
        </w:rPr>
        <w:t>求解器加入</w:t>
      </w:r>
      <w:r>
        <w:rPr>
          <w:rFonts w:eastAsia="Noto Serif CJK SC"/>
        </w:rPr>
        <w:t>"</w:t>
      </w:r>
      <w:r>
        <w:rPr>
          <w:rFonts w:eastAsia="Noto Serif CJK SC"/>
        </w:rPr>
        <w:t>禁止性条件成立</w:t>
      </w:r>
      <w:r>
        <w:rPr>
          <w:rFonts w:eastAsia="Noto Serif CJK SC"/>
        </w:rPr>
        <w:t xml:space="preserve"> ∧ </w:t>
      </w:r>
      <w:r>
        <w:rPr>
          <w:rFonts w:eastAsia="Noto Serif CJK SC"/>
        </w:rPr>
        <w:t>决策</w:t>
      </w:r>
      <w:r>
        <w:rPr>
          <w:rFonts w:eastAsia="Noto Serif CJK SC"/>
        </w:rPr>
        <w:t>≠</w:t>
      </w:r>
      <w:r>
        <w:rPr>
          <w:rFonts w:eastAsia="Noto Serif CJK SC"/>
        </w:rPr>
        <w:t>拒绝</w:t>
      </w:r>
      <w:r>
        <w:rPr>
          <w:rFonts w:eastAsia="Noto Serif CJK SC"/>
        </w:rPr>
        <w:t>"</w:t>
      </w:r>
      <w:r>
        <w:rPr>
          <w:rFonts w:eastAsia="Noto Serif CJK SC"/>
        </w:rPr>
        <w:t>，求解结果为</w:t>
      </w:r>
      <w:r>
        <w:rPr>
          <w:rFonts w:eastAsia="Noto Serif CJK SC"/>
        </w:rPr>
        <w:t xml:space="preserve"> unsat</w:t>
      </w:r>
      <w:r>
        <w:rPr>
          <w:rFonts w:eastAsia="Noto Serif CJK SC"/>
        </w:rPr>
        <w:t>，证明不存在反例。</w:t>
      </w:r>
      <w:bookmarkEnd w:id="173"/>
      <w:commentRangeEnd w:id="172"/>
    </w:p>
    <w:p w14:paraId="57C1E424" w14:textId="77777777" w:rsidR="00B75CF9" w:rsidRDefault="004046C4">
      <w:pPr>
        <w:spacing w:after="200" w:line="276" w:lineRule="auto"/>
        <w:jc w:val="left"/>
      </w:pPr>
      <w:commentRangeStart w:id="174"/>
      <w:r>
        <w:rPr>
          <w:rStyle w:val="a6"/>
        </w:rPr>
        <w:commentReference w:id="174"/>
      </w:r>
      <w:bookmarkStart w:id="175" w:name="怀疑_怀疑其他_44"/>
      <w:r>
        <w:rPr>
          <w:rFonts w:eastAsia="Noto Serif CJK SC"/>
        </w:rPr>
        <w:t xml:space="preserve">P3 </w:t>
      </w:r>
      <w:r>
        <w:rPr>
          <w:rFonts w:eastAsia="Noto Serif CJK SC"/>
        </w:rPr>
        <w:t>规则可达性：对每条规则</w:t>
      </w:r>
      <w:r>
        <w:rPr>
          <w:rFonts w:eastAsia="Noto Serif CJK SC"/>
        </w:rPr>
        <w:t xml:space="preserve"> r </w:t>
      </w:r>
      <w:r>
        <w:rPr>
          <w:rFonts w:eastAsia="Noto Serif CJK SC"/>
        </w:rPr>
        <w:t>枚举其谓词成立的全部输入集合</w:t>
      </w:r>
      <w:r>
        <w:rPr>
          <w:rFonts w:eastAsia="Noto Serif CJK SC"/>
        </w:rPr>
        <w:t xml:space="preserve"> M_r</w:t>
      </w:r>
      <w:r>
        <w:rPr>
          <w:rFonts w:eastAsia="Noto Serif CJK SC"/>
        </w:rPr>
        <w:t>，检验是否存在</w:t>
      </w:r>
      <w:r>
        <w:rPr>
          <w:rFonts w:eastAsia="Noto Serif CJK SC"/>
        </w:rPr>
        <w:t xml:space="preserve"> X∈M_r </w:t>
      </w:r>
      <w:r>
        <w:rPr>
          <w:rFonts w:eastAsia="Noto Serif CJK SC"/>
        </w:rPr>
        <w:t>使输出等于规则预期，</w:t>
      </w:r>
      <w:r>
        <w:rPr>
          <w:rFonts w:eastAsia="Noto Serif CJK SC"/>
        </w:rPr>
        <w:t xml:space="preserve">10 </w:t>
      </w:r>
      <w:r>
        <w:rPr>
          <w:rFonts w:eastAsia="Noto Serif CJK SC"/>
        </w:rPr>
        <w:t>条规则均存在可达输入，无完全不可达的死规则；并统计各规则的部分遮蔽率</w:t>
      </w:r>
      <w:r>
        <w:rPr>
          <w:rFonts w:eastAsia="Noto Serif CJK SC"/>
        </w:rPr>
        <w:t>——P03</w:t>
      </w:r>
      <w:r>
        <w:rPr>
          <w:rFonts w:eastAsia="Noto Serif CJK SC"/>
        </w:rPr>
        <w:t>、</w:t>
      </w:r>
      <w:r>
        <w:rPr>
          <w:rFonts w:eastAsia="Noto Serif CJK SC"/>
        </w:rPr>
        <w:t>P04</w:t>
      </w:r>
      <w:r>
        <w:rPr>
          <w:rFonts w:eastAsia="Noto Serif CJK SC"/>
        </w:rPr>
        <w:t>、</w:t>
      </w:r>
      <w:r>
        <w:rPr>
          <w:rFonts w:eastAsia="Noto Serif CJK SC"/>
        </w:rPr>
        <w:t xml:space="preserve">P06 </w:t>
      </w:r>
      <w:r>
        <w:rPr>
          <w:rFonts w:eastAsia="Noto Serif CJK SC"/>
        </w:rPr>
        <w:t>分别为</w:t>
      </w:r>
      <w:r>
        <w:rPr>
          <w:rFonts w:eastAsia="Noto Serif CJK SC"/>
        </w:rPr>
        <w:t xml:space="preserve"> 75.8%</w:t>
      </w:r>
      <w:r>
        <w:rPr>
          <w:rFonts w:eastAsia="Noto Serif CJK SC"/>
        </w:rPr>
        <w:t>、</w:t>
      </w:r>
      <w:r>
        <w:rPr>
          <w:rFonts w:eastAsia="Noto Serif CJK SC"/>
        </w:rPr>
        <w:t>75%</w:t>
      </w:r>
      <w:r>
        <w:rPr>
          <w:rFonts w:eastAsia="Noto Serif CJK SC"/>
        </w:rPr>
        <w:t>、</w:t>
      </w:r>
      <w:r>
        <w:rPr>
          <w:rFonts w:eastAsia="Noto Serif CJK SC"/>
        </w:rPr>
        <w:t>75%</w:t>
      </w:r>
      <w:r>
        <w:rPr>
          <w:rFonts w:eastAsia="Noto Serif CJK SC"/>
        </w:rPr>
        <w:t>，</w:t>
      </w:r>
      <w:r>
        <w:rPr>
          <w:rFonts w:eastAsia="Noto Serif CJK SC"/>
        </w:rPr>
        <w:t xml:space="preserve">P01 </w:t>
      </w:r>
      <w:r>
        <w:rPr>
          <w:rFonts w:eastAsia="Noto Serif CJK SC"/>
        </w:rPr>
        <w:t>为</w:t>
      </w:r>
      <w:r>
        <w:rPr>
          <w:rFonts w:eastAsia="Noto Serif CJK SC"/>
        </w:rPr>
        <w:t xml:space="preserve"> 50%</w:t>
      </w:r>
      <w:r>
        <w:rPr>
          <w:rFonts w:eastAsia="Noto Serif CJK SC"/>
        </w:rPr>
        <w:t>，</w:t>
      </w:r>
      <w:r>
        <w:rPr>
          <w:rFonts w:eastAsia="Noto Serif CJK SC"/>
        </w:rPr>
        <w:t xml:space="preserve">P08 </w:t>
      </w:r>
      <w:r>
        <w:rPr>
          <w:rFonts w:eastAsia="Noto Serif CJK SC"/>
        </w:rPr>
        <w:t>为</w:t>
      </w:r>
      <w:r>
        <w:rPr>
          <w:rFonts w:eastAsia="Noto Serif CJK SC"/>
        </w:rPr>
        <w:t xml:space="preserve"> 1.7%</w:t>
      </w:r>
      <w:r>
        <w:rPr>
          <w:rFonts w:eastAsia="Noto Serif CJK SC"/>
        </w:rPr>
        <w:t>，其中</w:t>
      </w:r>
      <w:r>
        <w:rPr>
          <w:rFonts w:eastAsia="Noto Serif CJK SC"/>
        </w:rPr>
        <w:t xml:space="preserve"> P0</w:t>
      </w:r>
      <w:r>
        <w:rPr>
          <w:rFonts w:eastAsia="Noto Serif CJK SC"/>
        </w:rPr>
        <w:t xml:space="preserve">3/P04/P06/P01 </w:t>
      </w:r>
      <w:r>
        <w:rPr>
          <w:rFonts w:eastAsia="Noto Serif CJK SC"/>
        </w:rPr>
        <w:t>的遮蔽属禁止条件优先的设计意图，</w:t>
      </w:r>
      <w:r>
        <w:rPr>
          <w:rFonts w:eastAsia="Noto Serif CJK SC"/>
        </w:rPr>
        <w:t xml:space="preserve">P08 </w:t>
      </w:r>
      <w:r>
        <w:rPr>
          <w:rFonts w:eastAsia="Noto Serif CJK SC"/>
        </w:rPr>
        <w:t>的</w:t>
      </w:r>
      <w:r>
        <w:rPr>
          <w:rFonts w:eastAsia="Noto Serif CJK SC"/>
        </w:rPr>
        <w:t xml:space="preserve"> 18 </w:t>
      </w:r>
      <w:r>
        <w:rPr>
          <w:rFonts w:eastAsia="Noto Serif CJK SC"/>
        </w:rPr>
        <w:t>例遮蔽源于</w:t>
      </w:r>
      <w:r>
        <w:rPr>
          <w:rFonts w:eastAsia="Noto Serif CJK SC"/>
        </w:rPr>
        <w:t xml:space="preserve"> P03 </w:t>
      </w:r>
      <w:r>
        <w:rPr>
          <w:rFonts w:eastAsia="Noto Serif CJK SC"/>
        </w:rPr>
        <w:t>优先级高于</w:t>
      </w:r>
      <w:r>
        <w:rPr>
          <w:rFonts w:eastAsia="Noto Serif CJK SC"/>
        </w:rPr>
        <w:t xml:space="preserve"> P08</w:t>
      </w:r>
      <w:r>
        <w:rPr>
          <w:rFonts w:eastAsia="Noto Serif CJK SC"/>
        </w:rPr>
        <w:t>。</w:t>
      </w:r>
      <w:bookmarkEnd w:id="175"/>
      <w:commentRangeEnd w:id="174"/>
    </w:p>
    <w:sectPr w:rsidR="00B75CF9" w:rsidSect="000A6557">
      <w:endnotePr>
        <w:numFmt w:val="decimal"/>
      </w:endnotePr>
      <w:type w:val="continuous"/>
      <w:pgSz w:w="11906" w:h="16838" w:code="9"/>
      <w:pgMar w:top="1701" w:right="1134" w:bottom="1134" w:left="1134" w:header="992" w:footer="851" w:gutter="0"/>
      <w:cols w:space="720"/>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66" w:author="" w:initials="">
    <w:p w14:paraId="2DA46022" w14:textId="77777777" w:rsidR="00B75CF9" w:rsidRDefault="004046C4">
      <w:pPr>
        <w:pStyle w:val="ad"/>
      </w:pPr>
      <w:r>
        <w:rPr>
          <w:rStyle w:val="a6"/>
        </w:rPr>
        <w:annotationRef/>
      </w:r>
      <w:r>
        <w:t>未识别排版，需自行调整</w:t>
      </w:r>
    </w:p>
  </w:comment>
  <w:comment w:id="168" w:author="" w:initials="">
    <w:p w14:paraId="7D1A0BD4" w14:textId="77777777" w:rsidR="00B75CF9" w:rsidRDefault="004046C4">
      <w:pPr>
        <w:pStyle w:val="ad"/>
      </w:pPr>
      <w:r>
        <w:rPr>
          <w:rStyle w:val="a6"/>
        </w:rPr>
        <w:annotationRef/>
      </w:r>
      <w:r>
        <w:t>未识别排版，需自行调整</w:t>
      </w:r>
    </w:p>
  </w:comment>
  <w:comment w:id="170" w:author="" w:initials="">
    <w:p w14:paraId="58DBE3A7" w14:textId="77777777" w:rsidR="00B75CF9" w:rsidRDefault="004046C4">
      <w:pPr>
        <w:pStyle w:val="ad"/>
      </w:pPr>
      <w:r>
        <w:rPr>
          <w:rStyle w:val="a6"/>
        </w:rPr>
        <w:annotationRef/>
      </w:r>
      <w:r>
        <w:t>未识别排版，需自行调整</w:t>
      </w:r>
    </w:p>
  </w:comment>
  <w:comment w:id="172" w:author="" w:initials="">
    <w:p w14:paraId="02DE874E" w14:textId="77777777" w:rsidR="00B75CF9" w:rsidRDefault="004046C4">
      <w:pPr>
        <w:pStyle w:val="ad"/>
      </w:pPr>
      <w:r>
        <w:rPr>
          <w:rStyle w:val="a6"/>
        </w:rPr>
        <w:annotationRef/>
      </w:r>
      <w:r>
        <w:t>未识别排版，需自行调整</w:t>
      </w:r>
    </w:p>
  </w:comment>
  <w:comment w:id="174" w:author="" w:initials="">
    <w:p w14:paraId="36788496" w14:textId="77777777" w:rsidR="00B75CF9" w:rsidRDefault="004046C4">
      <w:pPr>
        <w:pStyle w:val="ad"/>
      </w:pPr>
      <w:r>
        <w:rPr>
          <w:rStyle w:val="a6"/>
        </w:rPr>
        <w:annotationRef/>
      </w:r>
      <w:r>
        <w:t>未识别排版，需自行调整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DA46022" w15:done="0"/>
  <w15:commentEx w15:paraId="7D1A0BD4" w15:done="0"/>
  <w15:commentEx w15:paraId="58DBE3A7" w15:done="0"/>
  <w15:commentEx w15:paraId="02DE874E" w15:done="0"/>
  <w15:commentEx w15:paraId="367884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DA46022" w16cid:durableId="2E8E5AC7"/>
  <w16cid:commentId w16cid:paraId="7D1A0BD4" w16cid:durableId="2E8E5AC8"/>
  <w16cid:commentId w16cid:paraId="58DBE3A7" w16cid:durableId="2E8E5AC9"/>
  <w16cid:commentId w16cid:paraId="02DE874E" w16cid:durableId="2E8E5ACA"/>
  <w16cid:commentId w16cid:paraId="36788496" w16cid:durableId="2E8E5ACB"/>
</w16cid:commentsIds>
</file>

<file path=word/customizations.xml><?xml version="1.0" encoding="utf-8"?>
<wne:tcg xmlns:r="http://schemas.openxmlformats.org/officeDocument/2006/relationships" xmlns:wne="http://schemas.microsoft.com/office/word/2006/wordml">
  <wne:keymaps>
    <wne:keymap wne:kcmPrimary="0431">
      <wne:acd wne:acdName="acd13"/>
    </wne:keymap>
    <wne:keymap wne:kcmPrimary="0432">
      <wne:acd wne:acdName="acd12"/>
    </wne:keymap>
    <wne:keymap wne:kcmPrimary="0433">
      <wne:acd wne:acdName="acd11"/>
    </wne:keymap>
    <wne:keymap wne:kcmPrimary="0434">
      <wne:acd wne:acdName="acd14"/>
    </wne:keymap>
    <wne:keymap wne:kcmPrimary="0435">
      <wne:acd wne:acdName="acd15"/>
    </wne:keymap>
    <wne:keymap wne:kcmPrimary="0436">
      <wne:acd wne:acdName="acd16"/>
    </wne:keymap>
    <wne:keymap wne:kcmPrimary="0437">
      <wne:acd wne:acdName="acd17"/>
    </wne:keymap>
    <wne:keymap wne:kcmPrimary="0438">
      <wne:acd wne:acdName="acd18"/>
    </wne:keymap>
    <wne:keymap wne:kcmPrimary="0442">
      <wne:acd wne:acdName="acd25"/>
    </wne:keymap>
    <wne:keymap wne:kcmPrimary="0447">
      <wne:acd wne:acdName="acd10"/>
    </wne:keymap>
    <wne:keymap wne:kcmPrimary="044A">
      <wne:acd wne:acdName="acd3"/>
    </wne:keymap>
    <wne:keymap wne:kcmPrimary="0450">
      <wne:acd wne:acdName="acd26"/>
    </wne:keymap>
    <wne:keymap wne:kcmPrimary="0452">
      <wne:acd wne:acdName="acd0"/>
    </wne:keymap>
    <wne:keymap wne:kcmPrimary="045A">
      <wne:acd wne:acdName="acd9"/>
    </wne:keymap>
    <wne:keymap wne:kcmPrimary="0542">
      <wne:acd wne:acdName="acd5"/>
    </wne:keymap>
    <wne:keymap wne:kcmPrimary="0547">
      <wne:acd wne:acdName="acd7"/>
    </wne:keymap>
    <wne:keymap wne:kcmPrimary="0550">
      <wne:acd wne:acdName="acd1"/>
    </wne:keymap>
    <wne:keymap wne:kcmPrimary="0634">
      <wne:acd wne:acdName="acd19"/>
    </wne:keymap>
    <wne:keymap wne:kcmPrimary="0635">
      <wne:acd wne:acdName="acd20"/>
    </wne:keymap>
    <wne:keymap wne:kcmPrimary="0636">
      <wne:acd wne:acdName="acd21"/>
    </wne:keymap>
    <wne:keymap wne:kcmPrimary="0637">
      <wne:acd wne:acdName="acd22"/>
    </wne:keymap>
    <wne:keymap wne:kcmPrimary="0638">
      <wne:acd wne:acdName="acd23"/>
    </wne:keymap>
    <wne:keymap wne:kcmPrimary="0642">
      <wne:acd wne:acdName="acd6"/>
    </wne:keymap>
    <wne:keymap wne:kcmPrimary="0647">
      <wne:acd wne:acdName="acd8"/>
    </wne:keymap>
    <wne:keymap wne:kcmPrimary="064A">
      <wne:acd wne:acdName="acd4"/>
    </wne:keymap>
    <wne:keymap wne:kcmPrimary="0650">
      <wne:acd wne:acdName="acd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Manifest>
  </wne:toolbars>
  <wne:acds>
    <wne:acd wne:argValue="AgDCUwOAh2Uuc4VRuVs3aA9f" wne:acdName="acd0" wne:fciIndexBasedOn="0065"/>
    <wne:acd wne:argValue="AgAI/y1OCf/+VpiYN2gPXw==" wne:acdName="acd1" wne:fciIndexBasedOn="0065"/>
    <wne:acd wne:argValue="AgAI//GCCf/+VpiYN2gPXw==" wne:acdName="acd2" wne:fciIndexBasedOn="0065"/>
    <wne:acd wne:argValue="AgAI/y1OCf/+VuhsN2gPXw==" wne:acdName="acd3" wne:fciIndexBasedOn="0065"/>
    <wne:acd wne:argValue="AgAI//GCCf/+VuhsN2gPXw==" wne:acdName="acd4" wne:fciIndexBasedOn="0065"/>
    <wne:acd wne:argValue="AgAI/y1OCf9oiJiYN2gPXw==" wne:acdName="acd5" wne:fciIndexBasedOn="0065"/>
    <wne:acd wne:argValue="AgAI//GCCf9oiJiYN2gPXw==" wne:acdName="acd6" wne:fciIndexBasedOn="0065"/>
    <wne:acd wne:argValue="AgAI/y1OCf9oiOhsN2gPXw==" wne:acdName="acd7" wne:fciIndexBasedOn="0065"/>
    <wne:acd wne:argValue="AgAI//GCCf9oiOhsN2gPXw==" wne:acdName="acd8" wne:fciIndexBasedOn="0065"/>
    <wne:acd wne:argValue="AgBja4dlN2gPXw==" wne:acdName="acd9" wne:fciIndexBasedOn="0065"/>
    <wne:acd wne:argValue="AgBsUQ9fN2gPXw==" wne:acdName="acd10" wne:fciIndexBasedOn="0065"/>
    <wne:acd wne:argValue="AgAJTqd+B2iYmDdoD18=" wne:acdName="acd11" wne:fciIndexBasedOn="0065"/>
    <wne:acd wne:argValue="AgCMTqd+B2iYmDdoD18=" wne:acdName="acd12" wne:fciIndexBasedOn="0065"/>
    <wne:acd wne:argValue="AgAATqd+B2iYmDdoD18=" wne:acdName="acd13" wne:fciIndexBasedOn="0065"/>
    <wne:acd wne:argValue="AgAI/y1OCf8HaJiYN2gPXw==" wne:acdName="acd14" wne:fciIndexBasedOn="0065"/>
    <wne:acd wne:argValue="AgAI/y1OCf9cTwWA01kNVDdoD18=" wne:acdName="acd15" wne:fciIndexBasedOn="0065"/>
    <wne:acd wne:argValue="AgAI/y1OCf9cTwWAVVNNTzdoD18=" wne:acdName="acd16" wne:fciIndexBasedOn="0065"/>
    <wne:acd wne:argValue="AgAI/y1OCf9YZIGJN2gPXw==" wne:acdName="acd17" wne:fciIndexBasedOn="0065"/>
    <wne:acd wne:argValue="AgAI/y1OCf9zUS6VzYs3aA9f" wne:acdName="acd18" wne:fciIndexBasedOn="0065"/>
    <wne:acd wne:argValue="AgAI//GCCf8HaJiYN2gPXw==" wne:acdName="acd19" wne:fciIndexBasedOn="0065"/>
    <wne:acd wne:argValue="AgAI//GCCf9cTwWA01kNVDdoD18=" wne:acdName="acd20" wne:fciIndexBasedOn="0065"/>
    <wne:acd wne:argValue="AgAI//GCCf9cTwWAVVNNTzdoD18=" wne:acdName="acd21" wne:fciIndexBasedOn="0065"/>
    <wne:acd wne:argValue="AgAI//GCCf9YZIGJN2gPXw==" wne:acdName="acd22" wne:fciIndexBasedOn="0065"/>
    <wne:acd wne:argValue="AgAI//GCCf9zUS6VzYs3aA9f" wne:acdName="acd23" wne:fciIndexBasedOn="0065"/>
    <wne:acd wne:acdName="acd24" wne:fciIndexBasedOn="0065"/>
    <wne:acd wne:argValue="AgBoiDxoN2gPXw==" wne:acdName="acd25" wne:fciIndexBasedOn="0065"/>
    <wne:acd wne:argValue="AgD+VjdoD18=" wne:acdName="acd2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A3EB3F" w14:textId="77777777" w:rsidR="004046C4" w:rsidRDefault="004046C4">
      <w:r>
        <w:separator/>
      </w:r>
    </w:p>
  </w:endnote>
  <w:endnote w:type="continuationSeparator" w:id="0">
    <w:p w14:paraId="6D81AC7C" w14:textId="77777777" w:rsidR="004046C4" w:rsidRDefault="00404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Noto Serif CJK SC">
    <w:altName w:val="Cambria"/>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1EFEB0" w14:textId="77777777" w:rsidR="00DE41DF" w:rsidRDefault="00DE41DF">
    <w:pPr>
      <w:pStyle w:val="a9"/>
      <w:ind w:left="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200B6B" w14:textId="77777777" w:rsidR="00DE41DF" w:rsidRDefault="00DE41DF">
    <w:pPr>
      <w:pStyle w:val="a9"/>
      <w:ind w:left="2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1ACD8C" w14:textId="77777777" w:rsidR="00DE41DF" w:rsidRPr="008E3EF9" w:rsidRDefault="00DE41DF" w:rsidP="008E3EF9">
    <w:pPr>
      <w:pStyle w:val="a9"/>
      <w:ind w:left="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8E99EA" w14:textId="77777777" w:rsidR="004046C4" w:rsidRDefault="004046C4">
      <w:r>
        <w:separator/>
      </w:r>
    </w:p>
  </w:footnote>
  <w:footnote w:type="continuationSeparator" w:id="0">
    <w:p w14:paraId="0062B160" w14:textId="77777777" w:rsidR="004046C4" w:rsidRDefault="004046C4">
      <w:r>
        <w:continuationSeparator/>
      </w:r>
    </w:p>
  </w:footnote>
  <w:footnote w:id="1">
    <w:p w14:paraId="52D57C89" w14:textId="15C9EEE8" w:rsidR="00EF6B2C" w:rsidRPr="00E54F2D" w:rsidRDefault="004046C4" w:rsidP="00840FA2">
      <w:pPr>
        <w:pStyle w:val="a9"/>
        <w:tabs>
          <w:tab w:val="clear" w:pos="4153"/>
          <w:tab w:val="clear" w:pos="8306"/>
        </w:tabs>
        <w:ind w:leftChars="200" w:left="1220" w:hangingChars="500" w:hanging="800"/>
        <w:jc w:val="both"/>
        <w:rPr>
          <w:szCs w:val="16"/>
        </w:rPr>
      </w:pPr>
      <w:bookmarkStart w:id="1" w:name="[（中）收稿日期]_1"/>
      <w:r w:rsidRPr="006E19D6">
        <w:rPr>
          <w:rFonts w:ascii="黑体" w:eastAsia="黑体" w:hAnsi="黑体"/>
          <w:szCs w:val="16"/>
        </w:rPr>
        <w:t>收稿日期：</w:t>
      </w:r>
      <w:r w:rsidR="00AC435A">
        <w:rPr>
          <w:rFonts w:hint="eastAsia"/>
        </w:rPr>
        <w:t>，</w:t>
      </w:r>
      <w:r w:rsidR="00B40899" w:rsidRPr="00B40899">
        <w:rPr>
          <w:rFonts w:ascii="黑体" w:eastAsia="黑体" w:hAnsi="黑体" w:hint="eastAsia"/>
          <w:szCs w:val="16"/>
        </w:rPr>
        <w:t>修回</w:t>
      </w:r>
      <w:r w:rsidR="00B40899" w:rsidRPr="00B40899">
        <w:rPr>
          <w:rFonts w:ascii="黑体" w:eastAsia="黑体" w:hAnsi="黑体"/>
          <w:szCs w:val="16"/>
        </w:rPr>
        <w:t>日期：</w:t>
      </w:r>
      <w:bookmarkEnd w:id="1"/>
    </w:p>
    <w:p w14:paraId="2D8A7F71" w14:textId="77777777" w:rsidR="00AC435A" w:rsidRPr="00E54F2D" w:rsidRDefault="004046C4" w:rsidP="00FF1A84">
      <w:pPr>
        <w:pStyle w:val="a9"/>
        <w:tabs>
          <w:tab w:val="clear" w:pos="4153"/>
          <w:tab w:val="clear" w:pos="8306"/>
        </w:tabs>
        <w:ind w:leftChars="200" w:left="420"/>
        <w:jc w:val="both"/>
        <w:rPr>
          <w:szCs w:val="16"/>
        </w:rPr>
      </w:pPr>
      <w:bookmarkStart w:id="2" w:name="[（中）基金项目]_1"/>
      <w:r w:rsidRPr="006E19D6">
        <w:rPr>
          <w:rFonts w:ascii="黑体" w:eastAsia="黑体" w:hAnsi="黑体"/>
          <w:szCs w:val="16"/>
        </w:rPr>
        <w:t>基金项目：</w:t>
      </w:r>
      <w:bookmarkEnd w:id="2"/>
    </w:p>
    <w:p w14:paraId="14B24CE6" w14:textId="422C4A58" w:rsidR="00EF6B2C" w:rsidRDefault="004046C4" w:rsidP="00FF1A84">
      <w:pPr>
        <w:pStyle w:val="a9"/>
        <w:tabs>
          <w:tab w:val="clear" w:pos="4153"/>
          <w:tab w:val="clear" w:pos="8306"/>
        </w:tabs>
        <w:ind w:leftChars="200" w:left="420"/>
        <w:jc w:val="both"/>
        <w:rPr>
          <w:rStyle w:val="aff4"/>
        </w:rPr>
      </w:pPr>
      <w:bookmarkStart w:id="3" w:name="[（中）作者简介]_1"/>
      <w:r w:rsidRPr="006E19D6">
        <w:rPr>
          <w:rFonts w:ascii="黑体" w:eastAsia="黑体" w:hAnsi="黑体"/>
          <w:szCs w:val="16"/>
        </w:rPr>
        <w:t>作者</w:t>
      </w:r>
      <w:r w:rsidRPr="006E19D6">
        <w:rPr>
          <w:rFonts w:ascii="黑体" w:eastAsia="黑体" w:hAnsi="黑体" w:hint="eastAsia"/>
          <w:szCs w:val="16"/>
        </w:rPr>
        <w:t>简介</w:t>
      </w:r>
      <w:r w:rsidRPr="006E19D6">
        <w:rPr>
          <w:rFonts w:ascii="黑体" w:eastAsia="黑体" w:hAnsi="黑体"/>
          <w:szCs w:val="16"/>
        </w:rPr>
        <w:t>：</w:t>
      </w:r>
      <w:bookmarkEnd w:id="3"/>
    </w:p>
    <w:p w14:paraId="18D8970A" w14:textId="5F94957D" w:rsidR="00EF6B2C" w:rsidRDefault="004046C4" w:rsidP="00FF1A84">
      <w:pPr>
        <w:pStyle w:val="a9"/>
        <w:tabs>
          <w:tab w:val="clear" w:pos="4153"/>
          <w:tab w:val="clear" w:pos="8306"/>
        </w:tabs>
        <w:ind w:leftChars="200" w:left="420"/>
        <w:jc w:val="both"/>
      </w:pPr>
      <w:bookmarkStart w:id="4" w:name="[（中）通信作者]_1"/>
      <w:r w:rsidRPr="006E19D6">
        <w:rPr>
          <w:rFonts w:ascii="黑体" w:eastAsia="黑体" w:hAnsi="黑体" w:hint="eastAsia"/>
          <w:szCs w:val="16"/>
        </w:rPr>
        <w:t>通信作者</w:t>
      </w:r>
      <w:r w:rsidRPr="006E19D6">
        <w:rPr>
          <w:rFonts w:ascii="黑体" w:eastAsia="黑体" w:hAnsi="黑体"/>
          <w:szCs w:val="16"/>
        </w:rPr>
        <w:t>：</w:t>
      </w:r>
      <w:bookmarkEnd w:id="4"/>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8E419B" w14:textId="77777777" w:rsidR="006775AB" w:rsidRDefault="006775AB" w:rsidP="006775AB">
    <w:pPr>
      <w:pBdr>
        <w:bottom w:val="single" w:sz="12" w:space="1" w:color="auto"/>
      </w:pBdr>
      <w:tabs>
        <w:tab w:val="center" w:pos="4820"/>
        <w:tab w:val="right" w:pos="9639"/>
      </w:tabs>
      <w:spacing w:line="264" w:lineRule="auto"/>
      <w:jc w:val="left"/>
      <w:rPr>
        <w:sz w:val="18"/>
        <w:szCs w:val="18"/>
      </w:rPr>
    </w:pPr>
  </w:p>
  <w:bookmarkStart w:id="12" w:name="[页眉作者1]_1"/>
  <w:p w14:paraId="69872C3E" w14:textId="4B3FA21E" w:rsidR="00DF00C0" w:rsidRDefault="004046C4" w:rsidP="006775AB">
    <w:pPr>
      <w:pBdr>
        <w:bottom w:val="single" w:sz="12" w:space="1" w:color="auto"/>
      </w:pBdr>
      <w:tabs>
        <w:tab w:val="center" w:pos="4820"/>
        <w:tab w:val="right" w:pos="9639"/>
      </w:tabs>
      <w:spacing w:line="264" w:lineRule="auto"/>
      <w:jc w:val="lef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2</w:t>
    </w:r>
    <w:r>
      <w:rPr>
        <w:sz w:val="18"/>
        <w:szCs w:val="18"/>
      </w:rPr>
      <w:fldChar w:fldCharType="end"/>
    </w:r>
    <w:r>
      <w:rPr>
        <w:sz w:val="18"/>
        <w:szCs w:val="18"/>
      </w:rPr>
      <w:tab/>
    </w:r>
    <w:r w:rsidR="004B54E0">
      <w:rPr>
        <w:rFonts w:hint="eastAsia"/>
        <w:sz w:val="18"/>
        <w:szCs w:val="18"/>
      </w:rPr>
      <w:t>等</w:t>
    </w:r>
    <w:r w:rsidR="004E69B4">
      <w:rPr>
        <w:rFonts w:hint="eastAsia"/>
        <w:sz w:val="18"/>
        <w:szCs w:val="18"/>
      </w:rPr>
      <w:t>：</w:t>
    </w:r>
    <w:r>
      <w:rPr>
        <w:sz w:val="18"/>
      </w:rPr>
      <w:t>铁路车站网络边界一体化防御系统设计与机制研究</w:t>
    </w:r>
    <w:r w:rsidRPr="00373E7E">
      <w:rPr>
        <w:rFonts w:hAnsi="宋体"/>
        <w:sz w:val="18"/>
        <w:szCs w:val="18"/>
      </w:rPr>
      <w:tab/>
    </w:r>
    <w:r w:rsidR="00B95F6C">
      <w:rPr>
        <w:rFonts w:hAnsi="宋体" w:hint="eastAsia"/>
        <w:sz w:val="18"/>
        <w:szCs w:val="18"/>
      </w:rPr>
      <w:t>第</w:t>
    </w:r>
    <w:r>
      <w:rPr>
        <w:sz w:val="18"/>
      </w:rPr>
      <w:t>**</w:t>
    </w:r>
    <w:r w:rsidR="00B95F6C">
      <w:rPr>
        <w:rFonts w:hint="eastAsia"/>
        <w:sz w:val="18"/>
        <w:szCs w:val="18"/>
      </w:rPr>
      <w:t>卷</w:t>
    </w:r>
    <w:bookmarkEnd w:id="12"/>
  </w:p>
  <w:p w14:paraId="45E597F0" w14:textId="77777777" w:rsidR="007A47A7" w:rsidRDefault="007A47A7">
    <w:pPr>
      <w:pStyle w:val="ab"/>
      <w:pBdr>
        <w:bottom w:val="none" w:sz="0" w:space="0" w:color="auto"/>
      </w:pBdr>
      <w:tabs>
        <w:tab w:val="clear" w:pos="4153"/>
        <w:tab w:val="clear" w:pos="8306"/>
      </w:tabs>
      <w:rPr>
        <w:sz w:val="11"/>
        <w:szCs w:val="1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EC677D" w14:textId="77777777" w:rsidR="005A363F" w:rsidRDefault="005A363F" w:rsidP="00AA7A0E">
    <w:pPr>
      <w:pBdr>
        <w:bottom w:val="single" w:sz="12" w:space="1" w:color="auto"/>
      </w:pBdr>
      <w:tabs>
        <w:tab w:val="center" w:pos="4820"/>
        <w:tab w:val="right" w:pos="9639"/>
      </w:tabs>
      <w:jc w:val="left"/>
      <w:rPr>
        <w:sz w:val="18"/>
        <w:szCs w:val="18"/>
      </w:rPr>
    </w:pPr>
  </w:p>
  <w:p w14:paraId="38D67A36" w14:textId="6E7A0530" w:rsidR="00AA7A0E" w:rsidRDefault="004046C4" w:rsidP="00AA7A0E">
    <w:pPr>
      <w:pBdr>
        <w:bottom w:val="single" w:sz="12" w:space="1" w:color="auto"/>
      </w:pBdr>
      <w:tabs>
        <w:tab w:val="center" w:pos="4820"/>
        <w:tab w:val="right" w:pos="9639"/>
      </w:tabs>
      <w:jc w:val="left"/>
      <w:rPr>
        <w:sz w:val="18"/>
        <w:szCs w:val="18"/>
      </w:rPr>
    </w:pPr>
    <w:r>
      <w:rPr>
        <w:sz w:val="18"/>
      </w:rPr>
      <w:t>****</w:t>
    </w:r>
    <w:r>
      <w:rPr>
        <w:rFonts w:hAnsi="宋体"/>
        <w:sz w:val="18"/>
        <w:szCs w:val="18"/>
      </w:rPr>
      <w:t>年第</w:t>
    </w:r>
    <w:r>
      <w:rPr>
        <w:sz w:val="18"/>
      </w:rPr>
      <w:t>**</w:t>
    </w:r>
    <w:r>
      <w:rPr>
        <w:rFonts w:hAnsi="宋体"/>
        <w:sz w:val="18"/>
        <w:szCs w:val="18"/>
      </w:rPr>
      <w:t>期</w:t>
    </w:r>
    <w:r>
      <w:rPr>
        <w:sz w:val="18"/>
        <w:szCs w:val="18"/>
      </w:rPr>
      <w:tab/>
    </w:r>
    <w:r w:rsidR="00A25ACD" w:rsidRPr="00A25ACD">
      <w:rPr>
        <w:rFonts w:hint="eastAsia"/>
        <w:sz w:val="18"/>
        <w:szCs w:val="18"/>
      </w:rPr>
      <w:t>计算机与数字工程</w:t>
    </w:r>
    <w:r>
      <w:rPr>
        <w:sz w:val="18"/>
        <w:szCs w:val="18"/>
      </w:rPr>
      <w:tab/>
    </w:r>
    <w:r w:rsidRPr="00822C6C">
      <w:rPr>
        <w:sz w:val="18"/>
        <w:szCs w:val="18"/>
      </w:rPr>
      <w:fldChar w:fldCharType="begin"/>
    </w:r>
    <w:r w:rsidRPr="00822C6C">
      <w:rPr>
        <w:sz w:val="18"/>
        <w:szCs w:val="18"/>
      </w:rPr>
      <w:instrText>PAGE   \* MERGEFORMAT</w:instrText>
    </w:r>
    <w:r w:rsidRPr="00822C6C">
      <w:rPr>
        <w:sz w:val="18"/>
        <w:szCs w:val="18"/>
      </w:rPr>
      <w:fldChar w:fldCharType="separate"/>
    </w:r>
    <w:r>
      <w:rPr>
        <w:sz w:val="18"/>
        <w:szCs w:val="18"/>
      </w:rPr>
      <w:t>1</w:t>
    </w:r>
    <w:r w:rsidRPr="00822C6C">
      <w:rPr>
        <w:sz w:val="18"/>
        <w:szCs w:val="18"/>
      </w:rPr>
      <w:fldChar w:fldCharType="end"/>
    </w:r>
  </w:p>
  <w:p w14:paraId="7DF42A06" w14:textId="77777777" w:rsidR="007A47A7" w:rsidRDefault="007A47A7">
    <w:pPr>
      <w:pStyle w:val="ab"/>
      <w:pBdr>
        <w:bottom w:val="none" w:sz="0" w:space="0" w:color="auto"/>
      </w:pBdr>
      <w:tabs>
        <w:tab w:val="clear" w:pos="4153"/>
        <w:tab w:val="clear" w:pos="8306"/>
      </w:tabs>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C143E3" w14:textId="653DB5BD" w:rsidR="00373E7E" w:rsidRDefault="004046C4" w:rsidP="00DE38C9">
    <w:pPr>
      <w:pBdr>
        <w:bottom w:val="double" w:sz="4" w:space="1" w:color="auto"/>
      </w:pBdr>
      <w:tabs>
        <w:tab w:val="center" w:pos="4820"/>
        <w:tab w:val="right" w:pos="9639"/>
      </w:tabs>
      <w:jc w:val="left"/>
      <w:rPr>
        <w:sz w:val="18"/>
        <w:szCs w:val="18"/>
      </w:rPr>
    </w:pPr>
    <w:r w:rsidRPr="00BA2BD2">
      <w:rPr>
        <w:sz w:val="18"/>
        <w:szCs w:val="18"/>
      </w:rPr>
      <w:t>总第</w:t>
    </w:r>
    <w:r>
      <w:rPr>
        <w:sz w:val="18"/>
      </w:rPr>
      <w:t>**</w:t>
    </w:r>
    <w:r w:rsidRPr="00BA2BD2">
      <w:rPr>
        <w:sz w:val="18"/>
        <w:szCs w:val="18"/>
      </w:rPr>
      <w:t>期</w:t>
    </w:r>
    <w:r>
      <w:rPr>
        <w:sz w:val="18"/>
        <w:szCs w:val="18"/>
      </w:rPr>
      <w:tab/>
    </w:r>
    <w:r w:rsidR="00AD14D3" w:rsidRPr="00AD14D3">
      <w:rPr>
        <w:rFonts w:hint="eastAsia"/>
        <w:sz w:val="18"/>
        <w:szCs w:val="18"/>
      </w:rPr>
      <w:t>计算机与数字工程</w:t>
    </w:r>
    <w:r w:rsidR="008A7538">
      <w:rPr>
        <w:sz w:val="18"/>
        <w:szCs w:val="18"/>
      </w:rPr>
      <w:tab/>
    </w:r>
    <w:r w:rsidR="005E37F8">
      <w:rPr>
        <w:sz w:val="18"/>
        <w:szCs w:val="18"/>
      </w:rPr>
      <w:t>Vol.</w:t>
    </w:r>
    <w:r w:rsidR="005E37F8" w:rsidRPr="003710DD">
      <w:rPr>
        <w:sz w:val="18"/>
        <w:szCs w:val="18"/>
      </w:rPr>
      <w:t xml:space="preserve"> </w:t>
    </w:r>
    <w:r>
      <w:rPr>
        <w:sz w:val="18"/>
      </w:rPr>
      <w:t>**</w:t>
    </w:r>
    <w:r w:rsidR="005E37F8">
      <w:rPr>
        <w:sz w:val="18"/>
        <w:szCs w:val="18"/>
      </w:rPr>
      <w:t>No.</w:t>
    </w:r>
    <w:r w:rsidR="003F588E" w:rsidRPr="003F588E">
      <w:rPr>
        <w:sz w:val="18"/>
        <w:szCs w:val="18"/>
      </w:rPr>
      <w:t xml:space="preserve"> </w:t>
    </w:r>
    <w:r>
      <w:rPr>
        <w:sz w:val="18"/>
      </w:rPr>
      <w:t>**</w:t>
    </w:r>
    <w:r>
      <w:rPr>
        <w:sz w:val="18"/>
        <w:szCs w:val="18"/>
      </w:rPr>
      <w:br/>
    </w:r>
    <w:r>
      <w:rPr>
        <w:sz w:val="18"/>
      </w:rPr>
      <w:t>****</w:t>
    </w:r>
    <w:r>
      <w:rPr>
        <w:rFonts w:hAnsi="宋体"/>
        <w:sz w:val="18"/>
        <w:szCs w:val="18"/>
      </w:rPr>
      <w:t>年</w:t>
    </w:r>
    <w:r w:rsidR="00070E9C">
      <w:rPr>
        <w:rFonts w:hAnsi="宋体"/>
        <w:sz w:val="18"/>
        <w:szCs w:val="18"/>
      </w:rPr>
      <w:t>第</w:t>
    </w:r>
    <w:r>
      <w:rPr>
        <w:sz w:val="18"/>
      </w:rPr>
      <w:t>**</w:t>
    </w:r>
    <w:r w:rsidR="00070E9C">
      <w:rPr>
        <w:rFonts w:hAnsi="宋体"/>
        <w:sz w:val="18"/>
        <w:szCs w:val="18"/>
      </w:rPr>
      <w:t>期</w:t>
    </w:r>
    <w:r>
      <w:rPr>
        <w:sz w:val="18"/>
        <w:szCs w:val="18"/>
      </w:rPr>
      <w:tab/>
    </w:r>
    <w:r w:rsidR="009754AA" w:rsidRPr="008D615E">
      <w:rPr>
        <w:sz w:val="18"/>
        <w:szCs w:val="18"/>
      </w:rPr>
      <w:t>Computer &amp; Digital Engineering</w:t>
    </w:r>
    <w:r>
      <w:rPr>
        <w:sz w:val="18"/>
        <w:szCs w:val="18"/>
      </w:rPr>
      <w:tab/>
    </w:r>
    <w:r w:rsidR="00822C6C" w:rsidRPr="00822C6C">
      <w:rPr>
        <w:sz w:val="18"/>
        <w:szCs w:val="18"/>
      </w:rPr>
      <w:fldChar w:fldCharType="begin"/>
    </w:r>
    <w:r w:rsidR="00822C6C" w:rsidRPr="00822C6C">
      <w:rPr>
        <w:sz w:val="18"/>
        <w:szCs w:val="18"/>
      </w:rPr>
      <w:instrText>PAGE   \* MERGEFORMAT</w:instrText>
    </w:r>
    <w:r w:rsidR="00822C6C" w:rsidRPr="00822C6C">
      <w:rPr>
        <w:sz w:val="18"/>
        <w:szCs w:val="18"/>
      </w:rPr>
      <w:fldChar w:fldCharType="separate"/>
    </w:r>
    <w:r w:rsidR="00822C6C" w:rsidRPr="003F588E">
      <w:rPr>
        <w:sz w:val="18"/>
        <w:szCs w:val="18"/>
      </w:rPr>
      <w:t>1</w:t>
    </w:r>
    <w:r w:rsidR="00822C6C" w:rsidRPr="00822C6C">
      <w:rPr>
        <w:sz w:val="18"/>
        <w:szCs w:val="18"/>
      </w:rPr>
      <w:fldChar w:fldCharType="end"/>
    </w:r>
  </w:p>
  <w:p w14:paraId="3EEBD9F1" w14:textId="77777777" w:rsidR="007A47A7" w:rsidRDefault="007A47A7">
    <w:pPr>
      <w:pStyle w:val="ab"/>
      <w:pBdr>
        <w:bottom w:val="none" w:sz="0" w:space="0" w:color="auto"/>
      </w:pBdr>
      <w:tabs>
        <w:tab w:val="clear" w:pos="4153"/>
        <w:tab w:val="clear" w:pos="8306"/>
      </w:tabs>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7E5F49"/>
    <w:multiLevelType w:val="hybridMultilevel"/>
    <w:tmpl w:val="A03E1D16"/>
    <w:lvl w:ilvl="0" w:tplc="85F8FFE2">
      <w:start w:val="6"/>
      <w:numFmt w:val="decimal"/>
      <w:lvlText w:val="[%1]"/>
      <w:lvlJc w:val="left"/>
      <w:pPr>
        <w:tabs>
          <w:tab w:val="num" w:pos="473"/>
        </w:tabs>
        <w:ind w:left="473" w:hanging="420"/>
      </w:pPr>
      <w:rPr>
        <w:rFonts w:hint="eastAsia"/>
      </w:rPr>
    </w:lvl>
    <w:lvl w:ilvl="1" w:tplc="4D867DD0" w:tentative="1">
      <w:start w:val="1"/>
      <w:numFmt w:val="lowerLetter"/>
      <w:lvlText w:val="%2)"/>
      <w:lvlJc w:val="left"/>
      <w:pPr>
        <w:tabs>
          <w:tab w:val="num" w:pos="840"/>
        </w:tabs>
        <w:ind w:left="840" w:hanging="420"/>
      </w:pPr>
    </w:lvl>
    <w:lvl w:ilvl="2" w:tplc="0888CE5C" w:tentative="1">
      <w:start w:val="1"/>
      <w:numFmt w:val="lowerRoman"/>
      <w:lvlText w:val="%3."/>
      <w:lvlJc w:val="right"/>
      <w:pPr>
        <w:tabs>
          <w:tab w:val="num" w:pos="1260"/>
        </w:tabs>
        <w:ind w:left="1260" w:hanging="420"/>
      </w:pPr>
    </w:lvl>
    <w:lvl w:ilvl="3" w:tplc="13703274" w:tentative="1">
      <w:start w:val="1"/>
      <w:numFmt w:val="decimal"/>
      <w:lvlText w:val="%4."/>
      <w:lvlJc w:val="left"/>
      <w:pPr>
        <w:tabs>
          <w:tab w:val="num" w:pos="1680"/>
        </w:tabs>
        <w:ind w:left="1680" w:hanging="420"/>
      </w:pPr>
    </w:lvl>
    <w:lvl w:ilvl="4" w:tplc="D572F85E" w:tentative="1">
      <w:start w:val="1"/>
      <w:numFmt w:val="lowerLetter"/>
      <w:lvlText w:val="%5)"/>
      <w:lvlJc w:val="left"/>
      <w:pPr>
        <w:tabs>
          <w:tab w:val="num" w:pos="2100"/>
        </w:tabs>
        <w:ind w:left="2100" w:hanging="420"/>
      </w:pPr>
    </w:lvl>
    <w:lvl w:ilvl="5" w:tplc="B3A6618A" w:tentative="1">
      <w:start w:val="1"/>
      <w:numFmt w:val="lowerRoman"/>
      <w:lvlText w:val="%6."/>
      <w:lvlJc w:val="right"/>
      <w:pPr>
        <w:tabs>
          <w:tab w:val="num" w:pos="2520"/>
        </w:tabs>
        <w:ind w:left="2520" w:hanging="420"/>
      </w:pPr>
    </w:lvl>
    <w:lvl w:ilvl="6" w:tplc="7A96381E" w:tentative="1">
      <w:start w:val="1"/>
      <w:numFmt w:val="decimal"/>
      <w:lvlText w:val="%7."/>
      <w:lvlJc w:val="left"/>
      <w:pPr>
        <w:tabs>
          <w:tab w:val="num" w:pos="2940"/>
        </w:tabs>
        <w:ind w:left="2940" w:hanging="420"/>
      </w:pPr>
    </w:lvl>
    <w:lvl w:ilvl="7" w:tplc="25F6AB64" w:tentative="1">
      <w:start w:val="1"/>
      <w:numFmt w:val="lowerLetter"/>
      <w:lvlText w:val="%8)"/>
      <w:lvlJc w:val="left"/>
      <w:pPr>
        <w:tabs>
          <w:tab w:val="num" w:pos="3360"/>
        </w:tabs>
        <w:ind w:left="3360" w:hanging="420"/>
      </w:pPr>
    </w:lvl>
    <w:lvl w:ilvl="8" w:tplc="A288B4FE" w:tentative="1">
      <w:start w:val="1"/>
      <w:numFmt w:val="lowerRoman"/>
      <w:lvlText w:val="%9."/>
      <w:lvlJc w:val="right"/>
      <w:pPr>
        <w:tabs>
          <w:tab w:val="num" w:pos="3780"/>
        </w:tabs>
        <w:ind w:left="3780" w:hanging="420"/>
      </w:pPr>
    </w:lvl>
  </w:abstractNum>
  <w:abstractNum w:abstractNumId="1" w15:restartNumberingAfterBreak="0">
    <w:nsid w:val="29B700D6"/>
    <w:multiLevelType w:val="multilevel"/>
    <w:tmpl w:val="DED4E93A"/>
    <w:lvl w:ilvl="0">
      <w:start w:val="1"/>
      <w:numFmt w:val="decimal"/>
      <w:pStyle w:val="a"/>
      <w:lvlText w:val="[%1]"/>
      <w:lvlJc w:val="left"/>
      <w:pPr>
        <w:tabs>
          <w:tab w:val="num" w:pos="473"/>
        </w:tabs>
        <w:ind w:left="473" w:hanging="420"/>
      </w:pPr>
      <w:rPr>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4D1F6FC5"/>
    <w:multiLevelType w:val="multilevel"/>
    <w:tmpl w:val="D43804A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hideSpellingErrors/>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420"/>
  <w:defaultTableStyle w:val="affff5"/>
  <w:evenAndOddHeaders/>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C29"/>
    <w:rsid w:val="0000332D"/>
    <w:rsid w:val="00004124"/>
    <w:rsid w:val="0001112B"/>
    <w:rsid w:val="0001197E"/>
    <w:rsid w:val="00014462"/>
    <w:rsid w:val="00015743"/>
    <w:rsid w:val="00017E00"/>
    <w:rsid w:val="000210B7"/>
    <w:rsid w:val="000211A6"/>
    <w:rsid w:val="00023B18"/>
    <w:rsid w:val="0003027A"/>
    <w:rsid w:val="000306DB"/>
    <w:rsid w:val="000309E2"/>
    <w:rsid w:val="00030B34"/>
    <w:rsid w:val="000419CC"/>
    <w:rsid w:val="000423F9"/>
    <w:rsid w:val="00042793"/>
    <w:rsid w:val="00043C7D"/>
    <w:rsid w:val="00045E14"/>
    <w:rsid w:val="00047F6F"/>
    <w:rsid w:val="00052100"/>
    <w:rsid w:val="0005297D"/>
    <w:rsid w:val="000529D3"/>
    <w:rsid w:val="0005534D"/>
    <w:rsid w:val="00055399"/>
    <w:rsid w:val="00055951"/>
    <w:rsid w:val="00062FFF"/>
    <w:rsid w:val="00064A53"/>
    <w:rsid w:val="00070E9C"/>
    <w:rsid w:val="00070F5B"/>
    <w:rsid w:val="00071015"/>
    <w:rsid w:val="00071D2F"/>
    <w:rsid w:val="00072458"/>
    <w:rsid w:val="00076A72"/>
    <w:rsid w:val="00077718"/>
    <w:rsid w:val="00077F9F"/>
    <w:rsid w:val="0008296D"/>
    <w:rsid w:val="00083893"/>
    <w:rsid w:val="000872BC"/>
    <w:rsid w:val="000908CB"/>
    <w:rsid w:val="00090ADF"/>
    <w:rsid w:val="000942E4"/>
    <w:rsid w:val="0009562F"/>
    <w:rsid w:val="00095BE8"/>
    <w:rsid w:val="00096DEA"/>
    <w:rsid w:val="000A2302"/>
    <w:rsid w:val="000A2307"/>
    <w:rsid w:val="000A2B0E"/>
    <w:rsid w:val="000A3FD0"/>
    <w:rsid w:val="000A44CE"/>
    <w:rsid w:val="000A4F21"/>
    <w:rsid w:val="000A5063"/>
    <w:rsid w:val="000A6557"/>
    <w:rsid w:val="000B243A"/>
    <w:rsid w:val="000B28E7"/>
    <w:rsid w:val="000B7F45"/>
    <w:rsid w:val="000C0410"/>
    <w:rsid w:val="000C4863"/>
    <w:rsid w:val="000D4CD6"/>
    <w:rsid w:val="000D64AE"/>
    <w:rsid w:val="000E2AC4"/>
    <w:rsid w:val="000E2B46"/>
    <w:rsid w:val="000E71E5"/>
    <w:rsid w:val="000F119D"/>
    <w:rsid w:val="000F1223"/>
    <w:rsid w:val="000F68B1"/>
    <w:rsid w:val="000F737E"/>
    <w:rsid w:val="000F7CA9"/>
    <w:rsid w:val="001010E5"/>
    <w:rsid w:val="00101FC2"/>
    <w:rsid w:val="00102468"/>
    <w:rsid w:val="0010260B"/>
    <w:rsid w:val="00102B00"/>
    <w:rsid w:val="00104831"/>
    <w:rsid w:val="0010561A"/>
    <w:rsid w:val="00106CA2"/>
    <w:rsid w:val="001104A2"/>
    <w:rsid w:val="00111C98"/>
    <w:rsid w:val="001125C2"/>
    <w:rsid w:val="00114715"/>
    <w:rsid w:val="00115696"/>
    <w:rsid w:val="00116E07"/>
    <w:rsid w:val="001219BB"/>
    <w:rsid w:val="0012452A"/>
    <w:rsid w:val="00130EF5"/>
    <w:rsid w:val="001316B4"/>
    <w:rsid w:val="0013490A"/>
    <w:rsid w:val="00135D2C"/>
    <w:rsid w:val="001367B9"/>
    <w:rsid w:val="00136C1A"/>
    <w:rsid w:val="001378AD"/>
    <w:rsid w:val="001409EB"/>
    <w:rsid w:val="001410CC"/>
    <w:rsid w:val="00141C30"/>
    <w:rsid w:val="00143495"/>
    <w:rsid w:val="00143F82"/>
    <w:rsid w:val="0015005B"/>
    <w:rsid w:val="001510EA"/>
    <w:rsid w:val="00151515"/>
    <w:rsid w:val="00152BDF"/>
    <w:rsid w:val="00152F2C"/>
    <w:rsid w:val="0015305F"/>
    <w:rsid w:val="00153D9F"/>
    <w:rsid w:val="00154284"/>
    <w:rsid w:val="001545C1"/>
    <w:rsid w:val="00154C33"/>
    <w:rsid w:val="001573B3"/>
    <w:rsid w:val="001661D7"/>
    <w:rsid w:val="00171C1F"/>
    <w:rsid w:val="0017335C"/>
    <w:rsid w:val="001746DD"/>
    <w:rsid w:val="001831AA"/>
    <w:rsid w:val="0018615D"/>
    <w:rsid w:val="00186C65"/>
    <w:rsid w:val="00186D62"/>
    <w:rsid w:val="00192E1F"/>
    <w:rsid w:val="001951C2"/>
    <w:rsid w:val="001973AF"/>
    <w:rsid w:val="001A0D12"/>
    <w:rsid w:val="001A1C05"/>
    <w:rsid w:val="001A349E"/>
    <w:rsid w:val="001A3DA4"/>
    <w:rsid w:val="001A4454"/>
    <w:rsid w:val="001A4CDE"/>
    <w:rsid w:val="001A4EE8"/>
    <w:rsid w:val="001B3392"/>
    <w:rsid w:val="001B4CA9"/>
    <w:rsid w:val="001C145B"/>
    <w:rsid w:val="001C19E5"/>
    <w:rsid w:val="001C4D64"/>
    <w:rsid w:val="001C4ECE"/>
    <w:rsid w:val="001C5EEF"/>
    <w:rsid w:val="001C6D6C"/>
    <w:rsid w:val="001D059C"/>
    <w:rsid w:val="001D0FC5"/>
    <w:rsid w:val="001E10D1"/>
    <w:rsid w:val="001E33FF"/>
    <w:rsid w:val="001E5D2B"/>
    <w:rsid w:val="001E6148"/>
    <w:rsid w:val="001E6217"/>
    <w:rsid w:val="001E6FD4"/>
    <w:rsid w:val="001E719A"/>
    <w:rsid w:val="001F2AA3"/>
    <w:rsid w:val="001F4C72"/>
    <w:rsid w:val="001F71B7"/>
    <w:rsid w:val="00201089"/>
    <w:rsid w:val="00201800"/>
    <w:rsid w:val="00202560"/>
    <w:rsid w:val="00202B73"/>
    <w:rsid w:val="00202E68"/>
    <w:rsid w:val="00202ECF"/>
    <w:rsid w:val="00203CDD"/>
    <w:rsid w:val="00204DCF"/>
    <w:rsid w:val="0020532C"/>
    <w:rsid w:val="00205FE8"/>
    <w:rsid w:val="00206EFC"/>
    <w:rsid w:val="00207073"/>
    <w:rsid w:val="00207E0C"/>
    <w:rsid w:val="00213384"/>
    <w:rsid w:val="00216455"/>
    <w:rsid w:val="0021711C"/>
    <w:rsid w:val="002205F5"/>
    <w:rsid w:val="002307EA"/>
    <w:rsid w:val="00235B62"/>
    <w:rsid w:val="002408DD"/>
    <w:rsid w:val="0024176D"/>
    <w:rsid w:val="00245899"/>
    <w:rsid w:val="00247D2C"/>
    <w:rsid w:val="002501B5"/>
    <w:rsid w:val="00255138"/>
    <w:rsid w:val="00255E98"/>
    <w:rsid w:val="002571B3"/>
    <w:rsid w:val="002602D7"/>
    <w:rsid w:val="00260619"/>
    <w:rsid w:val="0026166D"/>
    <w:rsid w:val="00265665"/>
    <w:rsid w:val="00265B9A"/>
    <w:rsid w:val="00267222"/>
    <w:rsid w:val="00270FE8"/>
    <w:rsid w:val="00272EBB"/>
    <w:rsid w:val="00280ECE"/>
    <w:rsid w:val="0028660B"/>
    <w:rsid w:val="002929FD"/>
    <w:rsid w:val="00293AD7"/>
    <w:rsid w:val="0029417D"/>
    <w:rsid w:val="00295A27"/>
    <w:rsid w:val="00297166"/>
    <w:rsid w:val="002A2990"/>
    <w:rsid w:val="002A5488"/>
    <w:rsid w:val="002B02D8"/>
    <w:rsid w:val="002B1DF0"/>
    <w:rsid w:val="002B4D7B"/>
    <w:rsid w:val="002B5482"/>
    <w:rsid w:val="002B6997"/>
    <w:rsid w:val="002B6D33"/>
    <w:rsid w:val="002B7A88"/>
    <w:rsid w:val="002C35B8"/>
    <w:rsid w:val="002C3624"/>
    <w:rsid w:val="002C77AE"/>
    <w:rsid w:val="002D0B7E"/>
    <w:rsid w:val="002D1159"/>
    <w:rsid w:val="002D1F11"/>
    <w:rsid w:val="002D2135"/>
    <w:rsid w:val="002D4AC6"/>
    <w:rsid w:val="002D517C"/>
    <w:rsid w:val="002D7892"/>
    <w:rsid w:val="002E15AE"/>
    <w:rsid w:val="002E2021"/>
    <w:rsid w:val="002E22EA"/>
    <w:rsid w:val="002E2F2E"/>
    <w:rsid w:val="002E6630"/>
    <w:rsid w:val="002E7C16"/>
    <w:rsid w:val="002F3D3B"/>
    <w:rsid w:val="002F4248"/>
    <w:rsid w:val="002F45F1"/>
    <w:rsid w:val="002F461F"/>
    <w:rsid w:val="002F4A5B"/>
    <w:rsid w:val="002F561E"/>
    <w:rsid w:val="00303218"/>
    <w:rsid w:val="00303E99"/>
    <w:rsid w:val="003050BA"/>
    <w:rsid w:val="00307D7C"/>
    <w:rsid w:val="00310A97"/>
    <w:rsid w:val="00311143"/>
    <w:rsid w:val="00311715"/>
    <w:rsid w:val="0031328D"/>
    <w:rsid w:val="00317EC9"/>
    <w:rsid w:val="00321559"/>
    <w:rsid w:val="00322197"/>
    <w:rsid w:val="003226DC"/>
    <w:rsid w:val="003233EF"/>
    <w:rsid w:val="003275B9"/>
    <w:rsid w:val="00330D02"/>
    <w:rsid w:val="00332E8D"/>
    <w:rsid w:val="0033327C"/>
    <w:rsid w:val="00335E1D"/>
    <w:rsid w:val="00335F4F"/>
    <w:rsid w:val="00337FEC"/>
    <w:rsid w:val="003416C7"/>
    <w:rsid w:val="003419B4"/>
    <w:rsid w:val="00341B20"/>
    <w:rsid w:val="0034265E"/>
    <w:rsid w:val="0034348C"/>
    <w:rsid w:val="00344202"/>
    <w:rsid w:val="00346FA3"/>
    <w:rsid w:val="00346FEA"/>
    <w:rsid w:val="00347004"/>
    <w:rsid w:val="003533B4"/>
    <w:rsid w:val="00354CAA"/>
    <w:rsid w:val="00354E3C"/>
    <w:rsid w:val="00355885"/>
    <w:rsid w:val="00356C1B"/>
    <w:rsid w:val="00361F82"/>
    <w:rsid w:val="003640AB"/>
    <w:rsid w:val="00364659"/>
    <w:rsid w:val="003710DD"/>
    <w:rsid w:val="00371103"/>
    <w:rsid w:val="00372B1B"/>
    <w:rsid w:val="00372F05"/>
    <w:rsid w:val="00373497"/>
    <w:rsid w:val="00373E7E"/>
    <w:rsid w:val="0037444A"/>
    <w:rsid w:val="003762D7"/>
    <w:rsid w:val="00376688"/>
    <w:rsid w:val="00377054"/>
    <w:rsid w:val="003803DA"/>
    <w:rsid w:val="0038081E"/>
    <w:rsid w:val="00382B63"/>
    <w:rsid w:val="00383979"/>
    <w:rsid w:val="00383D17"/>
    <w:rsid w:val="00383F2B"/>
    <w:rsid w:val="0038459F"/>
    <w:rsid w:val="00385DB4"/>
    <w:rsid w:val="00386EC4"/>
    <w:rsid w:val="003909B3"/>
    <w:rsid w:val="0039167C"/>
    <w:rsid w:val="00394D48"/>
    <w:rsid w:val="00396422"/>
    <w:rsid w:val="003A1B14"/>
    <w:rsid w:val="003A24E1"/>
    <w:rsid w:val="003A4336"/>
    <w:rsid w:val="003B022B"/>
    <w:rsid w:val="003B177D"/>
    <w:rsid w:val="003B1EC2"/>
    <w:rsid w:val="003B22BC"/>
    <w:rsid w:val="003B2DDF"/>
    <w:rsid w:val="003B4A19"/>
    <w:rsid w:val="003B5C16"/>
    <w:rsid w:val="003B68B6"/>
    <w:rsid w:val="003C1775"/>
    <w:rsid w:val="003C3D65"/>
    <w:rsid w:val="003C4084"/>
    <w:rsid w:val="003C6816"/>
    <w:rsid w:val="003C7DB3"/>
    <w:rsid w:val="003D02A8"/>
    <w:rsid w:val="003D2901"/>
    <w:rsid w:val="003D2A94"/>
    <w:rsid w:val="003D2CC0"/>
    <w:rsid w:val="003D4EBA"/>
    <w:rsid w:val="003E0DA2"/>
    <w:rsid w:val="003E0DAE"/>
    <w:rsid w:val="003E1950"/>
    <w:rsid w:val="003E1B2F"/>
    <w:rsid w:val="003E630D"/>
    <w:rsid w:val="003E64B1"/>
    <w:rsid w:val="003E663D"/>
    <w:rsid w:val="003E6FC3"/>
    <w:rsid w:val="003E791C"/>
    <w:rsid w:val="003F0CE2"/>
    <w:rsid w:val="003F13FA"/>
    <w:rsid w:val="003F1C80"/>
    <w:rsid w:val="003F588E"/>
    <w:rsid w:val="003F7227"/>
    <w:rsid w:val="004006AC"/>
    <w:rsid w:val="004046C4"/>
    <w:rsid w:val="004116CF"/>
    <w:rsid w:val="004118F7"/>
    <w:rsid w:val="00412E58"/>
    <w:rsid w:val="00412FFD"/>
    <w:rsid w:val="0041436F"/>
    <w:rsid w:val="00414404"/>
    <w:rsid w:val="00414536"/>
    <w:rsid w:val="00414D69"/>
    <w:rsid w:val="00421398"/>
    <w:rsid w:val="0042208B"/>
    <w:rsid w:val="0042350F"/>
    <w:rsid w:val="00425A1A"/>
    <w:rsid w:val="004305D5"/>
    <w:rsid w:val="00435D18"/>
    <w:rsid w:val="004368A9"/>
    <w:rsid w:val="004400AE"/>
    <w:rsid w:val="004436DA"/>
    <w:rsid w:val="004437AB"/>
    <w:rsid w:val="00443963"/>
    <w:rsid w:val="00446777"/>
    <w:rsid w:val="00446AE4"/>
    <w:rsid w:val="004500F5"/>
    <w:rsid w:val="00450722"/>
    <w:rsid w:val="00451832"/>
    <w:rsid w:val="004518A4"/>
    <w:rsid w:val="00455AEC"/>
    <w:rsid w:val="00456620"/>
    <w:rsid w:val="004611F4"/>
    <w:rsid w:val="00462F24"/>
    <w:rsid w:val="00467176"/>
    <w:rsid w:val="004675F0"/>
    <w:rsid w:val="00471B3C"/>
    <w:rsid w:val="004726CC"/>
    <w:rsid w:val="004740C1"/>
    <w:rsid w:val="00474452"/>
    <w:rsid w:val="00474894"/>
    <w:rsid w:val="004772CC"/>
    <w:rsid w:val="0047768D"/>
    <w:rsid w:val="004779C8"/>
    <w:rsid w:val="00480717"/>
    <w:rsid w:val="00482C0E"/>
    <w:rsid w:val="00490915"/>
    <w:rsid w:val="00493593"/>
    <w:rsid w:val="0049594A"/>
    <w:rsid w:val="00495B85"/>
    <w:rsid w:val="0049628D"/>
    <w:rsid w:val="00496750"/>
    <w:rsid w:val="00497E09"/>
    <w:rsid w:val="004A1008"/>
    <w:rsid w:val="004A25B3"/>
    <w:rsid w:val="004A3F56"/>
    <w:rsid w:val="004A7666"/>
    <w:rsid w:val="004B2E13"/>
    <w:rsid w:val="004B54E0"/>
    <w:rsid w:val="004C00C5"/>
    <w:rsid w:val="004C3BD4"/>
    <w:rsid w:val="004C3CA6"/>
    <w:rsid w:val="004C4BD8"/>
    <w:rsid w:val="004C5E87"/>
    <w:rsid w:val="004C691A"/>
    <w:rsid w:val="004C7264"/>
    <w:rsid w:val="004D1BED"/>
    <w:rsid w:val="004D2669"/>
    <w:rsid w:val="004D5946"/>
    <w:rsid w:val="004D7855"/>
    <w:rsid w:val="004E1EFE"/>
    <w:rsid w:val="004E34C3"/>
    <w:rsid w:val="004E3877"/>
    <w:rsid w:val="004E50B5"/>
    <w:rsid w:val="004E69B4"/>
    <w:rsid w:val="004E6AA6"/>
    <w:rsid w:val="004F2123"/>
    <w:rsid w:val="004F24B3"/>
    <w:rsid w:val="004F2906"/>
    <w:rsid w:val="004F6E35"/>
    <w:rsid w:val="004F6F43"/>
    <w:rsid w:val="00500D2E"/>
    <w:rsid w:val="00500D46"/>
    <w:rsid w:val="0050107F"/>
    <w:rsid w:val="00503BA6"/>
    <w:rsid w:val="0050585E"/>
    <w:rsid w:val="00506409"/>
    <w:rsid w:val="00511B1C"/>
    <w:rsid w:val="00514A53"/>
    <w:rsid w:val="00517F12"/>
    <w:rsid w:val="005206DF"/>
    <w:rsid w:val="0052479E"/>
    <w:rsid w:val="005248A3"/>
    <w:rsid w:val="00524F61"/>
    <w:rsid w:val="005259AE"/>
    <w:rsid w:val="00526D4A"/>
    <w:rsid w:val="005315C5"/>
    <w:rsid w:val="00531784"/>
    <w:rsid w:val="00535DA3"/>
    <w:rsid w:val="00543218"/>
    <w:rsid w:val="00543285"/>
    <w:rsid w:val="00544458"/>
    <w:rsid w:val="00544A37"/>
    <w:rsid w:val="005470B1"/>
    <w:rsid w:val="00547BF9"/>
    <w:rsid w:val="00550189"/>
    <w:rsid w:val="00550920"/>
    <w:rsid w:val="0055187B"/>
    <w:rsid w:val="005550AD"/>
    <w:rsid w:val="00560807"/>
    <w:rsid w:val="00560EF6"/>
    <w:rsid w:val="005610FE"/>
    <w:rsid w:val="00562468"/>
    <w:rsid w:val="00562DF6"/>
    <w:rsid w:val="0056367A"/>
    <w:rsid w:val="00564C97"/>
    <w:rsid w:val="00564F11"/>
    <w:rsid w:val="00570E06"/>
    <w:rsid w:val="005719DD"/>
    <w:rsid w:val="00573AED"/>
    <w:rsid w:val="00574386"/>
    <w:rsid w:val="00575274"/>
    <w:rsid w:val="0057641F"/>
    <w:rsid w:val="00583F97"/>
    <w:rsid w:val="00585729"/>
    <w:rsid w:val="005901B4"/>
    <w:rsid w:val="00590541"/>
    <w:rsid w:val="0059207B"/>
    <w:rsid w:val="0059576A"/>
    <w:rsid w:val="005969E3"/>
    <w:rsid w:val="005A1CE5"/>
    <w:rsid w:val="005A2EE6"/>
    <w:rsid w:val="005A363F"/>
    <w:rsid w:val="005A3EFB"/>
    <w:rsid w:val="005A4624"/>
    <w:rsid w:val="005A69B2"/>
    <w:rsid w:val="005A7BBB"/>
    <w:rsid w:val="005B1F88"/>
    <w:rsid w:val="005B46B1"/>
    <w:rsid w:val="005B4B5C"/>
    <w:rsid w:val="005B504C"/>
    <w:rsid w:val="005C1EEC"/>
    <w:rsid w:val="005C2214"/>
    <w:rsid w:val="005C5290"/>
    <w:rsid w:val="005C5552"/>
    <w:rsid w:val="005D119A"/>
    <w:rsid w:val="005D22F9"/>
    <w:rsid w:val="005D2358"/>
    <w:rsid w:val="005D320C"/>
    <w:rsid w:val="005D4C7D"/>
    <w:rsid w:val="005D6832"/>
    <w:rsid w:val="005D781B"/>
    <w:rsid w:val="005E017B"/>
    <w:rsid w:val="005E0DE1"/>
    <w:rsid w:val="005E209E"/>
    <w:rsid w:val="005E37F8"/>
    <w:rsid w:val="005E3FC8"/>
    <w:rsid w:val="005E4654"/>
    <w:rsid w:val="005E6508"/>
    <w:rsid w:val="005F0601"/>
    <w:rsid w:val="005F6CB2"/>
    <w:rsid w:val="006024A0"/>
    <w:rsid w:val="00604731"/>
    <w:rsid w:val="006048DF"/>
    <w:rsid w:val="00605015"/>
    <w:rsid w:val="006058FE"/>
    <w:rsid w:val="00607C31"/>
    <w:rsid w:val="00610E20"/>
    <w:rsid w:val="006111DD"/>
    <w:rsid w:val="00614894"/>
    <w:rsid w:val="00616D6A"/>
    <w:rsid w:val="006204E1"/>
    <w:rsid w:val="0062084F"/>
    <w:rsid w:val="00621926"/>
    <w:rsid w:val="00625968"/>
    <w:rsid w:val="006268B7"/>
    <w:rsid w:val="00627C8A"/>
    <w:rsid w:val="006314A6"/>
    <w:rsid w:val="00632316"/>
    <w:rsid w:val="006361A6"/>
    <w:rsid w:val="006367C4"/>
    <w:rsid w:val="006428E2"/>
    <w:rsid w:val="00644EE7"/>
    <w:rsid w:val="00645DB4"/>
    <w:rsid w:val="006460CF"/>
    <w:rsid w:val="00646C87"/>
    <w:rsid w:val="00650158"/>
    <w:rsid w:val="00652A91"/>
    <w:rsid w:val="006554CF"/>
    <w:rsid w:val="0066557F"/>
    <w:rsid w:val="0066632F"/>
    <w:rsid w:val="00667E95"/>
    <w:rsid w:val="006775AB"/>
    <w:rsid w:val="0067786C"/>
    <w:rsid w:val="00682B3B"/>
    <w:rsid w:val="006842B8"/>
    <w:rsid w:val="00687BAB"/>
    <w:rsid w:val="00691166"/>
    <w:rsid w:val="00692B98"/>
    <w:rsid w:val="00693D10"/>
    <w:rsid w:val="00695492"/>
    <w:rsid w:val="0069549F"/>
    <w:rsid w:val="006A0D7E"/>
    <w:rsid w:val="006A3CB1"/>
    <w:rsid w:val="006A3FD3"/>
    <w:rsid w:val="006A577B"/>
    <w:rsid w:val="006A7961"/>
    <w:rsid w:val="006B0203"/>
    <w:rsid w:val="006B10D9"/>
    <w:rsid w:val="006C0375"/>
    <w:rsid w:val="006C1233"/>
    <w:rsid w:val="006C176A"/>
    <w:rsid w:val="006C1B8C"/>
    <w:rsid w:val="006C2813"/>
    <w:rsid w:val="006C32BC"/>
    <w:rsid w:val="006C3E1C"/>
    <w:rsid w:val="006C4212"/>
    <w:rsid w:val="006C4F81"/>
    <w:rsid w:val="006D07B0"/>
    <w:rsid w:val="006D13CB"/>
    <w:rsid w:val="006D5200"/>
    <w:rsid w:val="006D5758"/>
    <w:rsid w:val="006D6E58"/>
    <w:rsid w:val="006E0A44"/>
    <w:rsid w:val="006E0D34"/>
    <w:rsid w:val="006E19D6"/>
    <w:rsid w:val="006E2C7B"/>
    <w:rsid w:val="006E3F55"/>
    <w:rsid w:val="006E7985"/>
    <w:rsid w:val="006F025F"/>
    <w:rsid w:val="006F0DF4"/>
    <w:rsid w:val="006F387E"/>
    <w:rsid w:val="006F3FD7"/>
    <w:rsid w:val="006F44EA"/>
    <w:rsid w:val="006F5DCA"/>
    <w:rsid w:val="00703A43"/>
    <w:rsid w:val="00704083"/>
    <w:rsid w:val="0070461A"/>
    <w:rsid w:val="00704765"/>
    <w:rsid w:val="00704BFA"/>
    <w:rsid w:val="007117A1"/>
    <w:rsid w:val="007124AB"/>
    <w:rsid w:val="00712871"/>
    <w:rsid w:val="007143D3"/>
    <w:rsid w:val="00716541"/>
    <w:rsid w:val="00717AF6"/>
    <w:rsid w:val="00723B9A"/>
    <w:rsid w:val="00724A60"/>
    <w:rsid w:val="007252A7"/>
    <w:rsid w:val="0072560F"/>
    <w:rsid w:val="0072615D"/>
    <w:rsid w:val="00730A69"/>
    <w:rsid w:val="00732226"/>
    <w:rsid w:val="0073332B"/>
    <w:rsid w:val="00734107"/>
    <w:rsid w:val="0073720C"/>
    <w:rsid w:val="007407A3"/>
    <w:rsid w:val="007437CB"/>
    <w:rsid w:val="007454E1"/>
    <w:rsid w:val="00746091"/>
    <w:rsid w:val="00747194"/>
    <w:rsid w:val="00747435"/>
    <w:rsid w:val="00750728"/>
    <w:rsid w:val="00755AD3"/>
    <w:rsid w:val="00756542"/>
    <w:rsid w:val="00756EBD"/>
    <w:rsid w:val="007603FE"/>
    <w:rsid w:val="00760C29"/>
    <w:rsid w:val="0076138C"/>
    <w:rsid w:val="00761A9D"/>
    <w:rsid w:val="00763472"/>
    <w:rsid w:val="00767FFB"/>
    <w:rsid w:val="007737CD"/>
    <w:rsid w:val="00774CB3"/>
    <w:rsid w:val="00776AB5"/>
    <w:rsid w:val="007773E2"/>
    <w:rsid w:val="007775BE"/>
    <w:rsid w:val="0078145F"/>
    <w:rsid w:val="007817BD"/>
    <w:rsid w:val="00782029"/>
    <w:rsid w:val="00783374"/>
    <w:rsid w:val="00783480"/>
    <w:rsid w:val="00785568"/>
    <w:rsid w:val="00787710"/>
    <w:rsid w:val="00787ADF"/>
    <w:rsid w:val="0079223F"/>
    <w:rsid w:val="00792704"/>
    <w:rsid w:val="00793057"/>
    <w:rsid w:val="007933AB"/>
    <w:rsid w:val="00794E5A"/>
    <w:rsid w:val="007A47A7"/>
    <w:rsid w:val="007A4A89"/>
    <w:rsid w:val="007A520C"/>
    <w:rsid w:val="007A5B32"/>
    <w:rsid w:val="007B2818"/>
    <w:rsid w:val="007B4844"/>
    <w:rsid w:val="007B79DD"/>
    <w:rsid w:val="007C0CEE"/>
    <w:rsid w:val="007C1595"/>
    <w:rsid w:val="007C22CB"/>
    <w:rsid w:val="007C5BEF"/>
    <w:rsid w:val="007C5E5E"/>
    <w:rsid w:val="007C7EC6"/>
    <w:rsid w:val="007D3094"/>
    <w:rsid w:val="007D6783"/>
    <w:rsid w:val="007D69DF"/>
    <w:rsid w:val="007D7B50"/>
    <w:rsid w:val="007E0BE7"/>
    <w:rsid w:val="007E305F"/>
    <w:rsid w:val="007E3E0A"/>
    <w:rsid w:val="007E4AE7"/>
    <w:rsid w:val="007E551F"/>
    <w:rsid w:val="007E5589"/>
    <w:rsid w:val="007F0908"/>
    <w:rsid w:val="007F10CC"/>
    <w:rsid w:val="007F3391"/>
    <w:rsid w:val="007F58C2"/>
    <w:rsid w:val="007F6252"/>
    <w:rsid w:val="0080092A"/>
    <w:rsid w:val="00802A08"/>
    <w:rsid w:val="00802E06"/>
    <w:rsid w:val="00803A6D"/>
    <w:rsid w:val="00805690"/>
    <w:rsid w:val="00805E90"/>
    <w:rsid w:val="0080633A"/>
    <w:rsid w:val="0080711B"/>
    <w:rsid w:val="00810AED"/>
    <w:rsid w:val="0082011D"/>
    <w:rsid w:val="008225A6"/>
    <w:rsid w:val="00822C6C"/>
    <w:rsid w:val="00823A3C"/>
    <w:rsid w:val="00824E0D"/>
    <w:rsid w:val="008251A9"/>
    <w:rsid w:val="00830250"/>
    <w:rsid w:val="00831531"/>
    <w:rsid w:val="00831F2F"/>
    <w:rsid w:val="00833FA4"/>
    <w:rsid w:val="00834C47"/>
    <w:rsid w:val="008350A8"/>
    <w:rsid w:val="00835D8D"/>
    <w:rsid w:val="00837EFE"/>
    <w:rsid w:val="00840FA2"/>
    <w:rsid w:val="008449AA"/>
    <w:rsid w:val="00844BAA"/>
    <w:rsid w:val="00844BE9"/>
    <w:rsid w:val="00844DE5"/>
    <w:rsid w:val="00845C04"/>
    <w:rsid w:val="00855F04"/>
    <w:rsid w:val="00861D02"/>
    <w:rsid w:val="00863E92"/>
    <w:rsid w:val="008675C9"/>
    <w:rsid w:val="008679F2"/>
    <w:rsid w:val="00870037"/>
    <w:rsid w:val="00875C87"/>
    <w:rsid w:val="00876B3E"/>
    <w:rsid w:val="008806BF"/>
    <w:rsid w:val="00881AF5"/>
    <w:rsid w:val="00883B1C"/>
    <w:rsid w:val="0088446E"/>
    <w:rsid w:val="0088514B"/>
    <w:rsid w:val="00887462"/>
    <w:rsid w:val="00890637"/>
    <w:rsid w:val="008915C5"/>
    <w:rsid w:val="008916F4"/>
    <w:rsid w:val="008920F6"/>
    <w:rsid w:val="0089728B"/>
    <w:rsid w:val="00897C5D"/>
    <w:rsid w:val="008A217A"/>
    <w:rsid w:val="008A7538"/>
    <w:rsid w:val="008B5A64"/>
    <w:rsid w:val="008B5EF6"/>
    <w:rsid w:val="008B66CB"/>
    <w:rsid w:val="008C284E"/>
    <w:rsid w:val="008C286B"/>
    <w:rsid w:val="008C565D"/>
    <w:rsid w:val="008C56A4"/>
    <w:rsid w:val="008C63A2"/>
    <w:rsid w:val="008D1874"/>
    <w:rsid w:val="008D2484"/>
    <w:rsid w:val="008D3DC6"/>
    <w:rsid w:val="008D4981"/>
    <w:rsid w:val="008D615E"/>
    <w:rsid w:val="008D7381"/>
    <w:rsid w:val="008E3EF9"/>
    <w:rsid w:val="008F0F53"/>
    <w:rsid w:val="008F3618"/>
    <w:rsid w:val="008F6719"/>
    <w:rsid w:val="008F74DD"/>
    <w:rsid w:val="00906F29"/>
    <w:rsid w:val="00907228"/>
    <w:rsid w:val="00907939"/>
    <w:rsid w:val="00910F67"/>
    <w:rsid w:val="009131ED"/>
    <w:rsid w:val="00915CF3"/>
    <w:rsid w:val="0091740E"/>
    <w:rsid w:val="00917860"/>
    <w:rsid w:val="00920E1E"/>
    <w:rsid w:val="00922007"/>
    <w:rsid w:val="00924DC0"/>
    <w:rsid w:val="00925046"/>
    <w:rsid w:val="009277C8"/>
    <w:rsid w:val="00930C70"/>
    <w:rsid w:val="009357FF"/>
    <w:rsid w:val="00936BCD"/>
    <w:rsid w:val="00937F8F"/>
    <w:rsid w:val="00940A1C"/>
    <w:rsid w:val="00941641"/>
    <w:rsid w:val="00945629"/>
    <w:rsid w:val="009466D8"/>
    <w:rsid w:val="00950963"/>
    <w:rsid w:val="009529A9"/>
    <w:rsid w:val="0095380E"/>
    <w:rsid w:val="00955174"/>
    <w:rsid w:val="00955289"/>
    <w:rsid w:val="00955BBA"/>
    <w:rsid w:val="00960B0C"/>
    <w:rsid w:val="00961BF8"/>
    <w:rsid w:val="009650FC"/>
    <w:rsid w:val="00965225"/>
    <w:rsid w:val="00971881"/>
    <w:rsid w:val="009754AA"/>
    <w:rsid w:val="00976389"/>
    <w:rsid w:val="00977175"/>
    <w:rsid w:val="009921F8"/>
    <w:rsid w:val="0099251F"/>
    <w:rsid w:val="00994A8F"/>
    <w:rsid w:val="00996553"/>
    <w:rsid w:val="009A23AE"/>
    <w:rsid w:val="009A7357"/>
    <w:rsid w:val="009B31EC"/>
    <w:rsid w:val="009B3A06"/>
    <w:rsid w:val="009B3A66"/>
    <w:rsid w:val="009B572A"/>
    <w:rsid w:val="009B6E01"/>
    <w:rsid w:val="009B729D"/>
    <w:rsid w:val="009C3944"/>
    <w:rsid w:val="009C5205"/>
    <w:rsid w:val="009D19A3"/>
    <w:rsid w:val="009D1C0A"/>
    <w:rsid w:val="009D1FC3"/>
    <w:rsid w:val="009D3A90"/>
    <w:rsid w:val="009D7061"/>
    <w:rsid w:val="009D7B6F"/>
    <w:rsid w:val="009D7FF0"/>
    <w:rsid w:val="009E0B17"/>
    <w:rsid w:val="009E0D49"/>
    <w:rsid w:val="009E36F4"/>
    <w:rsid w:val="009E4978"/>
    <w:rsid w:val="009E6FFA"/>
    <w:rsid w:val="009F015B"/>
    <w:rsid w:val="009F0FE7"/>
    <w:rsid w:val="009F26A4"/>
    <w:rsid w:val="009F7276"/>
    <w:rsid w:val="009F7F31"/>
    <w:rsid w:val="00A00CBA"/>
    <w:rsid w:val="00A02373"/>
    <w:rsid w:val="00A03674"/>
    <w:rsid w:val="00A03728"/>
    <w:rsid w:val="00A03915"/>
    <w:rsid w:val="00A04636"/>
    <w:rsid w:val="00A07954"/>
    <w:rsid w:val="00A117D7"/>
    <w:rsid w:val="00A14750"/>
    <w:rsid w:val="00A155BB"/>
    <w:rsid w:val="00A15A4E"/>
    <w:rsid w:val="00A25ACD"/>
    <w:rsid w:val="00A26965"/>
    <w:rsid w:val="00A34489"/>
    <w:rsid w:val="00A36CEA"/>
    <w:rsid w:val="00A40CF4"/>
    <w:rsid w:val="00A42F85"/>
    <w:rsid w:val="00A552C6"/>
    <w:rsid w:val="00A55DAE"/>
    <w:rsid w:val="00A577B3"/>
    <w:rsid w:val="00A6274D"/>
    <w:rsid w:val="00A62E55"/>
    <w:rsid w:val="00A669C8"/>
    <w:rsid w:val="00A7052A"/>
    <w:rsid w:val="00A7092D"/>
    <w:rsid w:val="00A72416"/>
    <w:rsid w:val="00A76C13"/>
    <w:rsid w:val="00A770A7"/>
    <w:rsid w:val="00A8199F"/>
    <w:rsid w:val="00A82937"/>
    <w:rsid w:val="00A82C10"/>
    <w:rsid w:val="00A84994"/>
    <w:rsid w:val="00A8541C"/>
    <w:rsid w:val="00A8579B"/>
    <w:rsid w:val="00A85FF1"/>
    <w:rsid w:val="00A860C5"/>
    <w:rsid w:val="00A86B75"/>
    <w:rsid w:val="00A90D2C"/>
    <w:rsid w:val="00A92739"/>
    <w:rsid w:val="00A93E1B"/>
    <w:rsid w:val="00A9423F"/>
    <w:rsid w:val="00A94DC3"/>
    <w:rsid w:val="00A95C6B"/>
    <w:rsid w:val="00A964D9"/>
    <w:rsid w:val="00A96E9E"/>
    <w:rsid w:val="00AA2AED"/>
    <w:rsid w:val="00AA3050"/>
    <w:rsid w:val="00AA3989"/>
    <w:rsid w:val="00AA3D27"/>
    <w:rsid w:val="00AA5087"/>
    <w:rsid w:val="00AA55F7"/>
    <w:rsid w:val="00AA7A0E"/>
    <w:rsid w:val="00AB3102"/>
    <w:rsid w:val="00AB3A07"/>
    <w:rsid w:val="00AB632D"/>
    <w:rsid w:val="00AB7760"/>
    <w:rsid w:val="00AC076B"/>
    <w:rsid w:val="00AC1FE1"/>
    <w:rsid w:val="00AC435A"/>
    <w:rsid w:val="00AD14D3"/>
    <w:rsid w:val="00AD3EDD"/>
    <w:rsid w:val="00AD4B0D"/>
    <w:rsid w:val="00AD5A2F"/>
    <w:rsid w:val="00AD5A84"/>
    <w:rsid w:val="00AE217E"/>
    <w:rsid w:val="00AE2B2C"/>
    <w:rsid w:val="00AE3F7A"/>
    <w:rsid w:val="00AE46C8"/>
    <w:rsid w:val="00AF0C86"/>
    <w:rsid w:val="00AF0F7E"/>
    <w:rsid w:val="00AF3CC7"/>
    <w:rsid w:val="00AF6261"/>
    <w:rsid w:val="00AF6D42"/>
    <w:rsid w:val="00AF7024"/>
    <w:rsid w:val="00B00890"/>
    <w:rsid w:val="00B01528"/>
    <w:rsid w:val="00B01A3C"/>
    <w:rsid w:val="00B07B88"/>
    <w:rsid w:val="00B10007"/>
    <w:rsid w:val="00B11E20"/>
    <w:rsid w:val="00B127EF"/>
    <w:rsid w:val="00B14C23"/>
    <w:rsid w:val="00B21CF2"/>
    <w:rsid w:val="00B27A9F"/>
    <w:rsid w:val="00B27E2E"/>
    <w:rsid w:val="00B30710"/>
    <w:rsid w:val="00B34CAC"/>
    <w:rsid w:val="00B351B9"/>
    <w:rsid w:val="00B40791"/>
    <w:rsid w:val="00B40899"/>
    <w:rsid w:val="00B45A2D"/>
    <w:rsid w:val="00B47711"/>
    <w:rsid w:val="00B47D68"/>
    <w:rsid w:val="00B51F6F"/>
    <w:rsid w:val="00B603EF"/>
    <w:rsid w:val="00B61A59"/>
    <w:rsid w:val="00B621BA"/>
    <w:rsid w:val="00B623EE"/>
    <w:rsid w:val="00B6445B"/>
    <w:rsid w:val="00B64DF3"/>
    <w:rsid w:val="00B66D95"/>
    <w:rsid w:val="00B66FA7"/>
    <w:rsid w:val="00B70201"/>
    <w:rsid w:val="00B70CB5"/>
    <w:rsid w:val="00B715D2"/>
    <w:rsid w:val="00B75CF9"/>
    <w:rsid w:val="00B80110"/>
    <w:rsid w:val="00B801AF"/>
    <w:rsid w:val="00B80F6A"/>
    <w:rsid w:val="00B83787"/>
    <w:rsid w:val="00B8431F"/>
    <w:rsid w:val="00B86A62"/>
    <w:rsid w:val="00B878AF"/>
    <w:rsid w:val="00B944AA"/>
    <w:rsid w:val="00B95F6C"/>
    <w:rsid w:val="00B9770D"/>
    <w:rsid w:val="00BA073C"/>
    <w:rsid w:val="00BA235E"/>
    <w:rsid w:val="00BA2BD2"/>
    <w:rsid w:val="00BA6B7F"/>
    <w:rsid w:val="00BA7721"/>
    <w:rsid w:val="00BB1A93"/>
    <w:rsid w:val="00BB21F7"/>
    <w:rsid w:val="00BB3982"/>
    <w:rsid w:val="00BB6343"/>
    <w:rsid w:val="00BB6909"/>
    <w:rsid w:val="00BC20B5"/>
    <w:rsid w:val="00BC33D1"/>
    <w:rsid w:val="00BC53BF"/>
    <w:rsid w:val="00BC6442"/>
    <w:rsid w:val="00BC746F"/>
    <w:rsid w:val="00BD0CCB"/>
    <w:rsid w:val="00BD448D"/>
    <w:rsid w:val="00BD7236"/>
    <w:rsid w:val="00BD72E0"/>
    <w:rsid w:val="00BE0BA7"/>
    <w:rsid w:val="00BE2C06"/>
    <w:rsid w:val="00BE31B8"/>
    <w:rsid w:val="00BE37B5"/>
    <w:rsid w:val="00BE68CB"/>
    <w:rsid w:val="00BE6C43"/>
    <w:rsid w:val="00BE72C1"/>
    <w:rsid w:val="00BF0487"/>
    <w:rsid w:val="00BF068B"/>
    <w:rsid w:val="00BF0758"/>
    <w:rsid w:val="00BF1910"/>
    <w:rsid w:val="00BF3187"/>
    <w:rsid w:val="00BF34AB"/>
    <w:rsid w:val="00BF3534"/>
    <w:rsid w:val="00BF3A38"/>
    <w:rsid w:val="00BF53BC"/>
    <w:rsid w:val="00BF66A4"/>
    <w:rsid w:val="00C058EF"/>
    <w:rsid w:val="00C05FDC"/>
    <w:rsid w:val="00C063D0"/>
    <w:rsid w:val="00C0651B"/>
    <w:rsid w:val="00C06DD8"/>
    <w:rsid w:val="00C07568"/>
    <w:rsid w:val="00C07F2F"/>
    <w:rsid w:val="00C12764"/>
    <w:rsid w:val="00C22C85"/>
    <w:rsid w:val="00C22EF2"/>
    <w:rsid w:val="00C242C9"/>
    <w:rsid w:val="00C248B1"/>
    <w:rsid w:val="00C31450"/>
    <w:rsid w:val="00C321CB"/>
    <w:rsid w:val="00C35FA7"/>
    <w:rsid w:val="00C3725E"/>
    <w:rsid w:val="00C412E3"/>
    <w:rsid w:val="00C43319"/>
    <w:rsid w:val="00C439FB"/>
    <w:rsid w:val="00C51EFC"/>
    <w:rsid w:val="00C54226"/>
    <w:rsid w:val="00C548B8"/>
    <w:rsid w:val="00C54E31"/>
    <w:rsid w:val="00C6020B"/>
    <w:rsid w:val="00C66917"/>
    <w:rsid w:val="00C70491"/>
    <w:rsid w:val="00C70F3B"/>
    <w:rsid w:val="00C75E4A"/>
    <w:rsid w:val="00C8086A"/>
    <w:rsid w:val="00C80A70"/>
    <w:rsid w:val="00C813A3"/>
    <w:rsid w:val="00C85799"/>
    <w:rsid w:val="00C93FA1"/>
    <w:rsid w:val="00C95B64"/>
    <w:rsid w:val="00C95E88"/>
    <w:rsid w:val="00CA1D2F"/>
    <w:rsid w:val="00CA2D2C"/>
    <w:rsid w:val="00CA2F03"/>
    <w:rsid w:val="00CA4329"/>
    <w:rsid w:val="00CA7F68"/>
    <w:rsid w:val="00CB04F0"/>
    <w:rsid w:val="00CB16EC"/>
    <w:rsid w:val="00CB7955"/>
    <w:rsid w:val="00CC7041"/>
    <w:rsid w:val="00CC76CE"/>
    <w:rsid w:val="00CC7AED"/>
    <w:rsid w:val="00CD02FA"/>
    <w:rsid w:val="00CD0C7E"/>
    <w:rsid w:val="00CD143C"/>
    <w:rsid w:val="00CD24F6"/>
    <w:rsid w:val="00CD6449"/>
    <w:rsid w:val="00CE11CC"/>
    <w:rsid w:val="00CE22E2"/>
    <w:rsid w:val="00CE251A"/>
    <w:rsid w:val="00CE362F"/>
    <w:rsid w:val="00CE5D77"/>
    <w:rsid w:val="00CE618B"/>
    <w:rsid w:val="00CF1431"/>
    <w:rsid w:val="00CF1E81"/>
    <w:rsid w:val="00CF5C4F"/>
    <w:rsid w:val="00CF6B0C"/>
    <w:rsid w:val="00CF73B3"/>
    <w:rsid w:val="00CF7DFC"/>
    <w:rsid w:val="00D04CD4"/>
    <w:rsid w:val="00D06B0E"/>
    <w:rsid w:val="00D07E4F"/>
    <w:rsid w:val="00D12366"/>
    <w:rsid w:val="00D13EB0"/>
    <w:rsid w:val="00D15465"/>
    <w:rsid w:val="00D16199"/>
    <w:rsid w:val="00D16427"/>
    <w:rsid w:val="00D16818"/>
    <w:rsid w:val="00D16AC0"/>
    <w:rsid w:val="00D22C4D"/>
    <w:rsid w:val="00D24CE2"/>
    <w:rsid w:val="00D27FE8"/>
    <w:rsid w:val="00D31FFE"/>
    <w:rsid w:val="00D403B2"/>
    <w:rsid w:val="00D42387"/>
    <w:rsid w:val="00D45078"/>
    <w:rsid w:val="00D5086B"/>
    <w:rsid w:val="00D50941"/>
    <w:rsid w:val="00D52D8C"/>
    <w:rsid w:val="00D57564"/>
    <w:rsid w:val="00D57CAF"/>
    <w:rsid w:val="00D629F1"/>
    <w:rsid w:val="00D64808"/>
    <w:rsid w:val="00D64CF3"/>
    <w:rsid w:val="00D654BB"/>
    <w:rsid w:val="00D70225"/>
    <w:rsid w:val="00D708F2"/>
    <w:rsid w:val="00D723FD"/>
    <w:rsid w:val="00D731B0"/>
    <w:rsid w:val="00D73B73"/>
    <w:rsid w:val="00D74831"/>
    <w:rsid w:val="00D767B5"/>
    <w:rsid w:val="00D76D4C"/>
    <w:rsid w:val="00D776AC"/>
    <w:rsid w:val="00D80D03"/>
    <w:rsid w:val="00D82D25"/>
    <w:rsid w:val="00D86EF0"/>
    <w:rsid w:val="00D877E4"/>
    <w:rsid w:val="00D910E3"/>
    <w:rsid w:val="00D9624E"/>
    <w:rsid w:val="00D97573"/>
    <w:rsid w:val="00DA135F"/>
    <w:rsid w:val="00DA25B6"/>
    <w:rsid w:val="00DA27C5"/>
    <w:rsid w:val="00DA2F46"/>
    <w:rsid w:val="00DB0439"/>
    <w:rsid w:val="00DB0FE6"/>
    <w:rsid w:val="00DB3EC4"/>
    <w:rsid w:val="00DB3F6E"/>
    <w:rsid w:val="00DB4516"/>
    <w:rsid w:val="00DB5F57"/>
    <w:rsid w:val="00DB6CF0"/>
    <w:rsid w:val="00DC10F2"/>
    <w:rsid w:val="00DC2690"/>
    <w:rsid w:val="00DC6474"/>
    <w:rsid w:val="00DC7CEE"/>
    <w:rsid w:val="00DE0F20"/>
    <w:rsid w:val="00DE0F3F"/>
    <w:rsid w:val="00DE38C9"/>
    <w:rsid w:val="00DE41DF"/>
    <w:rsid w:val="00DE62AF"/>
    <w:rsid w:val="00DF00C0"/>
    <w:rsid w:val="00E01F3F"/>
    <w:rsid w:val="00E04EB9"/>
    <w:rsid w:val="00E05041"/>
    <w:rsid w:val="00E11896"/>
    <w:rsid w:val="00E13501"/>
    <w:rsid w:val="00E160A0"/>
    <w:rsid w:val="00E16921"/>
    <w:rsid w:val="00E212A7"/>
    <w:rsid w:val="00E21659"/>
    <w:rsid w:val="00E347E7"/>
    <w:rsid w:val="00E34E0D"/>
    <w:rsid w:val="00E362C9"/>
    <w:rsid w:val="00E408BF"/>
    <w:rsid w:val="00E40D62"/>
    <w:rsid w:val="00E4225A"/>
    <w:rsid w:val="00E423A8"/>
    <w:rsid w:val="00E437A6"/>
    <w:rsid w:val="00E469BC"/>
    <w:rsid w:val="00E520F5"/>
    <w:rsid w:val="00E54612"/>
    <w:rsid w:val="00E54F2D"/>
    <w:rsid w:val="00E578AC"/>
    <w:rsid w:val="00E60057"/>
    <w:rsid w:val="00E6033E"/>
    <w:rsid w:val="00E648F8"/>
    <w:rsid w:val="00E6522A"/>
    <w:rsid w:val="00E73C36"/>
    <w:rsid w:val="00E7498F"/>
    <w:rsid w:val="00E773A3"/>
    <w:rsid w:val="00E7797B"/>
    <w:rsid w:val="00E82099"/>
    <w:rsid w:val="00E84522"/>
    <w:rsid w:val="00E90E1D"/>
    <w:rsid w:val="00E92A25"/>
    <w:rsid w:val="00E93503"/>
    <w:rsid w:val="00E961BD"/>
    <w:rsid w:val="00E97DB4"/>
    <w:rsid w:val="00EA0E21"/>
    <w:rsid w:val="00EA7AA0"/>
    <w:rsid w:val="00EB457E"/>
    <w:rsid w:val="00EB608A"/>
    <w:rsid w:val="00EB6BA5"/>
    <w:rsid w:val="00EC019B"/>
    <w:rsid w:val="00EC2DEB"/>
    <w:rsid w:val="00EC3876"/>
    <w:rsid w:val="00EC53DA"/>
    <w:rsid w:val="00EC67D9"/>
    <w:rsid w:val="00EC7758"/>
    <w:rsid w:val="00EC7C69"/>
    <w:rsid w:val="00ED0F9E"/>
    <w:rsid w:val="00ED3124"/>
    <w:rsid w:val="00ED32F0"/>
    <w:rsid w:val="00ED4E8C"/>
    <w:rsid w:val="00EE127E"/>
    <w:rsid w:val="00EE3927"/>
    <w:rsid w:val="00EE5F4E"/>
    <w:rsid w:val="00EF2B82"/>
    <w:rsid w:val="00EF302E"/>
    <w:rsid w:val="00EF3BDE"/>
    <w:rsid w:val="00EF3EA2"/>
    <w:rsid w:val="00EF634D"/>
    <w:rsid w:val="00EF692C"/>
    <w:rsid w:val="00EF6B2C"/>
    <w:rsid w:val="00F010E2"/>
    <w:rsid w:val="00F01C1A"/>
    <w:rsid w:val="00F02E6E"/>
    <w:rsid w:val="00F03F21"/>
    <w:rsid w:val="00F0587A"/>
    <w:rsid w:val="00F061B7"/>
    <w:rsid w:val="00F06EEF"/>
    <w:rsid w:val="00F07FD1"/>
    <w:rsid w:val="00F07FD5"/>
    <w:rsid w:val="00F13014"/>
    <w:rsid w:val="00F14121"/>
    <w:rsid w:val="00F15409"/>
    <w:rsid w:val="00F21050"/>
    <w:rsid w:val="00F21C16"/>
    <w:rsid w:val="00F22C15"/>
    <w:rsid w:val="00F258EC"/>
    <w:rsid w:val="00F2650B"/>
    <w:rsid w:val="00F26EC3"/>
    <w:rsid w:val="00F309AF"/>
    <w:rsid w:val="00F336CD"/>
    <w:rsid w:val="00F33A00"/>
    <w:rsid w:val="00F342CB"/>
    <w:rsid w:val="00F34395"/>
    <w:rsid w:val="00F3696C"/>
    <w:rsid w:val="00F378E6"/>
    <w:rsid w:val="00F4019C"/>
    <w:rsid w:val="00F40C3E"/>
    <w:rsid w:val="00F4202F"/>
    <w:rsid w:val="00F43C57"/>
    <w:rsid w:val="00F43FFF"/>
    <w:rsid w:val="00F46AEE"/>
    <w:rsid w:val="00F47846"/>
    <w:rsid w:val="00F501B3"/>
    <w:rsid w:val="00F53866"/>
    <w:rsid w:val="00F54D4E"/>
    <w:rsid w:val="00F56F21"/>
    <w:rsid w:val="00F62704"/>
    <w:rsid w:val="00F63765"/>
    <w:rsid w:val="00F6411D"/>
    <w:rsid w:val="00F66BAB"/>
    <w:rsid w:val="00F673BC"/>
    <w:rsid w:val="00F67FCC"/>
    <w:rsid w:val="00F71D00"/>
    <w:rsid w:val="00F82428"/>
    <w:rsid w:val="00F8381C"/>
    <w:rsid w:val="00F83EE2"/>
    <w:rsid w:val="00F84E93"/>
    <w:rsid w:val="00F856C4"/>
    <w:rsid w:val="00F928AC"/>
    <w:rsid w:val="00F9290D"/>
    <w:rsid w:val="00F92FC8"/>
    <w:rsid w:val="00F954E3"/>
    <w:rsid w:val="00F95B9D"/>
    <w:rsid w:val="00FA01DB"/>
    <w:rsid w:val="00FA23A9"/>
    <w:rsid w:val="00FA3CFF"/>
    <w:rsid w:val="00FA3D90"/>
    <w:rsid w:val="00FA3DDB"/>
    <w:rsid w:val="00FA62B3"/>
    <w:rsid w:val="00FB1D47"/>
    <w:rsid w:val="00FB2085"/>
    <w:rsid w:val="00FB6BB2"/>
    <w:rsid w:val="00FB6C21"/>
    <w:rsid w:val="00FB71E2"/>
    <w:rsid w:val="00FC27F8"/>
    <w:rsid w:val="00FC3F80"/>
    <w:rsid w:val="00FC542B"/>
    <w:rsid w:val="00FC5A4E"/>
    <w:rsid w:val="00FD110D"/>
    <w:rsid w:val="00FD1D64"/>
    <w:rsid w:val="00FD2B49"/>
    <w:rsid w:val="00FD6701"/>
    <w:rsid w:val="00FD72BB"/>
    <w:rsid w:val="00FE0396"/>
    <w:rsid w:val="00FE1681"/>
    <w:rsid w:val="00FE514C"/>
    <w:rsid w:val="00FE62AF"/>
    <w:rsid w:val="00FE68D1"/>
    <w:rsid w:val="00FF1A84"/>
    <w:rsid w:val="00FF3787"/>
    <w:rsid w:val="00FF476D"/>
    <w:rsid w:val="00FF4CE4"/>
    <w:rsid w:val="00FF510F"/>
    <w:rsid w:val="041532AF"/>
    <w:rsid w:val="103537C6"/>
    <w:rsid w:val="107F6913"/>
    <w:rsid w:val="1D3407A3"/>
    <w:rsid w:val="221D1711"/>
    <w:rsid w:val="23D71AF9"/>
    <w:rsid w:val="24F47900"/>
    <w:rsid w:val="256C48DC"/>
    <w:rsid w:val="25C13A4C"/>
    <w:rsid w:val="25CD40A6"/>
    <w:rsid w:val="265F7320"/>
    <w:rsid w:val="26A427CC"/>
    <w:rsid w:val="27434DB4"/>
    <w:rsid w:val="28040C15"/>
    <w:rsid w:val="29F762BC"/>
    <w:rsid w:val="2B0C55CA"/>
    <w:rsid w:val="2CD87DED"/>
    <w:rsid w:val="30D84D01"/>
    <w:rsid w:val="34D72AFA"/>
    <w:rsid w:val="35D01B33"/>
    <w:rsid w:val="369530AE"/>
    <w:rsid w:val="3991180D"/>
    <w:rsid w:val="3CD73D9A"/>
    <w:rsid w:val="44D777C8"/>
    <w:rsid w:val="46812423"/>
    <w:rsid w:val="47AE31B1"/>
    <w:rsid w:val="48D92773"/>
    <w:rsid w:val="4BD93EAB"/>
    <w:rsid w:val="53A9718A"/>
    <w:rsid w:val="589D2B8C"/>
    <w:rsid w:val="5C8929E3"/>
    <w:rsid w:val="5F061996"/>
    <w:rsid w:val="6375705B"/>
    <w:rsid w:val="63BF45E5"/>
    <w:rsid w:val="63E72823"/>
    <w:rsid w:val="65BB0967"/>
    <w:rsid w:val="66C07F14"/>
    <w:rsid w:val="66D7010C"/>
    <w:rsid w:val="69D17AB0"/>
    <w:rsid w:val="6A660AEF"/>
    <w:rsid w:val="6CED7022"/>
    <w:rsid w:val="79221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C57EC42"/>
  <w15:docId w15:val="{57632659-1C89-424E-A700-F1C699AD0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2D4AC6"/>
    <w:pPr>
      <w:widowControl w:val="0"/>
      <w:jc w:val="both"/>
    </w:pPr>
    <w:rPr>
      <w:kern w:val="2"/>
      <w:sz w:val="21"/>
      <w:szCs w:val="24"/>
    </w:rPr>
  </w:style>
  <w:style w:type="paragraph" w:styleId="1">
    <w:name w:val="heading 1"/>
    <w:basedOn w:val="a0"/>
    <w:next w:val="a0"/>
    <w:link w:val="10"/>
    <w:qFormat/>
    <w:pPr>
      <w:keepNext/>
      <w:keepLines/>
      <w:spacing w:before="340" w:after="330" w:line="578" w:lineRule="auto"/>
      <w:outlineLvl w:val="0"/>
    </w:pPr>
    <w:rPr>
      <w:b/>
      <w:bCs/>
      <w:kern w:val="44"/>
      <w:sz w:val="44"/>
      <w:szCs w:val="44"/>
    </w:rPr>
  </w:style>
  <w:style w:type="paragraph" w:styleId="2">
    <w:name w:val="heading 2"/>
    <w:basedOn w:val="a0"/>
    <w:next w:val="a0"/>
    <w:link w:val="20"/>
    <w:qFormat/>
    <w:pPr>
      <w:keepNext/>
      <w:keepLines/>
      <w:spacing w:before="260" w:after="260" w:line="416" w:lineRule="auto"/>
      <w:outlineLvl w:val="1"/>
    </w:pPr>
    <w:rPr>
      <w:rFonts w:ascii="Cambria" w:hAnsi="Cambria"/>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Pr>
      <w:color w:val="0000FF"/>
      <w:u w:val="single"/>
    </w:rPr>
  </w:style>
  <w:style w:type="character" w:styleId="a5">
    <w:name w:val="footnote reference"/>
    <w:semiHidden/>
    <w:rPr>
      <w:vertAlign w:val="superscript"/>
    </w:rPr>
  </w:style>
  <w:style w:type="character" w:styleId="a6">
    <w:name w:val="annotation reference"/>
    <w:semiHidden/>
    <w:rPr>
      <w:sz w:val="21"/>
      <w:szCs w:val="21"/>
    </w:rPr>
  </w:style>
  <w:style w:type="character" w:styleId="a7">
    <w:name w:val="page number"/>
    <w:basedOn w:val="a1"/>
  </w:style>
  <w:style w:type="character" w:customStyle="1" w:styleId="a8">
    <w:name w:val="页脚 字符"/>
    <w:link w:val="a9"/>
    <w:locked/>
    <w:rsid w:val="0062084F"/>
    <w:rPr>
      <w:kern w:val="2"/>
      <w:sz w:val="16"/>
      <w:szCs w:val="18"/>
    </w:rPr>
  </w:style>
  <w:style w:type="character" w:customStyle="1" w:styleId="aa">
    <w:name w:val="页眉 字符"/>
    <w:link w:val="ab"/>
    <w:semiHidden/>
    <w:locked/>
    <w:rPr>
      <w:rFonts w:eastAsia="宋体"/>
      <w:kern w:val="2"/>
      <w:sz w:val="18"/>
      <w:szCs w:val="18"/>
      <w:lang w:val="en-US" w:eastAsia="zh-CN" w:bidi="ar-SA"/>
    </w:rPr>
  </w:style>
  <w:style w:type="character" w:customStyle="1" w:styleId="10">
    <w:name w:val="标题 1 字符"/>
    <w:link w:val="1"/>
    <w:rPr>
      <w:b/>
      <w:bCs/>
      <w:kern w:val="44"/>
      <w:sz w:val="44"/>
      <w:szCs w:val="44"/>
    </w:rPr>
  </w:style>
  <w:style w:type="character" w:customStyle="1" w:styleId="CharChar2">
    <w:name w:val="Char Char2"/>
    <w:locked/>
    <w:rPr>
      <w:rFonts w:eastAsia="宋体"/>
      <w:kern w:val="2"/>
      <w:sz w:val="18"/>
      <w:szCs w:val="18"/>
      <w:lang w:val="en-US" w:eastAsia="zh-CN" w:bidi="ar-SA"/>
    </w:rPr>
  </w:style>
  <w:style w:type="character" w:customStyle="1" w:styleId="11">
    <w:name w:val="未处理的提及1"/>
    <w:uiPriority w:val="99"/>
    <w:unhideWhenUsed/>
    <w:rPr>
      <w:color w:val="605E5C"/>
      <w:shd w:val="clear" w:color="auto" w:fill="E1DFDD"/>
    </w:rPr>
  </w:style>
  <w:style w:type="character" w:customStyle="1" w:styleId="20">
    <w:name w:val="标题 2 字符"/>
    <w:link w:val="2"/>
    <w:rPr>
      <w:rFonts w:ascii="Cambria" w:hAnsi="Cambria"/>
      <w:b/>
      <w:bCs/>
      <w:kern w:val="2"/>
      <w:sz w:val="32"/>
      <w:szCs w:val="32"/>
    </w:rPr>
  </w:style>
  <w:style w:type="paragraph" w:styleId="a9">
    <w:name w:val="footer"/>
    <w:basedOn w:val="a0"/>
    <w:link w:val="a8"/>
    <w:rsid w:val="0062084F"/>
    <w:pPr>
      <w:tabs>
        <w:tab w:val="center" w:pos="4153"/>
        <w:tab w:val="right" w:pos="8306"/>
      </w:tabs>
      <w:snapToGrid w:val="0"/>
      <w:ind w:leftChars="100" w:left="100"/>
      <w:jc w:val="left"/>
    </w:pPr>
    <w:rPr>
      <w:sz w:val="16"/>
      <w:szCs w:val="18"/>
    </w:rPr>
  </w:style>
  <w:style w:type="paragraph" w:styleId="ac">
    <w:name w:val="Balloon Text"/>
    <w:basedOn w:val="a0"/>
    <w:semiHidden/>
    <w:rPr>
      <w:sz w:val="18"/>
      <w:szCs w:val="18"/>
    </w:rPr>
  </w:style>
  <w:style w:type="paragraph" w:styleId="ad">
    <w:name w:val="annotation text"/>
    <w:basedOn w:val="a0"/>
    <w:semiHidden/>
    <w:pPr>
      <w:jc w:val="left"/>
    </w:pPr>
  </w:style>
  <w:style w:type="paragraph" w:styleId="ae">
    <w:name w:val="Normal (Web)"/>
    <w:basedOn w:val="a0"/>
    <w:uiPriority w:val="99"/>
    <w:unhideWhenUsed/>
    <w:pPr>
      <w:spacing w:before="100" w:beforeAutospacing="1" w:after="100" w:afterAutospacing="1"/>
      <w:jc w:val="left"/>
    </w:pPr>
    <w:rPr>
      <w:kern w:val="0"/>
      <w:sz w:val="24"/>
    </w:rPr>
  </w:style>
  <w:style w:type="paragraph" w:styleId="af">
    <w:name w:val="footnote text"/>
    <w:basedOn w:val="a0"/>
    <w:semiHidden/>
    <w:pPr>
      <w:snapToGrid w:val="0"/>
      <w:jc w:val="left"/>
    </w:pPr>
    <w:rPr>
      <w:sz w:val="18"/>
      <w:szCs w:val="18"/>
    </w:rPr>
  </w:style>
  <w:style w:type="paragraph" w:styleId="ab">
    <w:name w:val="header"/>
    <w:basedOn w:val="a0"/>
    <w:link w:val="aa"/>
    <w:pPr>
      <w:pBdr>
        <w:bottom w:val="single" w:sz="6" w:space="1" w:color="auto"/>
      </w:pBdr>
      <w:tabs>
        <w:tab w:val="center" w:pos="4153"/>
        <w:tab w:val="right" w:pos="8306"/>
      </w:tabs>
      <w:snapToGrid w:val="0"/>
      <w:jc w:val="center"/>
    </w:pPr>
    <w:rPr>
      <w:sz w:val="18"/>
      <w:szCs w:val="18"/>
    </w:rPr>
  </w:style>
  <w:style w:type="paragraph" w:styleId="af0">
    <w:name w:val="annotation subject"/>
    <w:basedOn w:val="ad"/>
    <w:next w:val="ad"/>
    <w:semiHidden/>
    <w:rPr>
      <w:b/>
      <w:bCs/>
    </w:rPr>
  </w:style>
  <w:style w:type="paragraph" w:customStyle="1" w:styleId="Char">
    <w:name w:val="Char"/>
    <w:basedOn w:val="a0"/>
    <w:pPr>
      <w:widowControl/>
      <w:spacing w:after="160" w:line="240" w:lineRule="exact"/>
      <w:jc w:val="left"/>
    </w:pPr>
    <w:rPr>
      <w:rFonts w:ascii="Verdana" w:eastAsia="仿宋_GB2312" w:hAnsi="Verdana"/>
      <w:kern w:val="0"/>
      <w:sz w:val="24"/>
      <w:szCs w:val="20"/>
      <w:lang w:eastAsia="en-US"/>
    </w:rPr>
  </w:style>
  <w:style w:type="paragraph" w:customStyle="1" w:styleId="p0">
    <w:name w:val="p0"/>
    <w:basedOn w:val="a0"/>
    <w:qFormat/>
    <w:pPr>
      <w:widowControl/>
    </w:pPr>
    <w:rPr>
      <w:kern w:val="0"/>
      <w:szCs w:val="21"/>
    </w:rPr>
  </w:style>
  <w:style w:type="table" w:styleId="af1">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lassic 1"/>
    <w:basedOn w:val="a2"/>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paragraph" w:customStyle="1" w:styleId="af2">
    <w:name w:val="（中）标题样式"/>
    <w:rsid w:val="00A85FF1"/>
    <w:pPr>
      <w:jc w:val="center"/>
    </w:pPr>
    <w:rPr>
      <w:rFonts w:eastAsia="黑体" w:hAnsi="黑体"/>
      <w:b/>
      <w:kern w:val="2"/>
      <w:sz w:val="32"/>
      <w:szCs w:val="36"/>
    </w:rPr>
  </w:style>
  <w:style w:type="paragraph" w:customStyle="1" w:styleId="af3">
    <w:name w:val="（中）作者姓名样式"/>
    <w:rsid w:val="004500F5"/>
    <w:pPr>
      <w:jc w:val="center"/>
    </w:pPr>
    <w:rPr>
      <w:rFonts w:eastAsia="黑体" w:hAnsi="华文楷体"/>
      <w:kern w:val="2"/>
      <w:sz w:val="21"/>
      <w:szCs w:val="21"/>
    </w:rPr>
  </w:style>
  <w:style w:type="paragraph" w:customStyle="1" w:styleId="af4">
    <w:name w:val="（中）作者单位样式"/>
    <w:rsid w:val="00482C0E"/>
    <w:pPr>
      <w:jc w:val="center"/>
    </w:pPr>
    <w:rPr>
      <w:rFonts w:hAnsi="宋体"/>
      <w:kern w:val="2"/>
      <w:sz w:val="18"/>
      <w:szCs w:val="18"/>
    </w:rPr>
  </w:style>
  <w:style w:type="character" w:customStyle="1" w:styleId="af5">
    <w:name w:val="中文摘要特征词样式"/>
    <w:basedOn w:val="a1"/>
    <w:rsid w:val="0052479E"/>
    <w:rPr>
      <w:rFonts w:ascii="黑体" w:eastAsia="黑体" w:hAnsi="黑体"/>
      <w:sz w:val="18"/>
    </w:rPr>
  </w:style>
  <w:style w:type="character" w:customStyle="1" w:styleId="af6">
    <w:name w:val="中文关键词特征词样式"/>
    <w:basedOn w:val="a1"/>
    <w:rsid w:val="0052479E"/>
    <w:rPr>
      <w:rFonts w:ascii="黑体" w:eastAsia="黑体" w:hAnsi="黑体"/>
      <w:sz w:val="18"/>
    </w:rPr>
  </w:style>
  <w:style w:type="character" w:customStyle="1" w:styleId="af7">
    <w:name w:val="（中）关键词样式"/>
    <w:rsid w:val="009B31EC"/>
    <w:rPr>
      <w:rFonts w:ascii="Times New Roman" w:eastAsia="宋体" w:hAnsi="Times New Roman"/>
      <w:sz w:val="18"/>
    </w:rPr>
  </w:style>
  <w:style w:type="paragraph" w:customStyle="1" w:styleId="af8">
    <w:name w:val="（英）标题样式"/>
    <w:qFormat/>
    <w:rsid w:val="00AF3CC7"/>
    <w:pPr>
      <w:spacing w:line="360" w:lineRule="exact"/>
      <w:jc w:val="center"/>
      <w:outlineLvl w:val="0"/>
    </w:pPr>
    <w:rPr>
      <w:b/>
      <w:kern w:val="2"/>
      <w:sz w:val="32"/>
      <w:szCs w:val="24"/>
    </w:rPr>
  </w:style>
  <w:style w:type="paragraph" w:customStyle="1" w:styleId="af9">
    <w:name w:val="（英）作者姓名样式"/>
    <w:rsid w:val="00763472"/>
    <w:pPr>
      <w:jc w:val="center"/>
    </w:pPr>
    <w:rPr>
      <w:b/>
      <w:spacing w:val="-4"/>
      <w:kern w:val="2"/>
      <w:sz w:val="21"/>
      <w:szCs w:val="21"/>
    </w:rPr>
  </w:style>
  <w:style w:type="paragraph" w:customStyle="1" w:styleId="afa">
    <w:name w:val="（英）作者单位样式"/>
    <w:qFormat/>
    <w:rsid w:val="00763472"/>
    <w:pPr>
      <w:jc w:val="center"/>
    </w:pPr>
    <w:rPr>
      <w:kern w:val="2"/>
      <w:sz w:val="18"/>
      <w:szCs w:val="24"/>
    </w:rPr>
  </w:style>
  <w:style w:type="character" w:customStyle="1" w:styleId="afb">
    <w:name w:val="英文摘要特征词样式"/>
    <w:basedOn w:val="a1"/>
    <w:rsid w:val="0052479E"/>
    <w:rPr>
      <w:b/>
      <w:sz w:val="18"/>
    </w:rPr>
  </w:style>
  <w:style w:type="character" w:customStyle="1" w:styleId="afc">
    <w:name w:val="英文关键词特征词样式"/>
    <w:basedOn w:val="a1"/>
    <w:rsid w:val="0052479E"/>
    <w:rPr>
      <w:b/>
      <w:sz w:val="18"/>
    </w:rPr>
  </w:style>
  <w:style w:type="character" w:customStyle="1" w:styleId="afd">
    <w:name w:val="（英）关键词样式"/>
    <w:basedOn w:val="a1"/>
    <w:rsid w:val="00CB04F0"/>
    <w:rPr>
      <w:rFonts w:ascii="Times New Roman" w:eastAsia="宋体" w:hAnsi="Times New Roman"/>
      <w:kern w:val="0"/>
      <w:sz w:val="18"/>
    </w:rPr>
  </w:style>
  <w:style w:type="paragraph" w:customStyle="1" w:styleId="afe">
    <w:name w:val="正文样式"/>
    <w:basedOn w:val="a0"/>
    <w:rsid w:val="00B47711"/>
    <w:pPr>
      <w:autoSpaceDE w:val="0"/>
      <w:autoSpaceDN w:val="0"/>
      <w:ind w:firstLineChars="200" w:firstLine="200"/>
    </w:pPr>
  </w:style>
  <w:style w:type="paragraph" w:customStyle="1" w:styleId="aff">
    <w:name w:val="一级标题样式"/>
    <w:rsid w:val="00F061B7"/>
    <w:pPr>
      <w:spacing w:beforeLines="70" w:before="70" w:afterLines="70" w:after="70"/>
      <w:jc w:val="both"/>
    </w:pPr>
    <w:rPr>
      <w:rFonts w:eastAsia="黑体"/>
      <w:kern w:val="2"/>
      <w:sz w:val="28"/>
      <w:szCs w:val="24"/>
    </w:rPr>
  </w:style>
  <w:style w:type="paragraph" w:customStyle="1" w:styleId="aff0">
    <w:name w:val="二级标题样式"/>
    <w:rsid w:val="00F061B7"/>
    <w:pPr>
      <w:jc w:val="both"/>
    </w:pPr>
    <w:rPr>
      <w:rFonts w:eastAsia="黑体"/>
      <w:kern w:val="2"/>
      <w:sz w:val="21"/>
      <w:szCs w:val="24"/>
    </w:rPr>
  </w:style>
  <w:style w:type="paragraph" w:customStyle="1" w:styleId="aff1">
    <w:name w:val="三级标题样式"/>
    <w:rsid w:val="00787710"/>
    <w:pPr>
      <w:jc w:val="both"/>
    </w:pPr>
    <w:rPr>
      <w:rFonts w:eastAsia="楷体"/>
      <w:kern w:val="2"/>
      <w:sz w:val="21"/>
      <w:szCs w:val="24"/>
    </w:rPr>
  </w:style>
  <w:style w:type="character" w:customStyle="1" w:styleId="aff2">
    <w:name w:val="（中）收稿日期样式"/>
    <w:basedOn w:val="a1"/>
    <w:rsid w:val="00B40899"/>
    <w:rPr>
      <w:rFonts w:ascii="Times New Roman" w:eastAsia="宋体" w:hAnsi="Times New Roman"/>
      <w:sz w:val="16"/>
      <w:szCs w:val="16"/>
    </w:rPr>
  </w:style>
  <w:style w:type="character" w:customStyle="1" w:styleId="aff3">
    <w:name w:val="（中）基金项目样式"/>
    <w:basedOn w:val="a1"/>
    <w:rsid w:val="00303E99"/>
    <w:rPr>
      <w:rFonts w:eastAsiaTheme="minorEastAsia" w:hAnsi="宋体"/>
      <w:sz w:val="16"/>
      <w:szCs w:val="16"/>
    </w:rPr>
  </w:style>
  <w:style w:type="character" w:customStyle="1" w:styleId="aff4">
    <w:name w:val="并列作者样式"/>
    <w:basedOn w:val="a1"/>
    <w:rsid w:val="00207E0C"/>
    <w:rPr>
      <w:sz w:val="18"/>
      <w:szCs w:val="18"/>
    </w:rPr>
  </w:style>
  <w:style w:type="character" w:customStyle="1" w:styleId="aff5">
    <w:name w:val="（中）栏目样式"/>
    <w:basedOn w:val="a1"/>
    <w:rsid w:val="00A85FF1"/>
    <w:rPr>
      <w:rFonts w:ascii="Times New Roman" w:eastAsia="黑体" w:hAnsi="Times New Roman"/>
      <w:sz w:val="24"/>
    </w:rPr>
  </w:style>
  <w:style w:type="character" w:customStyle="1" w:styleId="aff6">
    <w:name w:val="中图分类号样式"/>
    <w:basedOn w:val="a1"/>
    <w:uiPriority w:val="1"/>
    <w:qFormat/>
    <w:rsid w:val="009B31EC"/>
    <w:rPr>
      <w:rFonts w:ascii="Times New Roman" w:eastAsia="宋体" w:hAnsi="Times New Roman"/>
      <w:sz w:val="18"/>
    </w:rPr>
  </w:style>
  <w:style w:type="character" w:customStyle="1" w:styleId="aff7">
    <w:name w:val="文献标志码样式"/>
    <w:basedOn w:val="a1"/>
    <w:uiPriority w:val="1"/>
    <w:qFormat/>
    <w:rsid w:val="009B31EC"/>
    <w:rPr>
      <w:rFonts w:ascii="Times New Roman" w:eastAsia="宋体" w:hAnsi="Times New Roman"/>
      <w:sz w:val="18"/>
    </w:rPr>
  </w:style>
  <w:style w:type="character" w:customStyle="1" w:styleId="aff8">
    <w:name w:val="文章编号样式"/>
    <w:basedOn w:val="a1"/>
    <w:uiPriority w:val="1"/>
    <w:qFormat/>
    <w:rsid w:val="001316B4"/>
    <w:rPr>
      <w:rFonts w:ascii="Times New Roman" w:eastAsiaTheme="minorEastAsia" w:hAnsi="Times New Roman"/>
      <w:sz w:val="18"/>
    </w:rPr>
  </w:style>
  <w:style w:type="paragraph" w:customStyle="1" w:styleId="aff9">
    <w:name w:val="（中）图题样式"/>
    <w:qFormat/>
    <w:rsid w:val="00064A53"/>
    <w:pPr>
      <w:jc w:val="center"/>
    </w:pPr>
    <w:rPr>
      <w:rFonts w:eastAsia="黑体"/>
      <w:kern w:val="2"/>
      <w:sz w:val="18"/>
      <w:szCs w:val="18"/>
    </w:rPr>
  </w:style>
  <w:style w:type="paragraph" w:customStyle="1" w:styleId="affa">
    <w:name w:val="（英）图题样式"/>
    <w:link w:val="Char0"/>
    <w:qFormat/>
    <w:rsid w:val="005B1F88"/>
    <w:pPr>
      <w:jc w:val="center"/>
    </w:pPr>
    <w:rPr>
      <w:b/>
      <w:kern w:val="2"/>
      <w:sz w:val="18"/>
      <w:szCs w:val="18"/>
    </w:rPr>
  </w:style>
  <w:style w:type="paragraph" w:customStyle="1" w:styleId="affb">
    <w:name w:val="（中）表题样式"/>
    <w:link w:val="Char1"/>
    <w:qFormat/>
    <w:rsid w:val="00064A53"/>
    <w:pPr>
      <w:jc w:val="center"/>
    </w:pPr>
    <w:rPr>
      <w:rFonts w:eastAsia="黑体"/>
      <w:kern w:val="2"/>
      <w:sz w:val="18"/>
      <w:szCs w:val="18"/>
    </w:rPr>
  </w:style>
  <w:style w:type="paragraph" w:customStyle="1" w:styleId="affc">
    <w:name w:val="（英）表题样式"/>
    <w:qFormat/>
    <w:rsid w:val="005B1F88"/>
    <w:pPr>
      <w:jc w:val="center"/>
    </w:pPr>
    <w:rPr>
      <w:b/>
      <w:kern w:val="2"/>
      <w:sz w:val="18"/>
      <w:szCs w:val="18"/>
    </w:rPr>
  </w:style>
  <w:style w:type="paragraph" w:customStyle="1" w:styleId="affd">
    <w:name w:val="表格样式"/>
    <w:qFormat/>
    <w:rsid w:val="00A8579B"/>
    <w:pPr>
      <w:jc w:val="both"/>
    </w:pPr>
    <w:rPr>
      <w:rFonts w:ascii="宋体" w:hAnsi="宋体"/>
      <w:kern w:val="2"/>
      <w:sz w:val="18"/>
      <w:szCs w:val="21"/>
    </w:rPr>
  </w:style>
  <w:style w:type="paragraph" w:customStyle="1" w:styleId="affe">
    <w:name w:val="（中）表注样式"/>
    <w:basedOn w:val="a0"/>
    <w:qFormat/>
    <w:rsid w:val="007A47A7"/>
    <w:rPr>
      <w:rFonts w:hAnsi="宋体"/>
      <w:sz w:val="15"/>
      <w:szCs w:val="15"/>
    </w:rPr>
  </w:style>
  <w:style w:type="paragraph" w:customStyle="1" w:styleId="afff">
    <w:name w:val="（英）表注样式"/>
    <w:basedOn w:val="affe"/>
    <w:qFormat/>
    <w:rsid w:val="007A47A7"/>
  </w:style>
  <w:style w:type="paragraph" w:customStyle="1" w:styleId="afff0">
    <w:name w:val="（英）图注样式"/>
    <w:basedOn w:val="afff"/>
    <w:qFormat/>
    <w:rsid w:val="007A47A7"/>
    <w:pPr>
      <w:jc w:val="center"/>
    </w:pPr>
  </w:style>
  <w:style w:type="paragraph" w:customStyle="1" w:styleId="afff1">
    <w:name w:val="（中）图注样式"/>
    <w:qFormat/>
    <w:rsid w:val="00E82099"/>
    <w:pPr>
      <w:jc w:val="center"/>
    </w:pPr>
    <w:rPr>
      <w:rFonts w:hAnsi="宋体"/>
      <w:kern w:val="2"/>
      <w:sz w:val="15"/>
      <w:szCs w:val="15"/>
    </w:rPr>
  </w:style>
  <w:style w:type="paragraph" w:customStyle="1" w:styleId="afff2">
    <w:name w:val="参考文献样式"/>
    <w:basedOn w:val="a0"/>
    <w:rsid w:val="00F061B7"/>
    <w:pPr>
      <w:spacing w:beforeLines="100" w:before="100" w:afterLines="100" w:after="100"/>
      <w:jc w:val="center"/>
    </w:pPr>
    <w:rPr>
      <w:rFonts w:eastAsia="黑体"/>
    </w:rPr>
  </w:style>
  <w:style w:type="paragraph" w:customStyle="1" w:styleId="a">
    <w:name w:val="参考文献内容样式"/>
    <w:basedOn w:val="a0"/>
    <w:qFormat/>
    <w:rsid w:val="00834C47"/>
    <w:pPr>
      <w:numPr>
        <w:numId w:val="2"/>
      </w:numPr>
      <w:tabs>
        <w:tab w:val="clear" w:pos="473"/>
        <w:tab w:val="left" w:pos="420"/>
      </w:tabs>
      <w:ind w:left="200" w:hangingChars="200" w:hanging="200"/>
    </w:pPr>
    <w:rPr>
      <w:sz w:val="18"/>
      <w:szCs w:val="18"/>
    </w:rPr>
  </w:style>
  <w:style w:type="character" w:customStyle="1" w:styleId="afff3">
    <w:name w:val="（中）通信作者样式"/>
    <w:basedOn w:val="aff4"/>
    <w:uiPriority w:val="1"/>
    <w:qFormat/>
    <w:rsid w:val="00303E99"/>
    <w:rPr>
      <w:rFonts w:eastAsiaTheme="minorEastAsia"/>
      <w:sz w:val="16"/>
      <w:szCs w:val="18"/>
    </w:rPr>
  </w:style>
  <w:style w:type="paragraph" w:customStyle="1" w:styleId="afff4">
    <w:name w:val="公式样式"/>
    <w:basedOn w:val="a0"/>
    <w:qFormat/>
    <w:rsid w:val="00EB457E"/>
    <w:pPr>
      <w:ind w:left="420" w:firstLineChars="200" w:firstLine="420"/>
      <w:jc w:val="right"/>
    </w:pPr>
  </w:style>
  <w:style w:type="paragraph" w:customStyle="1" w:styleId="DOI">
    <w:name w:val="DOI样式"/>
    <w:qFormat/>
    <w:rsid w:val="004A7666"/>
    <w:pPr>
      <w:jc w:val="both"/>
    </w:pPr>
    <w:rPr>
      <w:kern w:val="2"/>
      <w:sz w:val="18"/>
      <w:szCs w:val="18"/>
    </w:rPr>
  </w:style>
  <w:style w:type="paragraph" w:customStyle="1" w:styleId="afff5">
    <w:name w:val="引用样式"/>
    <w:qFormat/>
    <w:rsid w:val="00802E06"/>
    <w:pPr>
      <w:jc w:val="both"/>
    </w:pPr>
    <w:rPr>
      <w:kern w:val="2"/>
      <w:sz w:val="18"/>
      <w:szCs w:val="18"/>
    </w:rPr>
  </w:style>
  <w:style w:type="paragraph" w:customStyle="1" w:styleId="CITE">
    <w:name w:val="CITE样式"/>
    <w:qFormat/>
    <w:rsid w:val="005B46B1"/>
    <w:pPr>
      <w:jc w:val="both"/>
    </w:pPr>
    <w:rPr>
      <w:kern w:val="2"/>
      <w:sz w:val="18"/>
      <w:szCs w:val="18"/>
    </w:rPr>
  </w:style>
  <w:style w:type="paragraph" w:customStyle="1" w:styleId="afff6">
    <w:name w:val="（中）副标题样式"/>
    <w:basedOn w:val="a0"/>
    <w:qFormat/>
    <w:rsid w:val="001316B4"/>
    <w:pPr>
      <w:jc w:val="center"/>
    </w:pPr>
    <w:rPr>
      <w:rFonts w:eastAsia="楷体"/>
      <w:sz w:val="28"/>
      <w:szCs w:val="21"/>
    </w:rPr>
  </w:style>
  <w:style w:type="paragraph" w:customStyle="1" w:styleId="afff7">
    <w:name w:val="（英）副标题样式"/>
    <w:basedOn w:val="afff6"/>
    <w:qFormat/>
    <w:rsid w:val="00AF3CC7"/>
  </w:style>
  <w:style w:type="paragraph" w:customStyle="1" w:styleId="afff8">
    <w:name w:val="致谢样式"/>
    <w:qFormat/>
    <w:rsid w:val="00D57564"/>
    <w:pPr>
      <w:jc w:val="both"/>
    </w:pPr>
    <w:rPr>
      <w:b/>
      <w:kern w:val="2"/>
      <w:sz w:val="18"/>
      <w:szCs w:val="18"/>
    </w:rPr>
  </w:style>
  <w:style w:type="paragraph" w:customStyle="1" w:styleId="afff9">
    <w:name w:val="编辑样式"/>
    <w:qFormat/>
    <w:rsid w:val="00F061B7"/>
    <w:pPr>
      <w:spacing w:beforeLines="100" w:before="100"/>
      <w:jc w:val="right"/>
    </w:pPr>
    <w:rPr>
      <w:kern w:val="2"/>
      <w:sz w:val="18"/>
      <w:szCs w:val="18"/>
    </w:rPr>
  </w:style>
  <w:style w:type="character" w:customStyle="1" w:styleId="afffa">
    <w:name w:val="一级标题序号样式"/>
    <w:basedOn w:val="a1"/>
    <w:uiPriority w:val="1"/>
    <w:qFormat/>
    <w:rsid w:val="00F061B7"/>
    <w:rPr>
      <w:rFonts w:ascii="Times New Roman" w:eastAsia="黑体" w:hAnsi="Times New Roman"/>
      <w:b/>
      <w:sz w:val="28"/>
    </w:rPr>
  </w:style>
  <w:style w:type="character" w:customStyle="1" w:styleId="afffb">
    <w:name w:val="二级标题序号样式"/>
    <w:basedOn w:val="a1"/>
    <w:uiPriority w:val="1"/>
    <w:rsid w:val="00F061B7"/>
    <w:rPr>
      <w:rFonts w:ascii="Times New Roman" w:eastAsia="黑体" w:hAnsi="Times New Roman"/>
      <w:b/>
      <w:sz w:val="21"/>
    </w:rPr>
  </w:style>
  <w:style w:type="table" w:styleId="21">
    <w:name w:val="Plain Table 2"/>
    <w:basedOn w:val="a2"/>
    <w:uiPriority w:val="42"/>
    <w:rsid w:val="002D4AC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fc">
    <w:name w:val="中文表序样式"/>
    <w:basedOn w:val="affb"/>
    <w:link w:val="Char2"/>
    <w:rsid w:val="005B1F88"/>
    <w:rPr>
      <w:b/>
    </w:rPr>
  </w:style>
  <w:style w:type="character" w:customStyle="1" w:styleId="afffd">
    <w:name w:val="英文表序样式"/>
    <w:uiPriority w:val="1"/>
    <w:qFormat/>
    <w:rsid w:val="005B1F88"/>
    <w:rPr>
      <w:rFonts w:ascii="Times New Roman" w:eastAsia="宋体" w:hAnsi="Times New Roman"/>
      <w:b/>
      <w:sz w:val="18"/>
    </w:rPr>
  </w:style>
  <w:style w:type="character" w:customStyle="1" w:styleId="Char1">
    <w:name w:val="（中）表题样式 Char"/>
    <w:basedOn w:val="a1"/>
    <w:link w:val="affb"/>
    <w:rsid w:val="00064A53"/>
    <w:rPr>
      <w:rFonts w:eastAsia="黑体"/>
      <w:kern w:val="2"/>
      <w:sz w:val="18"/>
      <w:szCs w:val="18"/>
    </w:rPr>
  </w:style>
  <w:style w:type="character" w:customStyle="1" w:styleId="Char2">
    <w:name w:val="中文表序样式 Char"/>
    <w:basedOn w:val="Char1"/>
    <w:link w:val="afffc"/>
    <w:rsid w:val="005B1F88"/>
    <w:rPr>
      <w:rFonts w:eastAsia="黑体"/>
      <w:b/>
      <w:kern w:val="2"/>
      <w:sz w:val="18"/>
      <w:szCs w:val="18"/>
    </w:rPr>
  </w:style>
  <w:style w:type="paragraph" w:customStyle="1" w:styleId="afffe">
    <w:name w:val="中文图序样式"/>
    <w:basedOn w:val="aff9"/>
    <w:qFormat/>
    <w:rsid w:val="005B1F88"/>
    <w:rPr>
      <w:b/>
    </w:rPr>
  </w:style>
  <w:style w:type="paragraph" w:customStyle="1" w:styleId="affff">
    <w:name w:val="英文图序样式"/>
    <w:basedOn w:val="affa"/>
    <w:link w:val="affff0"/>
    <w:qFormat/>
    <w:rsid w:val="005B1F88"/>
    <w:rPr>
      <w:b w:val="0"/>
    </w:rPr>
  </w:style>
  <w:style w:type="paragraph" w:customStyle="1" w:styleId="affff1">
    <w:name w:val="图样式"/>
    <w:qFormat/>
    <w:rsid w:val="007407A3"/>
    <w:pPr>
      <w:jc w:val="center"/>
    </w:pPr>
    <w:rPr>
      <w:b/>
      <w:kern w:val="2"/>
      <w:sz w:val="18"/>
      <w:szCs w:val="18"/>
    </w:rPr>
  </w:style>
  <w:style w:type="paragraph" w:customStyle="1" w:styleId="MTDisplayEquation">
    <w:name w:val="MTDisplayEquation"/>
    <w:basedOn w:val="affa"/>
    <w:next w:val="a0"/>
    <w:link w:val="MTDisplayEquationChar"/>
    <w:rsid w:val="00EB457E"/>
    <w:pPr>
      <w:tabs>
        <w:tab w:val="center" w:pos="4820"/>
        <w:tab w:val="right" w:pos="9640"/>
      </w:tabs>
    </w:pPr>
  </w:style>
  <w:style w:type="character" w:customStyle="1" w:styleId="Char0">
    <w:name w:val="（英）图题样式 Char"/>
    <w:basedOn w:val="a1"/>
    <w:link w:val="affa"/>
    <w:rsid w:val="005B1F88"/>
    <w:rPr>
      <w:b/>
      <w:kern w:val="2"/>
      <w:sz w:val="18"/>
      <w:szCs w:val="18"/>
    </w:rPr>
  </w:style>
  <w:style w:type="character" w:customStyle="1" w:styleId="MTDisplayEquationChar">
    <w:name w:val="MTDisplayEquation Char"/>
    <w:basedOn w:val="Char0"/>
    <w:link w:val="MTDisplayEquation"/>
    <w:rsid w:val="00EB457E"/>
    <w:rPr>
      <w:b/>
      <w:kern w:val="2"/>
      <w:sz w:val="18"/>
      <w:szCs w:val="18"/>
    </w:rPr>
  </w:style>
  <w:style w:type="paragraph" w:customStyle="1" w:styleId="affff2">
    <w:name w:val="参考文献中英文对照样式"/>
    <w:rsid w:val="00547BF9"/>
    <w:pPr>
      <w:widowControl w:val="0"/>
      <w:ind w:left="200" w:hangingChars="200" w:hanging="200"/>
      <w:jc w:val="both"/>
    </w:pPr>
    <w:rPr>
      <w:rFonts w:eastAsia="Times New Roman"/>
      <w:kern w:val="2"/>
      <w:sz w:val="18"/>
    </w:rPr>
  </w:style>
  <w:style w:type="character" w:customStyle="1" w:styleId="affff3">
    <w:name w:val="（中）修回日期样式"/>
    <w:basedOn w:val="aff2"/>
    <w:uiPriority w:val="1"/>
    <w:qFormat/>
    <w:rsid w:val="00480717"/>
    <w:rPr>
      <w:rFonts w:ascii="Times New Roman" w:eastAsiaTheme="minorEastAsia" w:hAnsi="Times New Roman"/>
      <w:sz w:val="16"/>
      <w:szCs w:val="16"/>
    </w:rPr>
  </w:style>
  <w:style w:type="character" w:customStyle="1" w:styleId="affff4">
    <w:name w:val="（中）作者简介样式"/>
    <w:basedOn w:val="aff4"/>
    <w:uiPriority w:val="1"/>
    <w:qFormat/>
    <w:rsid w:val="00303E99"/>
    <w:rPr>
      <w:rFonts w:eastAsiaTheme="minorEastAsia"/>
      <w:sz w:val="16"/>
      <w:szCs w:val="18"/>
    </w:rPr>
  </w:style>
  <w:style w:type="table" w:customStyle="1" w:styleId="affff5">
    <w:name w:val="三线表样式"/>
    <w:uiPriority w:val="99"/>
    <w:rsid w:val="002D4AC6"/>
    <w:pPr>
      <w:adjustRightInd w:val="0"/>
      <w:snapToGrid w:val="0"/>
      <w:jc w:val="center"/>
    </w:pPr>
    <w:rPr>
      <w:sz w:val="18"/>
    </w:rPr>
    <w:tblPr>
      <w:tblBorders>
        <w:top w:val="single" w:sz="4" w:space="0" w:color="auto"/>
        <w:bottom w:val="single" w:sz="6" w:space="0" w:color="auto"/>
      </w:tblBorders>
      <w:tblCellMar>
        <w:top w:w="0" w:type="dxa"/>
        <w:left w:w="0" w:type="dxa"/>
        <w:bottom w:w="0" w:type="dxa"/>
        <w:right w:w="0" w:type="dxa"/>
      </w:tblCellMar>
    </w:tblPr>
    <w:tcPr>
      <w:vAlign w:val="center"/>
    </w:tcPr>
    <w:tblStylePr w:type="firstRow">
      <w:rPr>
        <w:b/>
      </w:rPr>
      <w:tblPr/>
      <w:tcPr>
        <w:tcBorders>
          <w:top w:val="single" w:sz="4" w:space="0" w:color="auto"/>
          <w:left w:val="nil"/>
          <w:bottom w:val="single" w:sz="4" w:space="0" w:color="auto"/>
          <w:right w:val="nil"/>
          <w:insideH w:val="nil"/>
          <w:insideV w:val="nil"/>
          <w:tl2br w:val="nil"/>
          <w:tr2bl w:val="nil"/>
        </w:tcBorders>
      </w:tcPr>
    </w:tblStylePr>
  </w:style>
  <w:style w:type="character" w:customStyle="1" w:styleId="affff0">
    <w:name w:val="英文图序样式 字符"/>
    <w:basedOn w:val="Char0"/>
    <w:link w:val="affff"/>
    <w:rsid w:val="005B1F88"/>
    <w:rPr>
      <w:b w:val="0"/>
      <w:kern w:val="2"/>
      <w:sz w:val="18"/>
      <w:szCs w:val="18"/>
    </w:rPr>
  </w:style>
  <w:style w:type="table" w:styleId="13">
    <w:name w:val="Grid Table 1 Light"/>
    <w:basedOn w:val="a2"/>
    <w:uiPriority w:val="46"/>
    <w:rsid w:val="002D4AC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2"/>
    <w:uiPriority w:val="46"/>
    <w:rsid w:val="002D4AC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2">
    <w:name w:val="Grid Table 1 Light Accent 2"/>
    <w:basedOn w:val="a2"/>
    <w:uiPriority w:val="46"/>
    <w:rsid w:val="002D4AC6"/>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3">
    <w:name w:val="Grid Table 1 Light Accent 3"/>
    <w:basedOn w:val="a2"/>
    <w:uiPriority w:val="46"/>
    <w:rsid w:val="002D4AC6"/>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1-4">
    <w:name w:val="Grid Table 1 Light Accent 4"/>
    <w:basedOn w:val="a2"/>
    <w:uiPriority w:val="46"/>
    <w:rsid w:val="002D4AC6"/>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customStyle="1" w:styleId="affff6">
    <w:name w:val="（中）摘要样式"/>
    <w:rsid w:val="009B31EC"/>
    <w:pPr>
      <w:widowControl w:val="0"/>
      <w:ind w:firstLineChars="200" w:firstLine="200"/>
      <w:jc w:val="both"/>
    </w:pPr>
    <w:rPr>
      <w:rFonts w:hAnsi="楷体"/>
      <w:sz w:val="18"/>
    </w:rPr>
  </w:style>
  <w:style w:type="paragraph" w:customStyle="1" w:styleId="affff7">
    <w:name w:val="（英）摘要样式"/>
    <w:rsid w:val="00734107"/>
    <w:pPr>
      <w:widowControl w:val="0"/>
      <w:ind w:firstLineChars="200" w:firstLine="200"/>
      <w:jc w:val="both"/>
    </w:pPr>
    <w:rPr>
      <w:sz w:val="18"/>
    </w:rPr>
  </w:style>
  <w:style w:type="character" w:customStyle="1" w:styleId="affff8">
    <w:name w:val="三级标题序号样式"/>
    <w:basedOn w:val="a1"/>
    <w:uiPriority w:val="1"/>
    <w:qFormat/>
    <w:rsid w:val="005B1F88"/>
    <w:rPr>
      <w:rFonts w:ascii="Times New Roman" w:eastAsia="楷体" w:hAnsi="Times New Roman"/>
      <w:sz w:val="21"/>
    </w:rPr>
  </w:style>
  <w:style w:type="paragraph" w:customStyle="1" w:styleId="new1">
    <w:name w:val="公式样式_new_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microsoft.com/office/2016/09/relationships/commentsIds" Target="commentsId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microsoft.com/office/2011/relationships/commentsExtended" Target="commentsExtended.xml"/><Relationship Id="rId2" Type="http://schemas.openxmlformats.org/officeDocument/2006/relationships/customXml" Target="../customXml/item1.xml"/><Relationship Id="rId16" Type="http://schemas.openxmlformats.org/officeDocument/2006/relationships/comments" Target="comments.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02F9C-9193-4825-9252-BA45EACB1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10</Pages>
  <Words>2806</Words>
  <Characters>15999</Characters>
  <Application>Microsoft Office Word</Application>
  <DocSecurity>0</DocSecurity>
  <Lines>133</Lines>
  <Paragraphs>37</Paragraphs>
  <ScaleCrop>false</ScaleCrop>
  <Company/>
  <LinksUpToDate>false</LinksUpToDate>
  <CharactersWithSpaces>18768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排版要求：</dc:title>
  <dc:creator>lenovo</dc:creator>
  <cp:lastModifiedBy>Lenovo</cp:lastModifiedBy>
  <cp:revision>185</cp:revision>
  <cp:lastPrinted>2021-01-26T02:16:00Z</cp:lastPrinted>
  <dcterms:created xsi:type="dcterms:W3CDTF">2021-08-05T09:29:00Z</dcterms:created>
  <dcterms:modified xsi:type="dcterms:W3CDTF">2026-10-29T15:56:00Z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ID">
    <vt:i4>1051714</vt:i4>
  </property>
  <property fmtid="{D5CDD505-2E9C-101B-9397-08002B2CF9AE}" pid="3" name="KSOProductBuildVer">
    <vt:lpwstr>2052-11.1.0.10228</vt:lpwstr>
  </property>
  <property fmtid="{D5CDD505-2E9C-101B-9397-08002B2CF9AE}" pid="4" name="MTWinEqns">
    <vt:bool>true</vt:bool>
  </property>
</Properties>
</file>